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4" w:rsidRDefault="00E700E8">
      <w:pPr>
        <w:pStyle w:val="Standard"/>
        <w:tabs>
          <w:tab w:val="left" w:pos="5103"/>
        </w:tabs>
        <w:spacing w:before="960" w:after="40"/>
        <w:jc w:val="right"/>
      </w:pPr>
      <w:r>
        <w:rPr>
          <w:b/>
          <w:bCs/>
          <w:sz w:val="32"/>
          <w:szCs w:val="32"/>
        </w:rPr>
        <w:t xml:space="preserve">     </w:t>
      </w:r>
      <w:proofErr w:type="gramStart"/>
      <w:r>
        <w:rPr>
          <w:b/>
          <w:bCs/>
        </w:rPr>
        <w:t>Утвержден</w:t>
      </w:r>
      <w:proofErr w:type="gramEnd"/>
      <w:r>
        <w:rPr>
          <w:b/>
          <w:bCs/>
        </w:rPr>
        <w:t xml:space="preserve"> на общем собрании акционеров </w:t>
      </w:r>
    </w:p>
    <w:p w:rsidR="00570574" w:rsidRDefault="00E700E8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9B48A2">
        <w:rPr>
          <w:b/>
          <w:bCs/>
        </w:rPr>
        <w:t xml:space="preserve">                    </w:t>
      </w:r>
      <w:r w:rsidR="009B4803">
        <w:rPr>
          <w:b/>
          <w:bCs/>
        </w:rPr>
        <w:t>Протокол №40 от 16</w:t>
      </w:r>
      <w:bookmarkStart w:id="0" w:name="_GoBack"/>
      <w:bookmarkEnd w:id="0"/>
      <w:r w:rsidR="009B48A2">
        <w:rPr>
          <w:b/>
          <w:bCs/>
        </w:rPr>
        <w:t xml:space="preserve"> мая 2016</w:t>
      </w:r>
      <w:r>
        <w:rPr>
          <w:b/>
          <w:bCs/>
        </w:rPr>
        <w:t>года</w:t>
      </w:r>
    </w:p>
    <w:p w:rsidR="00570574" w:rsidRDefault="00570574">
      <w:pPr>
        <w:pStyle w:val="Standard"/>
        <w:spacing w:before="960" w:after="40"/>
        <w:jc w:val="center"/>
        <w:rPr>
          <w:b/>
          <w:bCs/>
          <w:sz w:val="32"/>
          <w:szCs w:val="32"/>
        </w:rPr>
      </w:pPr>
    </w:p>
    <w:p w:rsidR="00570574" w:rsidRDefault="00E700E8">
      <w:pPr>
        <w:pStyle w:val="Standard"/>
        <w:spacing w:before="960"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ГОДОВОЙ  О Т Ч Е Т</w:t>
      </w:r>
    </w:p>
    <w:p w:rsidR="00570574" w:rsidRDefault="00E700E8">
      <w:pPr>
        <w:pStyle w:val="Standard"/>
        <w:spacing w:before="600" w:after="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"Мукомольный комбинат "ВОРОНЕЖСКИЙ"</w:t>
      </w:r>
    </w:p>
    <w:p w:rsidR="00570574" w:rsidRDefault="00E700E8">
      <w:pPr>
        <w:pStyle w:val="Standard"/>
        <w:spacing w:before="120" w:after="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40044-A</w:t>
      </w:r>
    </w:p>
    <w:p w:rsidR="00570574" w:rsidRDefault="009B48A2">
      <w:pPr>
        <w:pStyle w:val="Standard"/>
        <w:spacing w:before="360"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2015</w:t>
      </w:r>
      <w:r w:rsidR="00E700E8">
        <w:rPr>
          <w:b/>
          <w:bCs/>
          <w:sz w:val="32"/>
          <w:szCs w:val="32"/>
        </w:rPr>
        <w:t xml:space="preserve"> год</w:t>
      </w:r>
    </w:p>
    <w:p w:rsidR="00570574" w:rsidRDefault="00E700E8">
      <w:pPr>
        <w:pStyle w:val="Standard"/>
        <w:spacing w:before="840" w:after="40"/>
        <w:jc w:val="center"/>
      </w:pPr>
      <w:r>
        <w:t>Место нахождения эмитента:</w:t>
      </w:r>
      <w:r>
        <w:rPr>
          <w:b/>
          <w:bCs/>
        </w:rPr>
        <w:t xml:space="preserve"> 394036 Россия, г. Воронеж, Революции 1905, 2</w:t>
      </w:r>
    </w:p>
    <w:p w:rsidR="00570574" w:rsidRDefault="00E700E8">
      <w:pPr>
        <w:pStyle w:val="Standard"/>
        <w:spacing w:before="600" w:after="360"/>
        <w:jc w:val="center"/>
        <w:rPr>
          <w:b/>
          <w:bCs/>
        </w:rPr>
      </w:pPr>
      <w:r>
        <w:rPr>
          <w:b/>
          <w:bCs/>
        </w:rPr>
        <w:t>Информация, содержащаяся в настоящем годовом отчете, подлежит раскрытию в соответствии с законодательством Российской Федерации о ценных бумагах</w:t>
      </w:r>
    </w:p>
    <w:p w:rsidR="00570574" w:rsidRDefault="00570574">
      <w:pPr>
        <w:pStyle w:val="Standard"/>
        <w:spacing w:before="20" w:after="40"/>
        <w:rPr>
          <w:sz w:val="20"/>
          <w:szCs w:val="20"/>
        </w:rPr>
      </w:pPr>
    </w:p>
    <w:tbl>
      <w:tblPr>
        <w:tblW w:w="976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8"/>
        <w:gridCol w:w="3883"/>
      </w:tblGrid>
      <w:tr w:rsidR="00570574">
        <w:tc>
          <w:tcPr>
            <w:tcW w:w="58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70574" w:rsidRDefault="00570574">
            <w:pPr>
              <w:pStyle w:val="Standard"/>
              <w:spacing w:before="120" w:after="40"/>
              <w:rPr>
                <w:sz w:val="20"/>
                <w:szCs w:val="20"/>
              </w:rPr>
            </w:pPr>
          </w:p>
          <w:p w:rsidR="00570574" w:rsidRDefault="00E700E8">
            <w:pPr>
              <w:pStyle w:val="Standard"/>
              <w:spacing w:before="20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570574" w:rsidRDefault="009B48A2">
            <w:pPr>
              <w:pStyle w:val="Standard"/>
              <w:spacing w:before="2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 12 мая 2016</w:t>
            </w:r>
            <w:r w:rsidR="00E700E8">
              <w:rPr>
                <w:sz w:val="20"/>
                <w:szCs w:val="20"/>
              </w:rPr>
              <w:t>г.</w:t>
            </w:r>
          </w:p>
        </w:tc>
        <w:tc>
          <w:tcPr>
            <w:tcW w:w="388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70574" w:rsidRDefault="00570574">
            <w:pPr>
              <w:pStyle w:val="Standard"/>
              <w:spacing w:before="20" w:after="40"/>
              <w:rPr>
                <w:sz w:val="20"/>
                <w:szCs w:val="20"/>
              </w:rPr>
            </w:pPr>
          </w:p>
          <w:p w:rsidR="00570574" w:rsidRDefault="00E700E8">
            <w:pPr>
              <w:pStyle w:val="Standard"/>
              <w:autoSpaceDE/>
              <w:spacing w:before="200"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А.Г. Ткачев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подпись</w:t>
            </w:r>
          </w:p>
        </w:tc>
      </w:tr>
      <w:tr w:rsidR="00570574">
        <w:trPr>
          <w:trHeight w:val="129"/>
        </w:trPr>
        <w:tc>
          <w:tcPr>
            <w:tcW w:w="5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70574" w:rsidRDefault="00570574">
            <w:pPr>
              <w:pStyle w:val="Standard"/>
              <w:spacing w:before="120" w:after="40"/>
              <w:rPr>
                <w:sz w:val="20"/>
                <w:szCs w:val="20"/>
              </w:rPr>
            </w:pPr>
          </w:p>
          <w:p w:rsidR="00570574" w:rsidRDefault="00570574">
            <w:pPr>
              <w:pStyle w:val="Standard"/>
              <w:spacing w:before="20" w:after="40"/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70574" w:rsidRDefault="00570574">
            <w:pPr>
              <w:pStyle w:val="Standard"/>
              <w:autoSpaceDE/>
              <w:spacing w:before="200" w:after="200" w:line="276" w:lineRule="auto"/>
              <w:rPr>
                <w:sz w:val="20"/>
                <w:szCs w:val="20"/>
              </w:rPr>
            </w:pPr>
          </w:p>
        </w:tc>
      </w:tr>
    </w:tbl>
    <w:p w:rsidR="00570574" w:rsidRDefault="00570574">
      <w:pPr>
        <w:pStyle w:val="1"/>
        <w:spacing w:before="360" w:after="120"/>
        <w:jc w:val="center"/>
        <w:rPr>
          <w:b/>
          <w:bCs/>
          <w:sz w:val="28"/>
          <w:szCs w:val="28"/>
        </w:rPr>
      </w:pPr>
    </w:p>
    <w:p w:rsidR="00570574" w:rsidRDefault="00570574">
      <w:pPr>
        <w:pStyle w:val="1"/>
      </w:pPr>
    </w:p>
    <w:p w:rsidR="00570574" w:rsidRDefault="00570574">
      <w:pPr>
        <w:pStyle w:val="1"/>
        <w:spacing w:before="360" w:after="120"/>
        <w:jc w:val="center"/>
        <w:rPr>
          <w:b/>
          <w:bCs/>
          <w:sz w:val="28"/>
          <w:szCs w:val="28"/>
        </w:rPr>
      </w:pPr>
    </w:p>
    <w:p w:rsidR="00570574" w:rsidRDefault="00570574">
      <w:pPr>
        <w:pStyle w:val="1"/>
        <w:spacing w:before="360" w:after="120"/>
        <w:jc w:val="center"/>
        <w:rPr>
          <w:b/>
          <w:bCs/>
          <w:sz w:val="28"/>
          <w:szCs w:val="28"/>
        </w:rPr>
      </w:pPr>
    </w:p>
    <w:p w:rsidR="00570574" w:rsidRDefault="00570574">
      <w:pPr>
        <w:pStyle w:val="1"/>
        <w:spacing w:before="360" w:after="120"/>
        <w:jc w:val="both"/>
        <w:rPr>
          <w:b/>
          <w:bCs/>
        </w:rPr>
      </w:pPr>
    </w:p>
    <w:p w:rsidR="00570574" w:rsidRDefault="00E700E8">
      <w:pPr>
        <w:pStyle w:val="1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Оглавление:</w:t>
      </w:r>
    </w:p>
    <w:p w:rsidR="00570574" w:rsidRDefault="00570574">
      <w:pPr>
        <w:pStyle w:val="Standard"/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положение акционерного общества в отрасли;</w:t>
      </w:r>
    </w:p>
    <w:p w:rsidR="00570574" w:rsidRDefault="00570574">
      <w:pPr>
        <w:pStyle w:val="ConsPlusDocList"/>
        <w:ind w:left="-567" w:right="-234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 w:hanging="36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2)</w:t>
      </w:r>
      <w:r>
        <w:rPr>
          <w:rFonts w:ascii="Times New Roman" w:hAnsi="Times New Roman" w:cs="Times New Roman"/>
          <w:i/>
          <w:sz w:val="24"/>
          <w:szCs w:val="24"/>
        </w:rPr>
        <w:t>приоритетные направления деятельности акционерного общества;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>отчет совета директоров (наблюдательного совета) акционерного общества о результатах развития акционерного общества по приоритетным направлениям его деятельности;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>информацию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/>
          <w:b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</w:rPr>
        <w:t>перспективы развития акционерного общества;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/>
          <w:b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</w:rPr>
        <w:t>отчет о выплате объявленных (начисленных) дивидендов по акциям акционерного общества;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/>
          <w:b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</w:rPr>
        <w:t>описание основных факторов риска, связанных с деятельностью акционерного общества;</w:t>
      </w:r>
    </w:p>
    <w:p w:rsidR="00570574" w:rsidRDefault="00570574">
      <w:pPr>
        <w:pStyle w:val="Standard"/>
        <w:ind w:left="-567" w:right="-234"/>
        <w:jc w:val="both"/>
        <w:rPr>
          <w:rFonts w:ascii="Times New Roman" w:hAnsi="Times New Roman" w:cs="Times New Roman"/>
          <w:b/>
          <w:i/>
          <w:color w:val="000000"/>
        </w:rPr>
      </w:pPr>
    </w:p>
    <w:p w:rsidR="00570574" w:rsidRDefault="00E700E8">
      <w:pPr>
        <w:pStyle w:val="Standard"/>
        <w:ind w:left="-567" w:right="-234"/>
        <w:jc w:val="both"/>
      </w:pPr>
      <w:proofErr w:type="gramStart"/>
      <w:r>
        <w:rPr>
          <w:rFonts w:ascii="Times New Roman" w:hAnsi="Times New Roman" w:cs="Times New Roman"/>
          <w:b/>
          <w:i/>
          <w:color w:val="000000"/>
        </w:rPr>
        <w:t>8)</w:t>
      </w:r>
      <w:r>
        <w:rPr>
          <w:rFonts w:ascii="Times New Roman" w:hAnsi="Times New Roman" w:cs="Times New Roman"/>
          <w:i/>
          <w:color w:val="000000"/>
        </w:rPr>
        <w:t>перечень совершенных акционерным обществом в отчетном году сделок, признаваемых в соответствии с Федеральным законом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одобрении;</w:t>
      </w:r>
      <w:proofErr w:type="gramEnd"/>
    </w:p>
    <w:p w:rsidR="00570574" w:rsidRDefault="00570574">
      <w:pPr>
        <w:pStyle w:val="Standard"/>
        <w:ind w:left="-567" w:right="-234"/>
        <w:jc w:val="both"/>
        <w:rPr>
          <w:rFonts w:ascii="Times New Roman" w:hAnsi="Times New Roman" w:cs="Times New Roman"/>
          <w:b/>
          <w:i/>
          <w:color w:val="000000"/>
        </w:rPr>
      </w:pPr>
    </w:p>
    <w:p w:rsidR="00570574" w:rsidRDefault="00E700E8">
      <w:pPr>
        <w:pStyle w:val="Standard"/>
        <w:ind w:left="-567" w:right="-234"/>
        <w:jc w:val="both"/>
      </w:pPr>
      <w:r>
        <w:rPr>
          <w:rFonts w:ascii="Times New Roman" w:hAnsi="Times New Roman" w:cs="Times New Roman"/>
          <w:b/>
          <w:i/>
          <w:color w:val="000000"/>
        </w:rPr>
        <w:t>9)</w:t>
      </w:r>
      <w:r>
        <w:rPr>
          <w:rFonts w:ascii="Times New Roman" w:hAnsi="Times New Roman" w:cs="Times New Roman"/>
          <w:i/>
          <w:color w:val="000000"/>
        </w:rPr>
        <w:t xml:space="preserve">перечень совершенных акционерным обществом в отчетном году сделок, признаваемых в соответствии с Федеральным законом  "Об акционерных обществах"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 гл. 11 Федерального закона "Об акционерных обществах", с указанием по каждой сделке заинтересованного лица </w:t>
      </w:r>
      <w:r>
        <w:rPr>
          <w:rFonts w:ascii="Times New Roman" w:hAnsi="Times New Roman" w:cs="Times New Roman"/>
          <w:i/>
        </w:rPr>
        <w:t xml:space="preserve">(лиц), существенных условий и органа управления акционерного общества, принявшего решение </w:t>
      </w:r>
      <w:proofErr w:type="gramStart"/>
      <w:r>
        <w:rPr>
          <w:rFonts w:ascii="Times New Roman" w:hAnsi="Times New Roman" w:cs="Times New Roman"/>
          <w:i/>
        </w:rPr>
        <w:t>о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ее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одобрении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10)</w:t>
      </w:r>
      <w:r>
        <w:rPr>
          <w:rFonts w:ascii="Times New Roman" w:hAnsi="Times New Roman" w:cs="Times New Roman"/>
          <w:i/>
          <w:sz w:val="24"/>
          <w:szCs w:val="24"/>
        </w:rPr>
        <w:t>состав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случае 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 - также сведения о таких сделках с указанием по каждой сделке даты ее совершения, содержания сделки, категорий (типа) и количества акций акционерного общества, являвшихся предметом сделки;</w:t>
      </w:r>
      <w:proofErr w:type="gramEnd"/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11)</w:t>
      </w:r>
      <w:r>
        <w:rPr>
          <w:rFonts w:ascii="Times New Roman" w:hAnsi="Times New Roman" w:cs="Times New Roman"/>
          <w:i/>
          <w:sz w:val="24"/>
          <w:szCs w:val="24"/>
        </w:rPr>
        <w:t xml:space="preserve">сведения о лице, занимающем должность (осуществляющем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отчетного года имели место совершенные лицом, занимающим должность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12)</w:t>
      </w:r>
      <w:r>
        <w:rPr>
          <w:rFonts w:ascii="Times New Roman" w:hAnsi="Times New Roman" w:cs="Times New Roman"/>
          <w:i/>
          <w:sz w:val="24"/>
          <w:szCs w:val="24"/>
        </w:rPr>
        <w:t>критерии определения и размер вознаграждения (компенсации расходов) лица, занимающего должность единоличного исполнительного органа (управляющего, управляющей организации) акционерного общества, каждого члена коллегиального исполнительного органа акционерного общества и каждого члена совета директоров (наблюдательного совета) акционерного общества или общий размер вознаграждения (компенсации расходов) всех этих лиц, выплаченного в течение отчетного года;</w:t>
      </w:r>
    </w:p>
    <w:p w:rsidR="00570574" w:rsidRDefault="00570574">
      <w:pPr>
        <w:pStyle w:val="ConsPlusDocList"/>
        <w:ind w:left="-567" w:right="-2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0574" w:rsidRDefault="00E700E8">
      <w:pPr>
        <w:pStyle w:val="ConsPlusDocList"/>
        <w:ind w:left="-567" w:right="-234"/>
        <w:jc w:val="both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13)</w:t>
      </w:r>
      <w:r>
        <w:rPr>
          <w:rFonts w:ascii="Times New Roman" w:hAnsi="Times New Roman"/>
          <w:i/>
          <w:sz w:val="24"/>
          <w:szCs w:val="24"/>
        </w:rPr>
        <w:t>сведения о соблюдении акционерным обществом рекомендаций Кодекса корпоративного поведения, а если ценные бумаги акционерного общества включены в список ценных бумаг, допущенных к торгам на организаторе торговли на рынке ценных бумаг, и все или отдельные рекомендации Кодекса корпоративного поведения этим акционерным обществом не соблюдаются - также объяснения причин, по которым такие рекомендации указанным акционерным обществом не соблюдаются.</w:t>
      </w:r>
      <w:proofErr w:type="gramEnd"/>
    </w:p>
    <w:p w:rsidR="00570574" w:rsidRDefault="00570574">
      <w:pPr>
        <w:pStyle w:val="ConsPlusDocList"/>
        <w:ind w:left="-567" w:right="-234"/>
        <w:jc w:val="both"/>
        <w:rPr>
          <w:i/>
          <w:sz w:val="24"/>
          <w:szCs w:val="24"/>
        </w:rPr>
      </w:pPr>
    </w:p>
    <w:p w:rsidR="00570574" w:rsidRDefault="00570574">
      <w:pPr>
        <w:pStyle w:val="Standard"/>
        <w:ind w:left="-567" w:right="-234"/>
        <w:jc w:val="both"/>
        <w:rPr>
          <w:rFonts w:ascii="Times New Roman" w:hAnsi="Times New Roman" w:cs="Times New Roman"/>
          <w:i/>
        </w:rPr>
      </w:pPr>
    </w:p>
    <w:p w:rsidR="00570574" w:rsidRDefault="00E700E8">
      <w:pPr>
        <w:pStyle w:val="Standard"/>
        <w:pageBreakBefore/>
        <w:ind w:left="-567" w:right="-234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lastRenderedPageBreak/>
        <w:t>Раздел 1.</w:t>
      </w:r>
    </w:p>
    <w:p w:rsidR="00570574" w:rsidRDefault="00E700E8">
      <w:pPr>
        <w:pStyle w:val="Default"/>
        <w:ind w:left="-567" w:right="-234"/>
        <w:jc w:val="both"/>
      </w:pPr>
      <w:r>
        <w:t>Одной из основных отраслей современного российского агропромышленного комплекса является мукомольно-крупяная промышленность. Людям необходимы вырабатываемые из муки хлеб, хлебобулочные, макаронные, крупяные и кондитерские изделия. Для любой развитой страны основным критерием продовольственной безопасности является стабильное обеспечение населения и промышленности продуктами переработки зерна. Россия имеет достаточный сырьевой потенциал для мукомольной и крупяной промышленности. Годовое производство разнообразных сортов муки удовлетворяет потребности хлебопекарной, кондитерской и макаронной промышленности. В структуре потребления хлебопродуктов большую часть занимают хлеб и хлебобулочные изделия, далее идут макаронные и крупяные изделия. В последние годы на рынке муки имеет место тенденция расширения её традиционного ассортимента. Дальнейшее развитие мукомольной промышленности предусматривает повышение эффективности использования зерна, изготовление и продажу готовых смесей для нужд хлебопечения, а также обеспечение качества и безопасности продуктов переработки зерна.</w:t>
      </w:r>
    </w:p>
    <w:p w:rsidR="00570574" w:rsidRDefault="00E700E8">
      <w:pPr>
        <w:pStyle w:val="Default"/>
        <w:ind w:left="-567" w:right="-234"/>
        <w:jc w:val="both"/>
      </w:pPr>
      <w:r>
        <w:t>ОАО «Мукомольный комбинат «ВОРОНЕЖСКИЙ» – ведущее предприятие мукомольно-крупяной отрасли Центрального Черноземья. Положение Общества в отрасли характеризуется как устойчивое. Основное направление деятельности Общества – закупка, хранение и переработка зерна пшеницы и ржи. Ассортиментная линейка вырабатываемой продукции включает все базовые сорта сортового помола пшеницы, муку ржаную обдирную, крупу манную, отруби.</w:t>
      </w:r>
    </w:p>
    <w:p w:rsidR="00570574" w:rsidRDefault="00E700E8">
      <w:pPr>
        <w:pStyle w:val="Default"/>
        <w:ind w:left="-567" w:right="-234"/>
        <w:jc w:val="both"/>
      </w:pPr>
      <w:r>
        <w:t>Основными рынками сбыта готовой продукции в сегменте весовой и бестарной муки являются хлебопекарные предприятия, крупные оптовые компании. Сегмент мелкой фасовки представлен как в федеральных, так и в региональных сетях.</w:t>
      </w:r>
    </w:p>
    <w:p w:rsidR="00570574" w:rsidRDefault="00570574">
      <w:pPr>
        <w:pStyle w:val="Default"/>
        <w:ind w:right="-234"/>
      </w:pPr>
    </w:p>
    <w:p w:rsidR="00570574" w:rsidRDefault="00E700E8">
      <w:pPr>
        <w:pStyle w:val="Default"/>
        <w:ind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2.</w:t>
      </w:r>
    </w:p>
    <w:p w:rsidR="00570574" w:rsidRDefault="00570574">
      <w:pPr>
        <w:pStyle w:val="Default"/>
        <w:ind w:left="-567" w:right="-234"/>
        <w:jc w:val="center"/>
        <w:rPr>
          <w:b/>
          <w:bCs/>
          <w:i/>
          <w:u w:val="single"/>
        </w:rPr>
      </w:pPr>
    </w:p>
    <w:p w:rsidR="00570574" w:rsidRDefault="00E700E8">
      <w:pPr>
        <w:pStyle w:val="1"/>
        <w:ind w:left="-567" w:right="-2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Качество вырабатываемой продукции является приоритетным направлением работы и </w:t>
      </w:r>
      <w:proofErr w:type="gramStart"/>
      <w:r>
        <w:rPr>
          <w:rFonts w:ascii="Times New Roman" w:hAnsi="Times New Roman" w:cs="Times New Roman"/>
          <w:color w:val="000000"/>
        </w:rPr>
        <w:t>нацелена</w:t>
      </w:r>
      <w:proofErr w:type="gramEnd"/>
      <w:r>
        <w:rPr>
          <w:rFonts w:ascii="Times New Roman" w:hAnsi="Times New Roman" w:cs="Times New Roman"/>
          <w:color w:val="000000"/>
        </w:rPr>
        <w:t xml:space="preserve"> на выпуск продукции высокого качества в полном соответствии с требованиями нормативной и технической документации.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Standard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3.</w:t>
      </w:r>
    </w:p>
    <w:p w:rsidR="00570574" w:rsidRDefault="00570574">
      <w:pPr>
        <w:pStyle w:val="Standard"/>
        <w:ind w:left="-567" w:right="-234"/>
        <w:jc w:val="center"/>
        <w:rPr>
          <w:b/>
          <w:bCs/>
          <w:i/>
          <w:u w:val="single"/>
        </w:rPr>
      </w:pPr>
    </w:p>
    <w:p w:rsidR="00570574" w:rsidRDefault="00F72BF4">
      <w:pPr>
        <w:pStyle w:val="Standard"/>
        <w:ind w:left="-567" w:right="-234" w:firstLine="720"/>
        <w:jc w:val="both"/>
      </w:pPr>
      <w:r>
        <w:t>ОАО «МК «Воронежский» за 2015 год было приобретено и введено в эксплуатацию основных фондов на 2.195тыс</w:t>
      </w:r>
      <w:proofErr w:type="gramStart"/>
      <w:r>
        <w:t>.р</w:t>
      </w:r>
      <w:proofErr w:type="gramEnd"/>
      <w:r>
        <w:t>уб., в том числе: оборудования 8 единиц на сумму 1153тыс.руб., транспортных средств – 1 единицу на сумму 975тыс.руб.</w:t>
      </w:r>
    </w:p>
    <w:p w:rsidR="00F72BF4" w:rsidRDefault="00F72BF4">
      <w:pPr>
        <w:pStyle w:val="Standard"/>
        <w:ind w:left="-567" w:right="-234" w:firstLine="720"/>
        <w:jc w:val="both"/>
      </w:pPr>
      <w:r>
        <w:t>Численность персонала за год составила 211 человек.</w:t>
      </w:r>
    </w:p>
    <w:p w:rsidR="00F72BF4" w:rsidRDefault="00F72BF4">
      <w:pPr>
        <w:pStyle w:val="Standard"/>
        <w:ind w:left="-567" w:right="-234" w:firstLine="720"/>
        <w:jc w:val="both"/>
      </w:pPr>
      <w:r>
        <w:t>Финансовая деятельность – выручка от реализации всего составила 652581тыс</w:t>
      </w:r>
      <w:proofErr w:type="gramStart"/>
      <w:r>
        <w:t>.р</w:t>
      </w:r>
      <w:proofErr w:type="gramEnd"/>
      <w:r>
        <w:t>уб., прибыль до н/обл. 66649тыс.руб., налог на прибыль 16041тыс.руб., чистая прибыль 50165тыс.руб.</w:t>
      </w:r>
    </w:p>
    <w:p w:rsidR="00F72BF4" w:rsidRDefault="00F72BF4">
      <w:pPr>
        <w:pStyle w:val="Standard"/>
        <w:ind w:left="-567" w:right="-234" w:firstLine="720"/>
        <w:jc w:val="both"/>
      </w:pPr>
      <w:r>
        <w:t>Сравнивая финансовые показатели 2015 г. с 2014 г. видно, что увеличена выручка от реализации на 100488тыс</w:t>
      </w:r>
      <w:proofErr w:type="gramStart"/>
      <w:r>
        <w:t>.р</w:t>
      </w:r>
      <w:proofErr w:type="gramEnd"/>
      <w:r>
        <w:t>уб., то есть на 18,2%, чистая прибыль на 90тыс.руб. на 0,18%. Денежные средства в отчетном периоде использованы для приобретения сырья, материалов, выплаты заработной платы, налогов, электроэнергии.</w:t>
      </w:r>
    </w:p>
    <w:p w:rsidR="00570574" w:rsidRDefault="00E700E8">
      <w:pPr>
        <w:pStyle w:val="Standard"/>
        <w:ind w:left="-567" w:right="-234"/>
        <w:jc w:val="both"/>
      </w:pPr>
      <w:r>
        <w:tab/>
      </w:r>
      <w:r w:rsidR="00F72BF4">
        <w:t xml:space="preserve">  </w:t>
      </w:r>
      <w:r>
        <w:t>На предприятии не прекращались работы по техническому развит</w:t>
      </w:r>
      <w:r w:rsidR="00F72BF4">
        <w:t>ию производственной базы. В 2015</w:t>
      </w:r>
      <w:r>
        <w:t xml:space="preserve"> году были выполнены следующие мероприятия:</w:t>
      </w:r>
    </w:p>
    <w:p w:rsidR="00570574" w:rsidRDefault="00E700E8">
      <w:pPr>
        <w:pStyle w:val="Standard"/>
        <w:ind w:left="-567" w:right="-234"/>
        <w:jc w:val="both"/>
      </w:pPr>
      <w:r>
        <w:t>-проводился текущий ремонт машин, оборудования технологического, транспортного, аспирационног</w:t>
      </w:r>
      <w:r w:rsidR="00F72BF4">
        <w:t>о, электротехнического и др. – 5</w:t>
      </w:r>
      <w:r>
        <w:t>,8млн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 xml:space="preserve">-приобретены: </w:t>
      </w:r>
      <w:r w:rsidR="00F72BF4">
        <w:t xml:space="preserve">импортный </w:t>
      </w:r>
      <w:proofErr w:type="spellStart"/>
      <w:r w:rsidR="00F72BF4">
        <w:t>электропогрузчик</w:t>
      </w:r>
      <w:proofErr w:type="spellEnd"/>
      <w:r w:rsidR="00F72BF4">
        <w:t xml:space="preserve"> в склад готовой продукции – 1</w:t>
      </w:r>
      <w:r>
        <w:t>млн.</w:t>
      </w:r>
      <w:r w:rsidR="00F72BF4">
        <w:t>150тыс</w:t>
      </w:r>
      <w:proofErr w:type="gramStart"/>
      <w:r w:rsidR="00F72BF4">
        <w:t>.</w:t>
      </w:r>
      <w:r>
        <w:t>р</w:t>
      </w:r>
      <w:proofErr w:type="gramEnd"/>
      <w:r>
        <w:t>уб.;</w:t>
      </w:r>
    </w:p>
    <w:p w:rsidR="00570574" w:rsidRDefault="00636DC7">
      <w:pPr>
        <w:pStyle w:val="Standard"/>
        <w:ind w:left="-567" w:right="-234"/>
        <w:jc w:val="both"/>
      </w:pPr>
      <w:r>
        <w:t>-приобретена пожарная мотопомпа</w:t>
      </w:r>
      <w:r w:rsidR="00E700E8">
        <w:t xml:space="preserve">– </w:t>
      </w:r>
      <w:r>
        <w:t>265</w:t>
      </w:r>
      <w:r w:rsidR="00E700E8">
        <w:t>тыс</w:t>
      </w:r>
      <w:proofErr w:type="gramStart"/>
      <w:r w:rsidR="00E700E8">
        <w:t>.р</w:t>
      </w:r>
      <w:proofErr w:type="gramEnd"/>
      <w:r w:rsidR="00E700E8">
        <w:t>уб.;</w:t>
      </w:r>
      <w:r>
        <w:t xml:space="preserve"> две обоечные машины в мельницу – 570тыс.руб.</w:t>
      </w:r>
    </w:p>
    <w:p w:rsidR="00570574" w:rsidRDefault="00636DC7">
      <w:pPr>
        <w:pStyle w:val="Standard"/>
        <w:ind w:left="-567" w:right="-234"/>
        <w:jc w:val="both"/>
      </w:pPr>
      <w:r>
        <w:t>-произведен ремонт помещений второго этажа административного здания– 4</w:t>
      </w:r>
      <w:r w:rsidR="00E700E8">
        <w:t>00тыс</w:t>
      </w:r>
      <w:proofErr w:type="gramStart"/>
      <w:r w:rsidR="00E700E8">
        <w:t>.р</w:t>
      </w:r>
      <w:proofErr w:type="gramEnd"/>
      <w:r w:rsidR="00E700E8">
        <w:t>уб.;</w:t>
      </w:r>
    </w:p>
    <w:p w:rsidR="00570574" w:rsidRDefault="00E700E8">
      <w:pPr>
        <w:pStyle w:val="Standard"/>
        <w:ind w:left="-567" w:right="-234"/>
        <w:jc w:val="both"/>
      </w:pPr>
      <w:r>
        <w:t>-обслуживание железнодорожных путей и вес</w:t>
      </w:r>
      <w:r w:rsidR="00636DC7">
        <w:t>ового хозяйства комбината – 1,550</w:t>
      </w:r>
      <w:r>
        <w:t>мил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 xml:space="preserve">-проводились работы по фумигации, дератизации мельницы </w:t>
      </w:r>
      <w:r w:rsidR="00636DC7">
        <w:t>и складов готовой продукции – 42</w:t>
      </w:r>
      <w:r>
        <w:t>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>-содержание и обслу</w:t>
      </w:r>
      <w:r w:rsidR="00636DC7">
        <w:t>живание лифтов – 20</w:t>
      </w:r>
      <w:r>
        <w:t>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lastRenderedPageBreak/>
        <w:t>-обследование газового хозяйства предприятия – 150тыс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>-обслуживание пожарной сигнализации, проверка гид</w:t>
      </w:r>
      <w:r w:rsidR="00636DC7">
        <w:t>рантов и пожарного инвентаря – 2</w:t>
      </w:r>
      <w:r>
        <w:t>00тыс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>-проводилось с</w:t>
      </w:r>
      <w:r w:rsidR="00636DC7">
        <w:t>трахование опасных объектов – 33</w:t>
      </w:r>
      <w:r>
        <w:t>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>- флюорографическое обследование работников комби</w:t>
      </w:r>
      <w:r w:rsidR="00636DC7">
        <w:t>ната, проведение медосмотра – 30</w:t>
      </w:r>
      <w:r>
        <w:t>0тыс</w:t>
      </w:r>
      <w:proofErr w:type="gramStart"/>
      <w:r>
        <w:t>.р</w:t>
      </w:r>
      <w:proofErr w:type="gramEnd"/>
      <w:r>
        <w:t>уб.;</w:t>
      </w:r>
    </w:p>
    <w:p w:rsidR="00570574" w:rsidRDefault="00E700E8">
      <w:pPr>
        <w:pStyle w:val="Standard"/>
        <w:ind w:left="-567" w:right="-234"/>
        <w:jc w:val="both"/>
      </w:pPr>
      <w:r>
        <w:t>-проведена большая работа по подготовке предприятия к работе в осенне-зимний период: при подготовке к отопительному сезону проведены ремонт и освидетельствование котлов, произведена частичная замена запо</w:t>
      </w:r>
      <w:r w:rsidR="00636DC7">
        <w:t>рной аппаратуры– 450тыс</w:t>
      </w:r>
      <w:proofErr w:type="gramStart"/>
      <w:r w:rsidR="00636DC7">
        <w:t>.р</w:t>
      </w:r>
      <w:proofErr w:type="gramEnd"/>
      <w:r w:rsidR="00636DC7">
        <w:t>уб.</w:t>
      </w:r>
    </w:p>
    <w:p w:rsidR="00570574" w:rsidRDefault="00636DC7">
      <w:pPr>
        <w:pStyle w:val="Standard"/>
        <w:ind w:left="-567" w:right="-234"/>
        <w:jc w:val="both"/>
      </w:pPr>
      <w:r>
        <w:tab/>
        <w:t>В течение всего 2015</w:t>
      </w:r>
      <w:r w:rsidR="00E700E8">
        <w:t xml:space="preserve"> года предприятие не допустило ни одной тонны брака, что говорит о хорошем уровне управления производством, высокой профессиональной квалификации специалистов производства и техническом оснащении производственно-технологического процесса.</w:t>
      </w:r>
    </w:p>
    <w:p w:rsidR="00570574" w:rsidRDefault="00E700E8">
      <w:pPr>
        <w:pStyle w:val="Standard"/>
        <w:ind w:left="-567" w:right="-234"/>
        <w:jc w:val="both"/>
      </w:pPr>
      <w:r>
        <w:tab/>
      </w:r>
      <w:r w:rsidR="00636DC7">
        <w:t xml:space="preserve">Объемы производства продукции, доводимые комбинату, выполнялись с высокими качественными показателями, сверх </w:t>
      </w:r>
      <w:proofErr w:type="spellStart"/>
      <w:r w:rsidR="00636DC7">
        <w:t>рассчетных</w:t>
      </w:r>
      <w:proofErr w:type="spellEnd"/>
      <w:r w:rsidR="00636DC7">
        <w:t xml:space="preserve"> выходов (</w:t>
      </w:r>
      <w:proofErr w:type="spellStart"/>
      <w:r w:rsidR="00636DC7">
        <w:t>примол</w:t>
      </w:r>
      <w:proofErr w:type="spellEnd"/>
      <w:r w:rsidR="00636DC7">
        <w:t>) получено 705 тонн муки</w:t>
      </w:r>
      <w:r>
        <w:t>.</w:t>
      </w:r>
    </w:p>
    <w:p w:rsidR="00570574" w:rsidRDefault="00E700E8">
      <w:pPr>
        <w:pStyle w:val="Standard"/>
        <w:ind w:left="-567" w:right="-234"/>
        <w:jc w:val="both"/>
      </w:pPr>
      <w:r>
        <w:tab/>
        <w:t>На предприятии были проведены мероприятия по повышению квалификации наших работников.</w:t>
      </w:r>
    </w:p>
    <w:p w:rsidR="00570574" w:rsidRDefault="00E700E8">
      <w:pPr>
        <w:pStyle w:val="Standard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4.</w:t>
      </w:r>
    </w:p>
    <w:p w:rsidR="00570574" w:rsidRDefault="00570574">
      <w:pPr>
        <w:pStyle w:val="Standard"/>
        <w:ind w:left="-567" w:right="-234"/>
        <w:jc w:val="center"/>
        <w:rPr>
          <w:b/>
          <w:bCs/>
          <w:i/>
          <w:u w:val="single"/>
        </w:rPr>
      </w:pPr>
    </w:p>
    <w:p w:rsidR="00570574" w:rsidRDefault="00E700E8">
      <w:pPr>
        <w:pStyle w:val="Standard"/>
        <w:ind w:left="-567" w:right="-234"/>
        <w:jc w:val="both"/>
        <w:rPr>
          <w:bCs/>
        </w:rPr>
      </w:pPr>
      <w:r>
        <w:rPr>
          <w:bCs/>
        </w:rPr>
        <w:t>В отчетном году ОАО «МК «ВОРОНЕЖСКИЙ» использованы следующие виды энергетических ресурсов:</w:t>
      </w:r>
    </w:p>
    <w:p w:rsidR="00570574" w:rsidRDefault="00E700E8">
      <w:pPr>
        <w:pStyle w:val="Standard"/>
        <w:ind w:left="-567" w:right="-234"/>
        <w:jc w:val="both"/>
        <w:rPr>
          <w:bCs/>
        </w:rPr>
      </w:pPr>
      <w:r>
        <w:rPr>
          <w:bCs/>
        </w:rPr>
        <w:tab/>
      </w:r>
      <w:r w:rsidR="00636DC7">
        <w:rPr>
          <w:bCs/>
        </w:rPr>
        <w:t>За использование энергетических ресурсов перечислены денежные средства на сумму 13.199млн</w:t>
      </w:r>
      <w:proofErr w:type="gramStart"/>
      <w:r w:rsidR="00636DC7">
        <w:rPr>
          <w:bCs/>
        </w:rPr>
        <w:t>.р</w:t>
      </w:r>
      <w:proofErr w:type="gramEnd"/>
      <w:r w:rsidR="00636DC7">
        <w:rPr>
          <w:bCs/>
        </w:rPr>
        <w:t>уб</w:t>
      </w:r>
      <w:r>
        <w:rPr>
          <w:bCs/>
        </w:rPr>
        <w:t>.</w:t>
      </w:r>
    </w:p>
    <w:p w:rsidR="00636DC7" w:rsidRDefault="00636DC7">
      <w:pPr>
        <w:pStyle w:val="Standard"/>
        <w:ind w:left="-567" w:right="-234"/>
        <w:jc w:val="both"/>
        <w:rPr>
          <w:bCs/>
        </w:rPr>
      </w:pPr>
      <w:r>
        <w:rPr>
          <w:bCs/>
        </w:rPr>
        <w:tab/>
        <w:t>Средства на экологическую деятельность перечислялись в размере 60,3тыс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BF789B" w:rsidRDefault="00BF789B">
      <w:pPr>
        <w:pStyle w:val="Standard"/>
        <w:ind w:left="-567" w:right="-234"/>
        <w:jc w:val="both"/>
        <w:rPr>
          <w:bCs/>
        </w:rPr>
      </w:pPr>
      <w:r>
        <w:rPr>
          <w:bCs/>
        </w:rPr>
        <w:tab/>
      </w:r>
    </w:p>
    <w:p w:rsidR="00F80E68" w:rsidRPr="00F80E68" w:rsidRDefault="00F80E68" w:rsidP="00F80E68">
      <w:pPr>
        <w:pStyle w:val="Standard"/>
        <w:ind w:left="-567" w:right="-234"/>
        <w:jc w:val="both"/>
        <w:rPr>
          <w:bCs/>
        </w:rPr>
      </w:pPr>
      <w:r>
        <w:rPr>
          <w:bCs/>
        </w:rPr>
        <w:tab/>
      </w:r>
      <w:r w:rsidR="009B4803">
        <w:rPr>
          <w:bCs/>
        </w:rPr>
        <w:t>1.Электроэнергия – 5490075</w:t>
      </w:r>
      <w:r w:rsidRPr="00F80E68">
        <w:rPr>
          <w:bCs/>
        </w:rPr>
        <w:t xml:space="preserve"> квт/ч на сумму </w:t>
      </w:r>
      <w:r w:rsidR="009B4803">
        <w:rPr>
          <w:bCs/>
        </w:rPr>
        <w:t>27.810</w:t>
      </w:r>
      <w:r w:rsidRPr="00F80E68">
        <w:rPr>
          <w:bCs/>
        </w:rPr>
        <w:t>тыс</w:t>
      </w:r>
      <w:proofErr w:type="gramStart"/>
      <w:r w:rsidRPr="00F80E68">
        <w:rPr>
          <w:bCs/>
        </w:rPr>
        <w:t>.р</w:t>
      </w:r>
      <w:proofErr w:type="gramEnd"/>
      <w:r w:rsidRPr="00F80E68">
        <w:rPr>
          <w:bCs/>
        </w:rPr>
        <w:t>ублей;</w:t>
      </w:r>
    </w:p>
    <w:p w:rsidR="00F80E68" w:rsidRPr="00F80E68" w:rsidRDefault="00F80E68" w:rsidP="00F80E68">
      <w:pPr>
        <w:ind w:left="-567" w:right="-234"/>
        <w:jc w:val="both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F80E68">
        <w:rPr>
          <w:rFonts w:ascii="Times New Roman CYR" w:hAnsi="Times New Roman CYR" w:cs="Times New Roman CYR"/>
          <w:bCs/>
          <w:lang w:eastAsia="ru-RU"/>
        </w:rPr>
        <w:tab/>
        <w:t xml:space="preserve">2.Газ горючий природный – </w:t>
      </w:r>
      <w:r w:rsidR="009B4803">
        <w:rPr>
          <w:rFonts w:ascii="Times New Roman CYR" w:hAnsi="Times New Roman CYR" w:cs="Times New Roman CYR"/>
          <w:bCs/>
          <w:lang w:eastAsia="ru-RU"/>
        </w:rPr>
        <w:t>470000</w:t>
      </w:r>
      <w:r w:rsidRPr="00F80E68">
        <w:rPr>
          <w:rFonts w:ascii="Times New Roman CYR" w:hAnsi="Times New Roman CYR" w:cs="Times New Roman CYR"/>
          <w:bCs/>
          <w:lang w:eastAsia="ru-RU"/>
        </w:rPr>
        <w:t xml:space="preserve"> м з на сумму 2.</w:t>
      </w:r>
      <w:r w:rsidR="009B4803">
        <w:rPr>
          <w:rFonts w:ascii="Times New Roman CYR" w:hAnsi="Times New Roman CYR" w:cs="Times New Roman CYR"/>
          <w:bCs/>
          <w:lang w:eastAsia="ru-RU"/>
        </w:rPr>
        <w:t>879</w:t>
      </w:r>
      <w:r w:rsidRPr="00F80E68">
        <w:rPr>
          <w:rFonts w:ascii="Times New Roman CYR" w:hAnsi="Times New Roman CYR" w:cs="Times New Roman CYR"/>
          <w:bCs/>
          <w:lang w:eastAsia="ru-RU"/>
        </w:rPr>
        <w:t>тыс</w:t>
      </w:r>
      <w:proofErr w:type="gramStart"/>
      <w:r w:rsidRPr="00F80E68">
        <w:rPr>
          <w:rFonts w:ascii="Times New Roman CYR" w:hAnsi="Times New Roman CYR" w:cs="Times New Roman CYR"/>
          <w:bCs/>
          <w:lang w:eastAsia="ru-RU"/>
        </w:rPr>
        <w:t>.р</w:t>
      </w:r>
      <w:proofErr w:type="gramEnd"/>
      <w:r w:rsidRPr="00F80E68">
        <w:rPr>
          <w:rFonts w:ascii="Times New Roman CYR" w:hAnsi="Times New Roman CYR" w:cs="Times New Roman CYR"/>
          <w:bCs/>
          <w:lang w:eastAsia="ru-RU"/>
        </w:rPr>
        <w:t>ублей;</w:t>
      </w:r>
    </w:p>
    <w:p w:rsidR="00F80E68" w:rsidRPr="00F80E68" w:rsidRDefault="00F80E68" w:rsidP="00F80E68">
      <w:pPr>
        <w:ind w:left="-567" w:right="-234"/>
        <w:jc w:val="both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F80E68">
        <w:rPr>
          <w:rFonts w:ascii="Times New Roman CYR" w:hAnsi="Times New Roman CYR" w:cs="Times New Roman CYR"/>
          <w:bCs/>
          <w:lang w:eastAsia="ru-RU"/>
        </w:rPr>
        <w:tab/>
        <w:t>3.</w:t>
      </w:r>
      <w:r w:rsidR="009B4803">
        <w:rPr>
          <w:rFonts w:ascii="Times New Roman CYR" w:hAnsi="Times New Roman CYR" w:cs="Times New Roman CYR"/>
          <w:bCs/>
          <w:lang w:eastAsia="ru-RU"/>
        </w:rPr>
        <w:t xml:space="preserve">Вода - </w:t>
      </w:r>
      <w:r w:rsidRPr="00F80E68">
        <w:rPr>
          <w:rFonts w:ascii="Times New Roman CYR" w:hAnsi="Times New Roman CYR" w:cs="Times New Roman CYR"/>
          <w:bCs/>
          <w:lang w:eastAsia="ru-RU"/>
        </w:rPr>
        <w:t xml:space="preserve"> </w:t>
      </w:r>
      <w:r w:rsidR="009B4803">
        <w:rPr>
          <w:rFonts w:ascii="Times New Roman CYR" w:hAnsi="Times New Roman CYR" w:cs="Times New Roman CYR"/>
          <w:bCs/>
          <w:lang w:eastAsia="ru-RU"/>
        </w:rPr>
        <w:t>19368</w:t>
      </w:r>
      <w:r w:rsidRPr="00F80E68">
        <w:rPr>
          <w:rFonts w:ascii="Times New Roman CYR" w:hAnsi="Times New Roman CYR" w:cs="Times New Roman CYR"/>
          <w:bCs/>
          <w:lang w:eastAsia="ru-RU"/>
        </w:rPr>
        <w:t xml:space="preserve"> м з на сумму </w:t>
      </w:r>
      <w:r w:rsidR="009B4803">
        <w:rPr>
          <w:rFonts w:ascii="Times New Roman CYR" w:hAnsi="Times New Roman CYR" w:cs="Times New Roman CYR"/>
          <w:bCs/>
          <w:lang w:eastAsia="ru-RU"/>
        </w:rPr>
        <w:t>473.761</w:t>
      </w:r>
      <w:r w:rsidRPr="00F80E68">
        <w:rPr>
          <w:rFonts w:ascii="Times New Roman CYR" w:hAnsi="Times New Roman CYR" w:cs="Times New Roman CYR"/>
          <w:bCs/>
          <w:lang w:eastAsia="ru-RU"/>
        </w:rPr>
        <w:t>тыс</w:t>
      </w:r>
      <w:proofErr w:type="gramStart"/>
      <w:r w:rsidRPr="00F80E68">
        <w:rPr>
          <w:rFonts w:ascii="Times New Roman CYR" w:hAnsi="Times New Roman CYR" w:cs="Times New Roman CYR"/>
          <w:bCs/>
          <w:lang w:eastAsia="ru-RU"/>
        </w:rPr>
        <w:t>.р</w:t>
      </w:r>
      <w:proofErr w:type="gramEnd"/>
      <w:r w:rsidRPr="00F80E68">
        <w:rPr>
          <w:rFonts w:ascii="Times New Roman CYR" w:hAnsi="Times New Roman CYR" w:cs="Times New Roman CYR"/>
          <w:bCs/>
          <w:lang w:eastAsia="ru-RU"/>
        </w:rPr>
        <w:t>ублей;</w:t>
      </w:r>
    </w:p>
    <w:p w:rsidR="00F80E68" w:rsidRPr="00F80E68" w:rsidRDefault="009B4803" w:rsidP="00F80E68">
      <w:pPr>
        <w:ind w:left="-567" w:right="-234"/>
        <w:jc w:val="both"/>
        <w:textAlignment w:val="auto"/>
        <w:rPr>
          <w:rFonts w:ascii="Times New Roman CYR" w:hAnsi="Times New Roman CYR" w:cs="Times New Roman CYR"/>
          <w:bCs/>
          <w:lang w:eastAsia="ru-RU"/>
        </w:rPr>
      </w:pPr>
      <w:r>
        <w:rPr>
          <w:rFonts w:ascii="Times New Roman CYR" w:hAnsi="Times New Roman CYR" w:cs="Times New Roman CYR"/>
          <w:bCs/>
          <w:lang w:eastAsia="ru-RU"/>
        </w:rPr>
        <w:tab/>
        <w:t>4.Топливо (ГСМ) – 110927 л на сумму 3.565</w:t>
      </w:r>
      <w:r w:rsidR="00F80E68" w:rsidRPr="00F80E68">
        <w:rPr>
          <w:rFonts w:ascii="Times New Roman CYR" w:hAnsi="Times New Roman CYR" w:cs="Times New Roman CYR"/>
          <w:bCs/>
          <w:lang w:eastAsia="ru-RU"/>
        </w:rPr>
        <w:t>тыс</w:t>
      </w:r>
      <w:proofErr w:type="gramStart"/>
      <w:r w:rsidR="00F80E68" w:rsidRPr="00F80E68">
        <w:rPr>
          <w:rFonts w:ascii="Times New Roman CYR" w:hAnsi="Times New Roman CYR" w:cs="Times New Roman CYR"/>
          <w:bCs/>
          <w:lang w:eastAsia="ru-RU"/>
        </w:rPr>
        <w:t>.р</w:t>
      </w:r>
      <w:proofErr w:type="gramEnd"/>
      <w:r w:rsidR="00F80E68" w:rsidRPr="00F80E68">
        <w:rPr>
          <w:rFonts w:ascii="Times New Roman CYR" w:hAnsi="Times New Roman CYR" w:cs="Times New Roman CYR"/>
          <w:bCs/>
          <w:lang w:eastAsia="ru-RU"/>
        </w:rPr>
        <w:t>ублей.</w:t>
      </w:r>
    </w:p>
    <w:p w:rsidR="00570574" w:rsidRDefault="00E700E8">
      <w:pPr>
        <w:pStyle w:val="Standard"/>
        <w:ind w:left="-567" w:right="-234"/>
        <w:jc w:val="both"/>
        <w:rPr>
          <w:bCs/>
        </w:rPr>
      </w:pPr>
      <w:r>
        <w:rPr>
          <w:bCs/>
        </w:rPr>
        <w:t>На мукомольном комбинате существуют и внутренние резервы для совершенствования методов экономии сырья, энергоносителей, топлива, воды, которые изыскиваются и используются для оптимизации производственных процессов.</w:t>
      </w:r>
    </w:p>
    <w:p w:rsidR="00570574" w:rsidRDefault="00570574">
      <w:pPr>
        <w:pStyle w:val="Standard"/>
        <w:ind w:left="-567" w:right="-234"/>
        <w:jc w:val="center"/>
        <w:rPr>
          <w:b/>
          <w:bCs/>
          <w:i/>
          <w:u w:val="single"/>
        </w:rPr>
      </w:pPr>
    </w:p>
    <w:p w:rsidR="00570574" w:rsidRDefault="00E700E8">
      <w:pPr>
        <w:pStyle w:val="Standard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5.</w:t>
      </w:r>
    </w:p>
    <w:p w:rsidR="00570574" w:rsidRDefault="00570574">
      <w:pPr>
        <w:pStyle w:val="Standard"/>
        <w:ind w:left="-567" w:right="-234"/>
        <w:jc w:val="center"/>
        <w:rPr>
          <w:b/>
          <w:bCs/>
          <w:i/>
          <w:u w:val="single"/>
        </w:rPr>
      </w:pPr>
    </w:p>
    <w:p w:rsidR="00570574" w:rsidRDefault="00E700E8">
      <w:pPr>
        <w:pStyle w:val="Default"/>
        <w:ind w:left="-567" w:right="-234"/>
        <w:jc w:val="both"/>
      </w:pPr>
      <w:r>
        <w:t>Перспективы развития Общества связаны, прежде всего, с развитием основного вида деятельности - производства и реализации муки и крупы из зерновых культур. Для дальнейшей успешной работы на рынке зерна и продуктов его переработки, сохранения лидерства на рынке необходимо:</w:t>
      </w:r>
    </w:p>
    <w:p w:rsidR="00570574" w:rsidRDefault="00E700E8">
      <w:pPr>
        <w:pStyle w:val="Default"/>
        <w:ind w:left="-567" w:right="-234"/>
        <w:jc w:val="both"/>
      </w:pPr>
      <w:r>
        <w:t>-обеспечить стабильное поступление на предприятие зерна в нужном ассортименте и качестве;</w:t>
      </w:r>
    </w:p>
    <w:p w:rsidR="00570574" w:rsidRDefault="00E700E8">
      <w:pPr>
        <w:pStyle w:val="Default"/>
        <w:ind w:left="-567" w:right="-234"/>
        <w:jc w:val="both"/>
      </w:pPr>
      <w:r>
        <w:t>-совершенствовать формы сотрудничества с местными сельхоз товаропроизводителями;</w:t>
      </w:r>
    </w:p>
    <w:p w:rsidR="00570574" w:rsidRDefault="00E700E8">
      <w:pPr>
        <w:pStyle w:val="Default"/>
        <w:ind w:left="-567" w:right="-234"/>
        <w:jc w:val="both"/>
      </w:pPr>
      <w:r>
        <w:t>-иметь для своевременной оплаты за зерно необходимые финансовые ресурсы;</w:t>
      </w:r>
    </w:p>
    <w:p w:rsidR="00570574" w:rsidRDefault="00E700E8">
      <w:pPr>
        <w:pStyle w:val="Default"/>
        <w:ind w:left="-567" w:right="-234"/>
        <w:jc w:val="both"/>
      </w:pPr>
      <w:r>
        <w:t>-совершенствовать процесс производства, продолжать модернизацию основных технологических линий, уделять самое пристальное внимание процессам контроля качества;</w:t>
      </w:r>
    </w:p>
    <w:p w:rsidR="00570574" w:rsidRDefault="00E700E8">
      <w:pPr>
        <w:pStyle w:val="Default"/>
        <w:ind w:left="-567" w:right="-234"/>
        <w:jc w:val="both"/>
      </w:pPr>
      <w:r>
        <w:t>-применять на практике новые подходы в маркетинге и менеджменте;</w:t>
      </w:r>
    </w:p>
    <w:p w:rsidR="00570574" w:rsidRDefault="00E700E8">
      <w:pPr>
        <w:pStyle w:val="Default"/>
        <w:ind w:left="-567" w:right="-234"/>
        <w:jc w:val="both"/>
      </w:pPr>
      <w:r>
        <w:t>-проводить постоянный мониторинг рынка зерна и муки, его текущей конъюнктуры, прогноз и перспектива.</w:t>
      </w:r>
    </w:p>
    <w:p w:rsidR="00570574" w:rsidRDefault="00E700E8">
      <w:pPr>
        <w:pStyle w:val="Default"/>
        <w:ind w:left="-567" w:right="-234"/>
        <w:jc w:val="both"/>
      </w:pPr>
      <w:r>
        <w:t>-продвижение продукции посредством участия в международных, профильных и региональных мероприятиях: смотрах – конкурсах, выставках;</w:t>
      </w:r>
    </w:p>
    <w:p w:rsidR="00570574" w:rsidRDefault="00E700E8">
      <w:pPr>
        <w:pStyle w:val="Default"/>
        <w:ind w:left="-567" w:right="-234"/>
        <w:jc w:val="both"/>
      </w:pPr>
      <w:r>
        <w:t>-формирование положительного имиджа предприятия через различные каналы коммуникаций, в том числе через СМИ.</w:t>
      </w:r>
    </w:p>
    <w:p w:rsidR="00570574" w:rsidRDefault="00E700E8">
      <w:pPr>
        <w:pStyle w:val="Default"/>
        <w:ind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6.</w:t>
      </w:r>
    </w:p>
    <w:p w:rsidR="00570574" w:rsidRDefault="00570574">
      <w:pPr>
        <w:pStyle w:val="Default"/>
        <w:ind w:left="-567" w:right="-234"/>
        <w:jc w:val="center"/>
        <w:rPr>
          <w:i/>
        </w:rPr>
      </w:pPr>
    </w:p>
    <w:p w:rsidR="00570574" w:rsidRDefault="00E700E8">
      <w:pPr>
        <w:pStyle w:val="Default"/>
        <w:ind w:left="-567" w:right="-234"/>
        <w:jc w:val="both"/>
      </w:pPr>
      <w:r>
        <w:t>На обще</w:t>
      </w:r>
      <w:r w:rsidR="0085669B">
        <w:t>м собрании акционеров 12.05.2016</w:t>
      </w:r>
      <w:r>
        <w:t>г. - было принято решение не выпл</w:t>
      </w:r>
      <w:r w:rsidR="0085669B">
        <w:t>ачивать дивиденды по итогам 2015</w:t>
      </w:r>
      <w:r>
        <w:t xml:space="preserve"> года, направить средства на развитие производства.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Раздел 7.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Деятельность ОАО "МК "ВОРОНЕЖСКИЙ" подвержена ряду рисков, наиболее существенные из которых перечислены ниже. Компания последовательно предпринимает шаги по созданию эффективной системы управления рисками, направленной на обеспечение достаточного уровня уверенности в достижении стратегических и оперативных целей и предоставлении разумной гарантии защиты от возникновения возможных убытков. Корпоративная политика, стандарты и процедуры системы управления рисками распространяются на все дивизионы и предприятия ОАО "МК "ВОРОНЕЖСКИЙ". Ответственность за формирование и функционирование системы управления рисками несет руководство и сотрудники на всех уровнях управления компании. Совет директоров и руководство компании обеспечивают постоянный контроль над эффективностью функционирования системы управления рисками.</w:t>
      </w:r>
    </w:p>
    <w:p w:rsidR="00570574" w:rsidRDefault="00E700E8">
      <w:pPr>
        <w:pStyle w:val="Default"/>
        <w:ind w:left="-567" w:right="-234"/>
        <w:jc w:val="both"/>
        <w:rPr>
          <w:b/>
          <w:bCs/>
        </w:rPr>
      </w:pPr>
      <w:r>
        <w:rPr>
          <w:b/>
          <w:bCs/>
        </w:rPr>
        <w:t>Отраслевые риски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ОАО "МК “ВОРОНЕЖСКИЙ” осуществляет приемку зерна с железнодорожного и автомобильного транспорта по договорам на закупку зерна, переработку зерна на муку и отгрузку ее потребителям.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Факторы, влияющие на рыночное ценообразование продукции эмитента – колебания мировых цен на сырье, общие тенденции развития отрасли;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 xml:space="preserve">- факторы влияния на деятельность отрасли решений иностранных государств, связанных с введением заградительных пошлин на продукцию отрасли, специальных </w:t>
      </w:r>
      <w:proofErr w:type="spellStart"/>
      <w:r>
        <w:rPr>
          <w:bCs/>
        </w:rPr>
        <w:t>страновых</w:t>
      </w:r>
      <w:proofErr w:type="spellEnd"/>
      <w:r>
        <w:rPr>
          <w:bCs/>
        </w:rPr>
        <w:t xml:space="preserve"> квот на импорт и т.д.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- риски, связанные с возможным изменением цен на сырье, сопряжены с урожайностью (не урожайность) зерна.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Для минимизации указанных рисков ОАО “МК “ВОРОНЕЖСКИЙ” принимает следующие меры: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- Модернизация производства;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- Усовершенствование технологии;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- Повышение качества продукции;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- Снижение издержек с целью получения запаса конкурентоспособности;</w:t>
      </w:r>
    </w:p>
    <w:p w:rsidR="00570574" w:rsidRDefault="00E700E8">
      <w:pPr>
        <w:pStyle w:val="Default"/>
        <w:ind w:left="-567" w:right="-234"/>
        <w:jc w:val="both"/>
        <w:rPr>
          <w:b/>
          <w:bCs/>
        </w:rPr>
      </w:pPr>
      <w:proofErr w:type="spellStart"/>
      <w:r>
        <w:rPr>
          <w:b/>
          <w:bCs/>
        </w:rPr>
        <w:t>Страновые</w:t>
      </w:r>
      <w:proofErr w:type="spellEnd"/>
      <w:r>
        <w:rPr>
          <w:b/>
          <w:bCs/>
        </w:rPr>
        <w:t xml:space="preserve"> и региональные риски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Политическая и экономическая ситуация в России благоприятна для дальнейшего развития пищевой отрасли. Город Воронеж не относится к зоне повышенного риска для развития бизнеса. Географические особенности среднерусской полосы исключают стихийные бедствия, землетрясения, связанные с возможным прекращением транспортного сообщения.</w:t>
      </w:r>
    </w:p>
    <w:p w:rsidR="00570574" w:rsidRDefault="00E700E8">
      <w:pPr>
        <w:pStyle w:val="Default"/>
        <w:ind w:left="-567" w:right="-234"/>
        <w:jc w:val="both"/>
        <w:rPr>
          <w:b/>
          <w:bCs/>
        </w:rPr>
      </w:pPr>
      <w:r>
        <w:rPr>
          <w:b/>
          <w:bCs/>
        </w:rPr>
        <w:t>Финансовые риски</w:t>
      </w:r>
    </w:p>
    <w:p w:rsidR="00570574" w:rsidRDefault="001F3B67">
      <w:pPr>
        <w:pStyle w:val="Default"/>
        <w:ind w:left="-567" w:right="-234"/>
        <w:jc w:val="both"/>
        <w:rPr>
          <w:bCs/>
        </w:rPr>
      </w:pPr>
      <w:r>
        <w:rPr>
          <w:bCs/>
        </w:rPr>
        <w:t xml:space="preserve">ОАО «МК» ВОРОНЕЖСКИЙ» </w:t>
      </w:r>
      <w:r w:rsidR="00E700E8">
        <w:rPr>
          <w:bCs/>
        </w:rPr>
        <w:t xml:space="preserve"> подвергается риску изменения валютного курса. </w:t>
      </w:r>
    </w:p>
    <w:p w:rsidR="00570574" w:rsidRDefault="001F3B67">
      <w:pPr>
        <w:pStyle w:val="Default"/>
        <w:ind w:left="-567" w:right="-234"/>
        <w:jc w:val="both"/>
        <w:rPr>
          <w:bCs/>
        </w:rPr>
      </w:pPr>
      <w:r>
        <w:rPr>
          <w:bCs/>
        </w:rPr>
        <w:t>ОАО «</w:t>
      </w:r>
      <w:r w:rsidR="00E700E8">
        <w:rPr>
          <w:bCs/>
        </w:rPr>
        <w:t>МК</w:t>
      </w:r>
      <w:r>
        <w:rPr>
          <w:bCs/>
        </w:rPr>
        <w:t xml:space="preserve">» ВОРОНЕЖСКИЙ» </w:t>
      </w:r>
      <w:r w:rsidR="00E700E8">
        <w:rPr>
          <w:bCs/>
        </w:rPr>
        <w:t xml:space="preserve"> подвержено риску инфляции в своей производственно-хозяйственной деятельности. Инфляция приводит к повышению затрат на производство (за счет роста цен на энергоресурсы, сырье и материалы) и может стать причиной снижения показателей рентабельности.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В условиях финансово-экономического кризиса возрос риск несвоевременной оплаты за поставленную продукцию, что сопряжено с увеличением дебиторской задолженности и негативно отражается на хозяйственной деятельности предприятия.</w:t>
      </w:r>
    </w:p>
    <w:p w:rsidR="00570574" w:rsidRDefault="00E700E8">
      <w:pPr>
        <w:pStyle w:val="Default"/>
        <w:ind w:left="-567" w:right="-234"/>
        <w:jc w:val="both"/>
        <w:rPr>
          <w:b/>
          <w:bCs/>
        </w:rPr>
      </w:pPr>
      <w:r>
        <w:rPr>
          <w:b/>
          <w:bCs/>
        </w:rPr>
        <w:t>Правовые риски</w:t>
      </w:r>
    </w:p>
    <w:p w:rsidR="00570574" w:rsidRDefault="00E700E8">
      <w:pPr>
        <w:pStyle w:val="Default"/>
        <w:ind w:left="-567" w:right="-234"/>
        <w:jc w:val="both"/>
        <w:rPr>
          <w:bCs/>
        </w:rPr>
      </w:pPr>
      <w:r>
        <w:rPr>
          <w:bCs/>
        </w:rPr>
        <w:t>Ужесточение налоговой политики в РФ, возможный рост ставок по налогам может привести к увеличению расходов ОАО "МК “ВОРОНЕЖСКИЙ” и снижению денежных средств, остающихся на финансирование текущей деятельности и исполнение обязательств.</w:t>
      </w:r>
    </w:p>
    <w:p w:rsidR="00570574" w:rsidRDefault="00E700E8">
      <w:pPr>
        <w:pStyle w:val="Default"/>
        <w:ind w:left="-567" w:right="-234"/>
        <w:jc w:val="both"/>
        <w:rPr>
          <w:b/>
          <w:bCs/>
        </w:rPr>
      </w:pPr>
      <w:r>
        <w:rPr>
          <w:b/>
          <w:bCs/>
        </w:rPr>
        <w:t>Риски, связанные с деятельностью эмитента</w:t>
      </w:r>
    </w:p>
    <w:p w:rsidR="00570574" w:rsidRDefault="00E700E8">
      <w:pPr>
        <w:pStyle w:val="Default"/>
        <w:ind w:left="-567" w:right="-234"/>
        <w:jc w:val="both"/>
      </w:pPr>
      <w:r>
        <w:rPr>
          <w:bCs/>
        </w:rPr>
        <w:t>Риски, связанные с деятельностью ОАО "МК “ВОРОНЕЖСКИЙ”, а именно связанные с текущими судебными процессами, с возможностью продления действия лицензии, возможной ответственностью по долгам третьих лиц – отсутствуют.</w:t>
      </w:r>
    </w:p>
    <w:p w:rsidR="00570574" w:rsidRDefault="00570574">
      <w:pPr>
        <w:pStyle w:val="Default"/>
        <w:ind w:left="-567" w:right="-234"/>
        <w:jc w:val="both"/>
        <w:rPr>
          <w:b/>
          <w:bCs/>
          <w:u w:val="single"/>
        </w:rPr>
      </w:pP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8.</w:t>
      </w:r>
    </w:p>
    <w:p w:rsidR="00570574" w:rsidRDefault="00570574">
      <w:pPr>
        <w:pStyle w:val="Default"/>
        <w:ind w:left="-567" w:right="-234"/>
        <w:jc w:val="center"/>
        <w:rPr>
          <w:b/>
          <w:bCs/>
          <w:i/>
          <w:u w:val="single"/>
        </w:rPr>
      </w:pPr>
    </w:p>
    <w:p w:rsidR="00FD6C40" w:rsidRPr="00FD6C40" w:rsidRDefault="002309E3" w:rsidP="002309E3">
      <w:pPr>
        <w:widowControl/>
        <w:suppressAutoHyphens w:val="0"/>
        <w:autoSpaceDE/>
        <w:autoSpaceDN/>
        <w:ind w:left="-567" w:right="-234"/>
        <w:jc w:val="both"/>
        <w:textAlignment w:val="auto"/>
        <w:rPr>
          <w:kern w:val="0"/>
          <w:lang w:eastAsia="ru-RU" w:bidi="ar-SA"/>
        </w:rPr>
      </w:pPr>
      <w:r w:rsidRPr="001F3B67">
        <w:rPr>
          <w:b/>
          <w:kern w:val="0"/>
          <w:lang w:eastAsia="ru-RU" w:bidi="ar-SA"/>
        </w:rPr>
        <w:lastRenderedPageBreak/>
        <w:t>1.Крупная сделка.</w:t>
      </w:r>
      <w:r w:rsidR="00FD6C40" w:rsidRPr="00FD6C40">
        <w:rPr>
          <w:kern w:val="0"/>
          <w:lang w:eastAsia="ru-RU" w:bidi="ar-SA"/>
        </w:rPr>
        <w:t xml:space="preserve"> Договор об открытии кредитной линии на приобретение отечественного сельск</w:t>
      </w:r>
      <w:r w:rsidR="00FD6C40" w:rsidRPr="00FD6C40">
        <w:rPr>
          <w:kern w:val="0"/>
          <w:lang w:eastAsia="ru-RU" w:bidi="ar-SA"/>
        </w:rPr>
        <w:t>о</w:t>
      </w:r>
      <w:r w:rsidR="00FD6C40" w:rsidRPr="00FD6C40">
        <w:rPr>
          <w:kern w:val="0"/>
          <w:lang w:eastAsia="ru-RU" w:bidi="ar-SA"/>
        </w:rPr>
        <w:t>хозяйственного сырья для первичной и промышленной переработки.</w:t>
      </w:r>
      <w:r>
        <w:rPr>
          <w:kern w:val="0"/>
          <w:lang w:eastAsia="ru-RU" w:bidi="ar-SA"/>
        </w:rPr>
        <w:t xml:space="preserve"> </w:t>
      </w:r>
      <w:r w:rsidR="00FD6C40" w:rsidRPr="00FD6C40">
        <w:rPr>
          <w:kern w:val="0"/>
          <w:lang w:eastAsia="ru-RU" w:bidi="ar-SA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сделка. Кредитор (Воронежский региональный филиал ОАО «</w:t>
      </w:r>
      <w:proofErr w:type="spellStart"/>
      <w:r w:rsidR="00FD6C40" w:rsidRPr="00FD6C40">
        <w:rPr>
          <w:kern w:val="0"/>
          <w:lang w:eastAsia="ru-RU" w:bidi="ar-SA"/>
        </w:rPr>
        <w:t>Россельхозбанк</w:t>
      </w:r>
      <w:proofErr w:type="spellEnd"/>
      <w:r w:rsidR="00FD6C40" w:rsidRPr="00FD6C40">
        <w:rPr>
          <w:kern w:val="0"/>
          <w:lang w:eastAsia="ru-RU" w:bidi="ar-SA"/>
        </w:rPr>
        <w:t>») обязуется открыть Заемщику (ОАО «Мукомольный комбинат «ВОРОНЕЖСКИЙ») кредитную линию на закупку сельскохозяйственного сырья для первичной и промышленной переработки на срок по «22» сентября 2015 года. Заемщик обязуется возвратить Кредитору полученный кредит и уплатить проценты за пользование им и другие платежи в размере, в сроки и на условиях договора.</w:t>
      </w:r>
    </w:p>
    <w:p w:rsidR="00FD6C40" w:rsidRDefault="00FD6C40" w:rsidP="002309E3">
      <w:pPr>
        <w:widowControl/>
        <w:suppressAutoHyphens w:val="0"/>
        <w:autoSpaceDE/>
        <w:autoSpaceDN/>
        <w:ind w:left="-567" w:right="-234"/>
        <w:jc w:val="both"/>
        <w:textAlignment w:val="auto"/>
        <w:rPr>
          <w:kern w:val="0"/>
          <w:lang w:eastAsia="ru-RU" w:bidi="ar-SA"/>
        </w:rPr>
      </w:pPr>
      <w:r w:rsidRPr="00FD6C40">
        <w:rPr>
          <w:kern w:val="0"/>
          <w:lang w:eastAsia="ru-RU" w:bidi="ar-SA"/>
        </w:rPr>
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эмитента. Дата полного погашения выданного кредита - «27» мая 2016 года. Стороны сделки: Воронежский региональный филиал ОАО «</w:t>
      </w:r>
      <w:proofErr w:type="spellStart"/>
      <w:r w:rsidRPr="00FD6C40">
        <w:rPr>
          <w:kern w:val="0"/>
          <w:lang w:eastAsia="ru-RU" w:bidi="ar-SA"/>
        </w:rPr>
        <w:t>Россельхозбанк</w:t>
      </w:r>
      <w:proofErr w:type="spellEnd"/>
      <w:r w:rsidRPr="00FD6C40">
        <w:rPr>
          <w:kern w:val="0"/>
          <w:lang w:eastAsia="ru-RU" w:bidi="ar-SA"/>
        </w:rPr>
        <w:t>», ОАО «Мукомольный комбинат «ВОРОНЕЖСКИЙ».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Выгодоприобретатель - ОАО «Мукомольный комбинат «ВОРОНЕЖСКИЙ».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Размер сделки в денежном выражении – 237.000.000 рублей.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Стоимость активов эмитента на дату окончания отчетного периода (квартала, года), предш</w:t>
      </w:r>
      <w:r w:rsidRPr="00FD6C40">
        <w:rPr>
          <w:kern w:val="0"/>
          <w:lang w:eastAsia="ru-RU" w:bidi="ar-SA"/>
        </w:rPr>
        <w:t>е</w:t>
      </w:r>
      <w:r w:rsidRPr="00FD6C40">
        <w:rPr>
          <w:kern w:val="0"/>
          <w:lang w:eastAsia="ru-RU" w:bidi="ar-SA"/>
        </w:rPr>
        <w:t>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 – 465162 тыс. р.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Дата совершения сделки (заключения договора) – 8 июля 2015 года.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Протокол №35 от 15 мая 2015г.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>Орган управления эмитента, принявший решение об одобрении сделки: Общее собрание акционеров ОАО «Мукомольный комбинат «ВОРОНЕЖСКИЙ». Дата принятия решения об одобрении сделки – 12 мая 2015 года.</w:t>
      </w:r>
      <w:r w:rsidR="002309E3">
        <w:rPr>
          <w:kern w:val="0"/>
          <w:lang w:eastAsia="ru-RU" w:bidi="ar-SA"/>
        </w:rPr>
        <w:t xml:space="preserve"> </w:t>
      </w:r>
      <w:r w:rsidRPr="00FD6C40">
        <w:rPr>
          <w:kern w:val="0"/>
          <w:lang w:eastAsia="ru-RU" w:bidi="ar-SA"/>
        </w:rPr>
        <w:t xml:space="preserve">Дата составления и номер протокола собрания (заседания) уполномоченного органа управления эмитента, на котором принято решение об одобрении сделки – Протокол №35 от 15 мая 2015г. </w:t>
      </w:r>
    </w:p>
    <w:p w:rsidR="002309E3" w:rsidRDefault="002309E3" w:rsidP="00FD6C40">
      <w:pPr>
        <w:widowControl/>
        <w:suppressAutoHyphens w:val="0"/>
        <w:autoSpaceDE/>
        <w:autoSpaceDN/>
        <w:ind w:left="-567" w:right="-234"/>
        <w:jc w:val="both"/>
        <w:textAlignment w:val="auto"/>
        <w:rPr>
          <w:kern w:val="0"/>
          <w:lang w:eastAsia="ru-RU" w:bidi="ar-SA"/>
        </w:rPr>
      </w:pPr>
    </w:p>
    <w:p w:rsidR="002309E3" w:rsidRPr="00FD6C40" w:rsidRDefault="002309E3" w:rsidP="001F3B67">
      <w:pPr>
        <w:widowControl/>
        <w:suppressAutoHyphens w:val="0"/>
        <w:autoSpaceDE/>
        <w:autoSpaceDN/>
        <w:ind w:left="-567" w:right="-234"/>
        <w:jc w:val="both"/>
        <w:textAlignment w:val="auto"/>
        <w:rPr>
          <w:kern w:val="0"/>
          <w:lang w:eastAsia="ru-RU" w:bidi="ar-SA"/>
        </w:rPr>
      </w:pPr>
      <w:r w:rsidRPr="001F3B67">
        <w:rPr>
          <w:b/>
          <w:kern w:val="0"/>
          <w:lang w:eastAsia="ru-RU" w:bidi="ar-SA"/>
        </w:rPr>
        <w:t>2.</w:t>
      </w:r>
      <w:r w:rsidRPr="001F3B67">
        <w:rPr>
          <w:b/>
        </w:rPr>
        <w:t>Крупная сделка.</w:t>
      </w:r>
      <w:r w:rsidRPr="001F3B67">
        <w:rPr>
          <w:b/>
          <w:kern w:val="0"/>
          <w:lang w:eastAsia="ru-RU" w:bidi="ar-SA"/>
        </w:rPr>
        <w:t xml:space="preserve"> </w:t>
      </w:r>
      <w:r w:rsidRPr="002309E3">
        <w:rPr>
          <w:kern w:val="0"/>
          <w:lang w:eastAsia="ru-RU" w:bidi="ar-SA"/>
        </w:rPr>
        <w:t>Договор об открытии кредитной линии на приобретение отечественного сельск</w:t>
      </w:r>
      <w:r w:rsidRPr="002309E3">
        <w:rPr>
          <w:kern w:val="0"/>
          <w:lang w:eastAsia="ru-RU" w:bidi="ar-SA"/>
        </w:rPr>
        <w:t>о</w:t>
      </w:r>
      <w:r w:rsidRPr="002309E3">
        <w:rPr>
          <w:kern w:val="0"/>
          <w:lang w:eastAsia="ru-RU" w:bidi="ar-SA"/>
        </w:rPr>
        <w:t>хозяйственного сырья для первич</w:t>
      </w:r>
      <w:r>
        <w:rPr>
          <w:kern w:val="0"/>
          <w:lang w:eastAsia="ru-RU" w:bidi="ar-SA"/>
        </w:rPr>
        <w:t xml:space="preserve">ной и промышленной переработки. </w:t>
      </w:r>
      <w:r w:rsidRPr="002309E3">
        <w:rPr>
          <w:kern w:val="0"/>
          <w:lang w:eastAsia="ru-RU" w:bidi="ar-SA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сделка. Кредитор (Банк ВТБ) обязуется открыть Заемщику (ОАО «Мукомольный комбинат «ВОРОНЕЖСКИЙ») кредитную линию на закупку сельскохозяйственного сырья для первичной и промышленной переработки на срок 365 дней. Заемщик обязуется возвратить Кредит</w:t>
      </w:r>
      <w:r w:rsidRPr="002309E3">
        <w:rPr>
          <w:kern w:val="0"/>
          <w:lang w:eastAsia="ru-RU" w:bidi="ar-SA"/>
        </w:rPr>
        <w:t>о</w:t>
      </w:r>
      <w:r w:rsidRPr="002309E3">
        <w:rPr>
          <w:kern w:val="0"/>
          <w:lang w:eastAsia="ru-RU" w:bidi="ar-SA"/>
        </w:rPr>
        <w:t xml:space="preserve">ру полученный кредит и уплатить проценты за пользование им и другие платежи в размере, </w:t>
      </w:r>
      <w:r>
        <w:rPr>
          <w:kern w:val="0"/>
          <w:lang w:eastAsia="ru-RU" w:bidi="ar-SA"/>
        </w:rPr>
        <w:t xml:space="preserve">в сроки и на условиях договора. </w:t>
      </w:r>
      <w:r w:rsidRPr="002309E3">
        <w:rPr>
          <w:kern w:val="0"/>
          <w:lang w:eastAsia="ru-RU" w:bidi="ar-SA"/>
        </w:rPr>
        <w:t>Дата полного погашения выданного кр</w:t>
      </w:r>
      <w:r>
        <w:rPr>
          <w:kern w:val="0"/>
          <w:lang w:eastAsia="ru-RU" w:bidi="ar-SA"/>
        </w:rPr>
        <w:t xml:space="preserve">едита - «4» августа 2016 года. </w:t>
      </w:r>
      <w:r w:rsidRPr="002309E3">
        <w:rPr>
          <w:kern w:val="0"/>
          <w:lang w:eastAsia="ru-RU" w:bidi="ar-SA"/>
        </w:rPr>
        <w:t>Стороны сделки: Банк ВТБ (ПАО), ОАО «Муко</w:t>
      </w:r>
      <w:r>
        <w:rPr>
          <w:kern w:val="0"/>
          <w:lang w:eastAsia="ru-RU" w:bidi="ar-SA"/>
        </w:rPr>
        <w:t xml:space="preserve">мольный комбинат «ВОРОНЕЖСКИЙ». </w:t>
      </w:r>
      <w:r w:rsidRPr="002309E3">
        <w:rPr>
          <w:kern w:val="0"/>
          <w:lang w:eastAsia="ru-RU" w:bidi="ar-SA"/>
        </w:rPr>
        <w:t>Выгодоприобретатель - ОАО «Муко</w:t>
      </w:r>
      <w:r>
        <w:rPr>
          <w:kern w:val="0"/>
          <w:lang w:eastAsia="ru-RU" w:bidi="ar-SA"/>
        </w:rPr>
        <w:t xml:space="preserve">мольный комбинат «ВОРОНЕЖСКИЙ». </w:t>
      </w:r>
      <w:r w:rsidRPr="002309E3">
        <w:rPr>
          <w:kern w:val="0"/>
          <w:lang w:eastAsia="ru-RU" w:bidi="ar-SA"/>
        </w:rPr>
        <w:t>Размер сделки в денежном выражении – 300.000.0</w:t>
      </w:r>
      <w:r>
        <w:rPr>
          <w:kern w:val="0"/>
          <w:lang w:eastAsia="ru-RU" w:bidi="ar-SA"/>
        </w:rPr>
        <w:t xml:space="preserve">00 рублей. </w:t>
      </w:r>
      <w:r w:rsidRPr="002309E3">
        <w:rPr>
          <w:kern w:val="0"/>
          <w:lang w:eastAsia="ru-RU" w:bidi="ar-SA"/>
        </w:rP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</w:t>
      </w:r>
      <w:r>
        <w:rPr>
          <w:kern w:val="0"/>
          <w:lang w:eastAsia="ru-RU" w:bidi="ar-SA"/>
        </w:rPr>
        <w:t xml:space="preserve">ской Федерации – 465162 тыс. р. </w:t>
      </w:r>
      <w:r w:rsidRPr="002309E3">
        <w:rPr>
          <w:kern w:val="0"/>
          <w:lang w:eastAsia="ru-RU" w:bidi="ar-SA"/>
        </w:rPr>
        <w:t>Дата совершения сделки (заключения д</w:t>
      </w:r>
      <w:r w:rsidR="001F3B67">
        <w:rPr>
          <w:kern w:val="0"/>
          <w:lang w:eastAsia="ru-RU" w:bidi="ar-SA"/>
        </w:rPr>
        <w:t xml:space="preserve">оговора) – 4 августа 2015 года. </w:t>
      </w:r>
      <w:r w:rsidRPr="002309E3">
        <w:rPr>
          <w:kern w:val="0"/>
          <w:lang w:eastAsia="ru-RU" w:bidi="ar-SA"/>
        </w:rPr>
        <w:t>Сведения об одобрении сделки в случае, когда такая сделка является крупной сделкой: Прото</w:t>
      </w:r>
      <w:r w:rsidR="001F3B67">
        <w:rPr>
          <w:kern w:val="0"/>
          <w:lang w:eastAsia="ru-RU" w:bidi="ar-SA"/>
        </w:rPr>
        <w:t xml:space="preserve">кол №36 от 3 августа 2015г. </w:t>
      </w:r>
      <w:r w:rsidRPr="002309E3">
        <w:rPr>
          <w:kern w:val="0"/>
          <w:lang w:eastAsia="ru-RU" w:bidi="ar-SA"/>
        </w:rPr>
        <w:t>Орган управления эмитента, принявший решение об одобрении сделки: Общее собрание акционеров ОАО «Муком</w:t>
      </w:r>
      <w:r w:rsidR="001F3B67">
        <w:rPr>
          <w:kern w:val="0"/>
          <w:lang w:eastAsia="ru-RU" w:bidi="ar-SA"/>
        </w:rPr>
        <w:t xml:space="preserve">ольный комбинат «ВОРОНЕЖСКИЙ». </w:t>
      </w:r>
      <w:r w:rsidRPr="002309E3">
        <w:rPr>
          <w:kern w:val="0"/>
          <w:lang w:eastAsia="ru-RU" w:bidi="ar-SA"/>
        </w:rPr>
        <w:t>Дата принятия решения об одобр</w:t>
      </w:r>
      <w:r w:rsidRPr="002309E3">
        <w:rPr>
          <w:kern w:val="0"/>
          <w:lang w:eastAsia="ru-RU" w:bidi="ar-SA"/>
        </w:rPr>
        <w:t>е</w:t>
      </w:r>
      <w:r w:rsidR="001F3B67">
        <w:rPr>
          <w:kern w:val="0"/>
          <w:lang w:eastAsia="ru-RU" w:bidi="ar-SA"/>
        </w:rPr>
        <w:t xml:space="preserve">нии сделки – 31 июля 2015 года. </w:t>
      </w:r>
      <w:r w:rsidRPr="002309E3">
        <w:rPr>
          <w:kern w:val="0"/>
          <w:lang w:eastAsia="ru-RU" w:bidi="ar-SA"/>
        </w:rPr>
        <w:t>Дата составления и номер протокола собрания (заседания) уполн</w:t>
      </w:r>
      <w:r w:rsidRPr="002309E3">
        <w:rPr>
          <w:kern w:val="0"/>
          <w:lang w:eastAsia="ru-RU" w:bidi="ar-SA"/>
        </w:rPr>
        <w:t>о</w:t>
      </w:r>
      <w:r w:rsidRPr="002309E3">
        <w:rPr>
          <w:kern w:val="0"/>
          <w:lang w:eastAsia="ru-RU" w:bidi="ar-SA"/>
        </w:rPr>
        <w:t>моченного органа управления эмитента, на котором принято решение об одобрении сделки – Протокол №36 от 31 июля 2015г.</w:t>
      </w:r>
    </w:p>
    <w:p w:rsidR="00FD6C40" w:rsidRDefault="00FD6C40" w:rsidP="002309E3">
      <w:pPr>
        <w:pStyle w:val="Default"/>
        <w:ind w:left="-567" w:right="-234"/>
        <w:jc w:val="both"/>
        <w:rPr>
          <w:b/>
          <w:bCs/>
          <w:i/>
          <w:u w:val="single"/>
        </w:rPr>
      </w:pP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9.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9415F9">
      <w:pPr>
        <w:pStyle w:val="Default"/>
        <w:ind w:left="-567" w:right="-234"/>
        <w:jc w:val="both"/>
      </w:pPr>
      <w:r>
        <w:t>В 2015</w:t>
      </w:r>
      <w:r w:rsidR="00E700E8">
        <w:t xml:space="preserve"> году сделок, признаваемых в соответствии с Федеральным законом Российской Федерации от 26.12.1995г. № 208-ФЗ «Об акционерных обществах» сделками, в совершении которых имеется заинтересованность, Обществом не совершалось.</w:t>
      </w:r>
    </w:p>
    <w:p w:rsidR="00570574" w:rsidRDefault="00570574">
      <w:pPr>
        <w:pStyle w:val="Default"/>
        <w:ind w:left="-567" w:right="-234"/>
        <w:jc w:val="center"/>
        <w:rPr>
          <w:i/>
        </w:rPr>
      </w:pP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10.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Standard"/>
        <w:ind w:left="-567" w:right="-234"/>
        <w:jc w:val="both"/>
        <w:rPr>
          <w:rFonts w:ascii="Times New Roman" w:eastAsia="TimesNewRomanPS-BoldMT" w:hAnsi="Times New Roman" w:cs="Times New Roman"/>
          <w:b/>
          <w:bCs/>
          <w:u w:val="single"/>
        </w:rPr>
      </w:pPr>
      <w:r>
        <w:rPr>
          <w:rFonts w:ascii="Times New Roman" w:eastAsia="TimesNewRomanPS-BoldMT" w:hAnsi="Times New Roman" w:cs="Times New Roman"/>
          <w:b/>
          <w:bCs/>
          <w:u w:val="single"/>
        </w:rPr>
        <w:t>Лица, входящие в состав органов управления эмитента</w:t>
      </w:r>
    </w:p>
    <w:p w:rsidR="00570574" w:rsidRDefault="00E700E8">
      <w:pPr>
        <w:pStyle w:val="Standard"/>
        <w:ind w:left="-567" w:right="-234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Состав совета директоров (наблюдательного совета) эмитента</w:t>
      </w:r>
    </w:p>
    <w:p w:rsidR="00570574" w:rsidRDefault="00E700E8">
      <w:pPr>
        <w:pStyle w:val="Standard"/>
        <w:ind w:left="-567" w:right="-234"/>
        <w:jc w:val="both"/>
      </w:pPr>
      <w:proofErr w:type="spellStart"/>
      <w:r>
        <w:rPr>
          <w:rFonts w:ascii="Times New Roman" w:hAnsi="Times New Roman"/>
        </w:rPr>
        <w:t>Чешинский</w:t>
      </w:r>
      <w:proofErr w:type="spellEnd"/>
      <w:r>
        <w:rPr>
          <w:rFonts w:ascii="Times New Roman" w:hAnsi="Times New Roman"/>
        </w:rPr>
        <w:t xml:space="preserve"> Валерий Леонидович - </w:t>
      </w:r>
      <w:r w:rsidR="009415F9">
        <w:rPr>
          <w:rFonts w:ascii="Times New Roman" w:hAnsi="Times New Roman" w:cs="Times New Roman"/>
        </w:rPr>
        <w:t>Председатель Совета директоров ЗАО</w:t>
      </w:r>
      <w:r>
        <w:rPr>
          <w:rFonts w:ascii="Times New Roman" w:hAnsi="Times New Roman" w:cs="Times New Roman"/>
        </w:rPr>
        <w:t xml:space="preserve"> «Русская </w:t>
      </w:r>
      <w:r w:rsidR="009415F9">
        <w:rPr>
          <w:rFonts w:ascii="Times New Roman" w:hAnsi="Times New Roman" w:cs="Times New Roman"/>
        </w:rPr>
        <w:t>продовольственная компания</w:t>
      </w:r>
      <w:r>
        <w:rPr>
          <w:rFonts w:ascii="Times New Roman" w:hAnsi="Times New Roman" w:cs="Times New Roman"/>
        </w:rPr>
        <w:t>».1966 г., г. Москва (доля участия 3,14%)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Острейко Сергей </w:t>
      </w:r>
      <w:proofErr w:type="spellStart"/>
      <w:r>
        <w:rPr>
          <w:rFonts w:ascii="Times New Roman" w:hAnsi="Times New Roman"/>
        </w:rPr>
        <w:t>Адо</w:t>
      </w:r>
      <w:r w:rsidR="009415F9">
        <w:rPr>
          <w:rFonts w:ascii="Times New Roman" w:hAnsi="Times New Roman"/>
        </w:rPr>
        <w:t>льфович</w:t>
      </w:r>
      <w:proofErr w:type="spellEnd"/>
      <w:r w:rsidR="009415F9">
        <w:rPr>
          <w:rFonts w:ascii="Times New Roman" w:hAnsi="Times New Roman"/>
        </w:rPr>
        <w:t xml:space="preserve"> ― Генеральный директор З</w:t>
      </w:r>
      <w:r>
        <w:rPr>
          <w:rFonts w:ascii="Times New Roman" w:hAnsi="Times New Roman"/>
        </w:rPr>
        <w:t>АО «</w:t>
      </w:r>
      <w:r w:rsidR="009415F9">
        <w:rPr>
          <w:rFonts w:ascii="Times New Roman" w:hAnsi="Times New Roman"/>
        </w:rPr>
        <w:t>РПК»</w:t>
      </w:r>
      <w:r>
        <w:rPr>
          <w:rFonts w:ascii="Times New Roman" w:hAnsi="Times New Roman"/>
        </w:rPr>
        <w:t>, 1967г., г. Москва (доля участия отсутствует)</w:t>
      </w:r>
    </w:p>
    <w:p w:rsidR="00570574" w:rsidRDefault="00E700E8">
      <w:pPr>
        <w:pStyle w:val="Standard"/>
        <w:ind w:left="-567" w:right="-234"/>
        <w:jc w:val="both"/>
      </w:pPr>
      <w:r>
        <w:rPr>
          <w:rFonts w:ascii="Times New Roman" w:hAnsi="Times New Roman"/>
        </w:rPr>
        <w:t xml:space="preserve">Голов Владимир Михайлович - </w:t>
      </w:r>
      <w:r>
        <w:rPr>
          <w:rFonts w:ascii="Times New Roman" w:hAnsi="Times New Roman" w:cs="Times New Roman"/>
        </w:rPr>
        <w:t>Генеральный директор ЗАО «Воронежская хлебная компания». 04.10.1956года рождения, г. Воронеж, (доля участия отсутствует)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Константинов Олег Анатольевич ― 1966г., г. Воронеж, Генеральный директор ОАО «</w:t>
      </w:r>
      <w:proofErr w:type="spellStart"/>
      <w:r>
        <w:rPr>
          <w:rFonts w:ascii="Times New Roman" w:hAnsi="Times New Roman"/>
        </w:rPr>
        <w:t>Тобус</w:t>
      </w:r>
      <w:proofErr w:type="spellEnd"/>
      <w:r>
        <w:rPr>
          <w:rFonts w:ascii="Times New Roman" w:hAnsi="Times New Roman"/>
        </w:rPr>
        <w:t>» (доля участия отсутствует)</w:t>
      </w:r>
    </w:p>
    <w:p w:rsidR="009415F9" w:rsidRDefault="009415F9">
      <w:pPr>
        <w:pStyle w:val="Standard"/>
        <w:ind w:left="-567" w:right="-2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Каблашов</w:t>
      </w:r>
      <w:proofErr w:type="spellEnd"/>
      <w:r>
        <w:rPr>
          <w:rFonts w:ascii="Times New Roman" w:hAnsi="Times New Roman"/>
        </w:rPr>
        <w:t xml:space="preserve"> Владимир Васильевич </w:t>
      </w:r>
      <w:r w:rsidRPr="009415F9">
        <w:rPr>
          <w:rFonts w:ascii="Times New Roman" w:hAnsi="Times New Roman"/>
        </w:rPr>
        <w:t>(доля участия отсутствует)</w:t>
      </w:r>
      <w:r>
        <w:rPr>
          <w:rFonts w:ascii="Times New Roman" w:hAnsi="Times New Roman"/>
        </w:rPr>
        <w:t>.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Ланкин</w:t>
      </w:r>
      <w:proofErr w:type="spellEnd"/>
      <w:r>
        <w:rPr>
          <w:rFonts w:ascii="Times New Roman" w:hAnsi="Times New Roman"/>
        </w:rPr>
        <w:t xml:space="preserve"> Виктор Егорович ― 1947г., г. Воронеж, Генеральный директор ОАО «ВЭКЗ» (доля участия отсутствует).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Омельченко Олег Михайлович – Директор Департамента финансового контроля и аудита ЗАО «Воронежская хлебная компания», г. Воронеж (доля участия отсутствует)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Сенчихин</w:t>
      </w:r>
      <w:proofErr w:type="spellEnd"/>
      <w:r>
        <w:rPr>
          <w:rFonts w:ascii="Times New Roman" w:hAnsi="Times New Roman"/>
        </w:rPr>
        <w:t xml:space="preserve"> Владимир Иванович – Исполнительный директор ОАО «МК «ВОРОНЕЖСКИЙ», г. Воронеж (доля участия отсутствует)</w:t>
      </w:r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Ткачев Андрей Геннадьевич – Генеральный директор ОАО «МК «ВОРОНЕЖСКИЙ», г. Воронеж, (доля участия отсутствует)</w:t>
      </w:r>
    </w:p>
    <w:p w:rsidR="00570574" w:rsidRPr="001F3B67" w:rsidRDefault="009415F9">
      <w:pPr>
        <w:pStyle w:val="Standard"/>
        <w:ind w:left="-567" w:right="-234"/>
        <w:jc w:val="both"/>
        <w:rPr>
          <w:rFonts w:ascii="Times New Roman" w:hAnsi="Times New Roman"/>
          <w:b/>
          <w:u w:val="single"/>
        </w:rPr>
      </w:pPr>
      <w:r w:rsidRPr="001F3B67">
        <w:rPr>
          <w:rFonts w:ascii="Times New Roman" w:hAnsi="Times New Roman"/>
          <w:b/>
          <w:u w:val="single"/>
        </w:rPr>
        <w:t>12 мая 2015</w:t>
      </w:r>
      <w:r w:rsidR="00E700E8" w:rsidRPr="001F3B67">
        <w:rPr>
          <w:rFonts w:ascii="Times New Roman" w:hAnsi="Times New Roman"/>
          <w:b/>
          <w:u w:val="single"/>
        </w:rPr>
        <w:t xml:space="preserve"> года избран новый состав Совета директоров: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>1. Ткачев Андрей Геннадьевич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>2. Голов Владимир Михайлович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>3. Омельченко Олег Михайлович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 xml:space="preserve">4. Острейко Сергей </w:t>
      </w:r>
      <w:proofErr w:type="spellStart"/>
      <w:r w:rsidRPr="009415F9">
        <w:rPr>
          <w:i/>
          <w:kern w:val="0"/>
          <w:lang w:eastAsia="ru-RU" w:bidi="ar-SA"/>
        </w:rPr>
        <w:t>Адольфович</w:t>
      </w:r>
      <w:proofErr w:type="spellEnd"/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 xml:space="preserve">5. </w:t>
      </w:r>
      <w:proofErr w:type="spellStart"/>
      <w:r w:rsidRPr="009415F9">
        <w:rPr>
          <w:i/>
          <w:kern w:val="0"/>
          <w:lang w:eastAsia="ru-RU" w:bidi="ar-SA"/>
        </w:rPr>
        <w:t>Эдишерашвили</w:t>
      </w:r>
      <w:proofErr w:type="spellEnd"/>
      <w:r w:rsidRPr="009415F9">
        <w:rPr>
          <w:i/>
          <w:kern w:val="0"/>
          <w:lang w:eastAsia="ru-RU" w:bidi="ar-SA"/>
        </w:rPr>
        <w:t xml:space="preserve"> Георгий Витальевич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 xml:space="preserve">6. </w:t>
      </w:r>
      <w:proofErr w:type="spellStart"/>
      <w:r w:rsidRPr="009415F9">
        <w:rPr>
          <w:i/>
          <w:kern w:val="0"/>
          <w:lang w:eastAsia="ru-RU" w:bidi="ar-SA"/>
        </w:rPr>
        <w:t>Каблашов</w:t>
      </w:r>
      <w:proofErr w:type="spellEnd"/>
      <w:r w:rsidRPr="009415F9">
        <w:rPr>
          <w:i/>
          <w:kern w:val="0"/>
          <w:lang w:eastAsia="ru-RU" w:bidi="ar-SA"/>
        </w:rPr>
        <w:t xml:space="preserve"> Владимир Васильевич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>7. Квашнин Александр Николаевич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 xml:space="preserve">8. </w:t>
      </w:r>
      <w:proofErr w:type="spellStart"/>
      <w:r w:rsidRPr="009415F9">
        <w:rPr>
          <w:i/>
          <w:kern w:val="0"/>
          <w:lang w:eastAsia="ru-RU" w:bidi="ar-SA"/>
        </w:rPr>
        <w:t>Сенчихин</w:t>
      </w:r>
      <w:proofErr w:type="spellEnd"/>
      <w:r w:rsidRPr="009415F9">
        <w:rPr>
          <w:i/>
          <w:kern w:val="0"/>
          <w:lang w:eastAsia="ru-RU" w:bidi="ar-SA"/>
        </w:rPr>
        <w:t xml:space="preserve"> Владимир Иванович</w:t>
      </w:r>
    </w:p>
    <w:p w:rsidR="009415F9" w:rsidRPr="009415F9" w:rsidRDefault="009415F9" w:rsidP="009415F9">
      <w:pPr>
        <w:widowControl/>
        <w:tabs>
          <w:tab w:val="left" w:pos="426"/>
        </w:tabs>
        <w:suppressAutoHyphens w:val="0"/>
        <w:autoSpaceDE/>
        <w:autoSpaceDN/>
        <w:ind w:left="-567" w:right="-284"/>
        <w:jc w:val="both"/>
        <w:textAlignment w:val="auto"/>
        <w:rPr>
          <w:i/>
          <w:kern w:val="0"/>
          <w:lang w:eastAsia="ru-RU" w:bidi="ar-SA"/>
        </w:rPr>
      </w:pPr>
      <w:r w:rsidRPr="009415F9">
        <w:rPr>
          <w:i/>
          <w:kern w:val="0"/>
          <w:lang w:eastAsia="ru-RU" w:bidi="ar-SA"/>
        </w:rPr>
        <w:t xml:space="preserve">9. </w:t>
      </w:r>
      <w:proofErr w:type="spellStart"/>
      <w:r w:rsidRPr="009415F9">
        <w:rPr>
          <w:i/>
          <w:kern w:val="0"/>
          <w:lang w:eastAsia="ru-RU" w:bidi="ar-SA"/>
        </w:rPr>
        <w:t>Чешинский</w:t>
      </w:r>
      <w:proofErr w:type="spellEnd"/>
      <w:r w:rsidRPr="009415F9">
        <w:rPr>
          <w:i/>
          <w:kern w:val="0"/>
          <w:lang w:eastAsia="ru-RU" w:bidi="ar-SA"/>
        </w:rPr>
        <w:t xml:space="preserve"> Валерий Леонидович</w:t>
      </w:r>
    </w:p>
    <w:p w:rsidR="009415F9" w:rsidRDefault="009415F9">
      <w:pPr>
        <w:pStyle w:val="Standard"/>
        <w:ind w:right="-234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570574" w:rsidRDefault="00E700E8">
      <w:pPr>
        <w:pStyle w:val="Standard"/>
        <w:ind w:right="-234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Раздел 11.</w:t>
      </w:r>
    </w:p>
    <w:p w:rsidR="00570574" w:rsidRDefault="00570574">
      <w:pPr>
        <w:pStyle w:val="Standard"/>
        <w:ind w:left="-567" w:right="-234"/>
        <w:jc w:val="both"/>
      </w:pPr>
    </w:p>
    <w:p w:rsidR="00570574" w:rsidRDefault="00E700E8">
      <w:pPr>
        <w:pStyle w:val="Standard"/>
        <w:ind w:left="-567" w:right="-234"/>
        <w:jc w:val="both"/>
      </w:pPr>
      <w:proofErr w:type="gramStart"/>
      <w:r>
        <w:rPr>
          <w:rFonts w:ascii="Times New Roman" w:hAnsi="Times New Roman" w:cs="Times New Roman"/>
        </w:rPr>
        <w:t xml:space="preserve">Сведения о лице, занимающем должность (осуществляющем функции) единоличного исполнительного органа — </w:t>
      </w:r>
      <w:r>
        <w:rPr>
          <w:rFonts w:ascii="Times New Roman" w:hAnsi="Times New Roman"/>
        </w:rPr>
        <w:t xml:space="preserve">Генеральный директор — Ткачев Андрей Геннадьевич, 1966г.р., уроженец г. Воронеж, проработал в ОАО «Воронежская хлебная база», ОАО «Острогожский хлебозавод», с 3 декабря </w:t>
      </w:r>
      <w:r>
        <w:rPr>
          <w:rFonts w:ascii="Times New Roman" w:hAnsi="Times New Roman" w:cs="Times New Roman"/>
        </w:rPr>
        <w:t>2012 года руководит деятельностью ОАО «МК «ВОРОНЕЖСКИЙ».</w:t>
      </w:r>
      <w:proofErr w:type="gramEnd"/>
    </w:p>
    <w:p w:rsidR="00570574" w:rsidRDefault="00E700E8">
      <w:pPr>
        <w:pStyle w:val="Standard"/>
        <w:ind w:left="-567"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(Протокол Совета директоров №13 от 03.12.2012г.</w:t>
      </w:r>
      <w:r w:rsidR="009415F9">
        <w:rPr>
          <w:rFonts w:ascii="Times New Roman" w:hAnsi="Times New Roman"/>
        </w:rPr>
        <w:t>, Протокол Совета директоров №79 от 23.11.2015г.</w:t>
      </w:r>
      <w:r>
        <w:rPr>
          <w:rFonts w:ascii="Times New Roman" w:hAnsi="Times New Roman"/>
        </w:rPr>
        <w:t xml:space="preserve">) </w:t>
      </w:r>
    </w:p>
    <w:p w:rsidR="00570574" w:rsidRDefault="00570574">
      <w:pPr>
        <w:pStyle w:val="Standard"/>
        <w:ind w:left="-567" w:right="-234"/>
        <w:jc w:val="both"/>
        <w:rPr>
          <w:rFonts w:ascii="Times New Roman" w:hAnsi="Times New Roman" w:cs="Times New Roman"/>
          <w:b/>
          <w:bCs/>
          <w:u w:val="single"/>
        </w:rPr>
      </w:pP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12.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Default"/>
        <w:ind w:left="-567" w:right="-23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Критерии определения и размер вознаграждения.</w:t>
      </w:r>
    </w:p>
    <w:p w:rsidR="00570574" w:rsidRDefault="00E700E8">
      <w:pPr>
        <w:pStyle w:val="Default"/>
        <w:ind w:left="-567" w:right="-234"/>
        <w:jc w:val="both"/>
      </w:pPr>
      <w:r>
        <w:t>Согласно п. 2 ст. 64 Федерального закона РФ «Об акционерных обществах», Устава Общества в период исполнения членами Совета директоров Общества своих обязанностей им выплачивается вознаграждение и (или) компенсируются расходы, связанные с исполнением ими функций членов Совета директоров Общества в размере, определенном Общим собранием акционеров.</w:t>
      </w:r>
    </w:p>
    <w:p w:rsidR="00570574" w:rsidRDefault="00E700E8">
      <w:pPr>
        <w:pStyle w:val="Default"/>
        <w:ind w:left="-567" w:right="-234"/>
        <w:jc w:val="both"/>
      </w:pPr>
      <w:r>
        <w:t>В связи с отсутствием соответствующего решения Общего собрания акционеров вознаграждение С</w:t>
      </w:r>
      <w:r w:rsidR="00FD6C40">
        <w:t>овету директоров Общества в 2015</w:t>
      </w:r>
      <w:r>
        <w:t xml:space="preserve"> году не выплачивалось. </w:t>
      </w:r>
    </w:p>
    <w:p w:rsidR="00570574" w:rsidRDefault="00E700E8">
      <w:pPr>
        <w:widowControl/>
        <w:suppressAutoHyphens w:val="0"/>
        <w:autoSpaceDE/>
        <w:textAlignment w:val="auto"/>
      </w:pPr>
      <w:r>
        <w:rPr>
          <w:kern w:val="0"/>
          <w:lang w:eastAsia="ru-RU" w:bidi="ar-SA"/>
        </w:rPr>
        <w:t>Указываются все виды вознаграждения, в том числе заработная плата, премии, комиссио</w:t>
      </w:r>
      <w:r>
        <w:rPr>
          <w:kern w:val="0"/>
          <w:lang w:eastAsia="ru-RU" w:bidi="ar-SA"/>
        </w:rPr>
        <w:t>н</w:t>
      </w:r>
      <w:r>
        <w:rPr>
          <w:kern w:val="0"/>
          <w:lang w:eastAsia="ru-RU" w:bidi="ar-SA"/>
        </w:rPr>
        <w:t>ные, льготы и (или) компенсации расходов, а также иные имущественные представления:</w:t>
      </w:r>
    </w:p>
    <w:p w:rsidR="00570574" w:rsidRDefault="00E700E8">
      <w:pPr>
        <w:widowControl/>
        <w:suppressAutoHyphens w:val="0"/>
        <w:autoSpaceDE/>
        <w:spacing w:before="100" w:after="100"/>
        <w:ind w:left="720"/>
        <w:textAlignment w:val="auto"/>
      </w:pPr>
      <w:r>
        <w:rPr>
          <w:b/>
          <w:color w:val="000000"/>
          <w:kern w:val="0"/>
          <w:sz w:val="20"/>
          <w:szCs w:val="20"/>
          <w:lang w:eastAsia="ru-RU" w:bidi="ar-SA"/>
        </w:rPr>
        <w:t>Совет директоров</w:t>
      </w:r>
    </w:p>
    <w:p w:rsidR="00570574" w:rsidRDefault="00E700E8">
      <w:pPr>
        <w:widowControl/>
        <w:suppressAutoHyphens w:val="0"/>
        <w:autoSpaceDE/>
        <w:ind w:left="720"/>
        <w:textAlignment w:val="auto"/>
      </w:pPr>
      <w:r>
        <w:rPr>
          <w:kern w:val="0"/>
          <w:lang w:eastAsia="ru-RU" w:bidi="ar-SA"/>
        </w:rPr>
        <w:t>Единица измерения:</w:t>
      </w:r>
      <w:r>
        <w:rPr>
          <w:b/>
          <w:bCs/>
          <w:i/>
          <w:iCs/>
          <w:color w:val="000000"/>
          <w:kern w:val="0"/>
          <w:sz w:val="20"/>
          <w:szCs w:val="20"/>
          <w:lang w:eastAsia="ru-RU" w:bidi="ar-SA"/>
        </w:rPr>
        <w:t xml:space="preserve"> тыс. руб.</w:t>
      </w:r>
    </w:p>
    <w:tbl>
      <w:tblPr>
        <w:tblW w:w="78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1"/>
        <w:gridCol w:w="1266"/>
      </w:tblGrid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jc w:val="center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lastRenderedPageBreak/>
              <w:t>Наименование показателя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FD6C40">
            <w:pPr>
              <w:widowControl/>
              <w:suppressAutoHyphens w:val="0"/>
              <w:autoSpaceDE/>
              <w:spacing w:before="100" w:after="100"/>
              <w:jc w:val="center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2015</w:t>
            </w: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Вознаграждение за участие в работе органа управления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570574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Заработная плата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9B4803" w:rsidP="009B4803">
            <w:pPr>
              <w:widowControl/>
              <w:suppressAutoHyphens w:val="0"/>
              <w:autoSpaceDE/>
              <w:spacing w:before="100" w:after="100"/>
              <w:jc w:val="both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7139590</w:t>
            </w: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Премии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570574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Комиссионные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570574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Льготы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570574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Иные виды вознаграждений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570574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</w:p>
        </w:tc>
      </w:tr>
      <w:tr w:rsidR="00570574"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E700E8">
            <w:pPr>
              <w:widowControl/>
              <w:suppressAutoHyphens w:val="0"/>
              <w:autoSpaceDE/>
              <w:spacing w:before="100" w:after="100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ИТОГО</w:t>
            </w:r>
          </w:p>
        </w:tc>
        <w:tc>
          <w:tcPr>
            <w:tcW w:w="1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0574" w:rsidRDefault="009B4803" w:rsidP="009B4803">
            <w:pPr>
              <w:widowControl/>
              <w:suppressAutoHyphens w:val="0"/>
              <w:autoSpaceDE/>
              <w:spacing w:before="100" w:after="100"/>
              <w:jc w:val="both"/>
              <w:textAlignment w:val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7139590</w:t>
            </w:r>
          </w:p>
        </w:tc>
      </w:tr>
    </w:tbl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Default"/>
        <w:ind w:left="-567" w:right="-234"/>
        <w:jc w:val="both"/>
      </w:pPr>
      <w:r>
        <w:rPr>
          <w:i/>
          <w:iCs/>
        </w:rPr>
        <w:t>Критерии определения и размер вознаграждения лица, занимающего должность единоличного исполнительного органа Общества.</w:t>
      </w:r>
    </w:p>
    <w:p w:rsidR="00570574" w:rsidRDefault="00E700E8">
      <w:pPr>
        <w:pStyle w:val="Default"/>
        <w:ind w:left="-567" w:right="-234"/>
        <w:jc w:val="both"/>
      </w:pPr>
      <w:r>
        <w:t>Размер вознаграждения лица, занимающего должность единоличного исполнительного органа Общества – Генерального директора определяется трудовым договором, заключаемым им с Обществом. Трудовой договор с Генеральным директором заключается на срок его полномочий и подписывается от имени Общества Председателем Совета директоров Общества.</w:t>
      </w:r>
    </w:p>
    <w:p w:rsidR="00570574" w:rsidRDefault="00E700E8">
      <w:pPr>
        <w:pStyle w:val="Default"/>
        <w:ind w:left="-567" w:right="-234"/>
        <w:jc w:val="both"/>
      </w:pPr>
      <w:r>
        <w:t>Согласно условиям трудового договора Генеральному директору выплачивается ежемесячное вознаграждение (должностной оклад). Дополнительно к окладу могут выплачиваться доплаты и надбавки компенсационного и стимулирующего характера, премии за производственные результаты деятельности Общества в соответствии с локальным нормативным актом Общества, определяющим систему оплаты труда, одобренного в части порядка и условий установления Генеральному директору доплат и надбавок Советом.</w:t>
      </w:r>
    </w:p>
    <w:p w:rsidR="00570574" w:rsidRDefault="00E700E8">
      <w:pPr>
        <w:pStyle w:val="Default"/>
        <w:ind w:left="-567" w:right="-234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Раздел 13.</w:t>
      </w:r>
    </w:p>
    <w:p w:rsidR="00570574" w:rsidRDefault="00570574">
      <w:pPr>
        <w:pStyle w:val="Default"/>
        <w:ind w:left="-567" w:right="-234"/>
        <w:jc w:val="both"/>
      </w:pPr>
    </w:p>
    <w:p w:rsidR="00570574" w:rsidRDefault="00E700E8">
      <w:pPr>
        <w:pStyle w:val="Default"/>
        <w:ind w:left="-567" w:right="-234"/>
        <w:jc w:val="both"/>
      </w:pPr>
      <w:r>
        <w:t>Обществом официально не утвержден Кодекс корпоративного поведения или иной аналогичный документ, однако ОАО «Мукомольный комбинат «ВОРОНЕЖСКИЙ» стремится следовать принципам и рекомендациям, заложенным в Кодексе корпоративного поведения, рекомендованного к применению Распоряжением ФКЦБ России от 04.04.2002г. № 421/</w:t>
      </w:r>
      <w:proofErr w:type="gramStart"/>
      <w:r>
        <w:t>р</w:t>
      </w:r>
      <w:proofErr w:type="gramEnd"/>
      <w:r>
        <w:t xml:space="preserve"> «О рекомендации к применению Кодекса корпоративного поведения». ОАО «Мукомольный комбинат «ВОРОНЕЖСКИЙ»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</w:t>
      </w:r>
      <w:r w:rsidR="009B48A2">
        <w:t>ЦБ РФ</w:t>
      </w:r>
      <w:r>
        <w:t>.</w:t>
      </w:r>
    </w:p>
    <w:sectPr w:rsidR="00570574">
      <w:pgSz w:w="12240" w:h="15840"/>
      <w:pgMar w:top="568" w:right="850" w:bottom="7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43" w:rsidRDefault="00892043">
      <w:r>
        <w:separator/>
      </w:r>
    </w:p>
  </w:endnote>
  <w:endnote w:type="continuationSeparator" w:id="0">
    <w:p w:rsidR="00892043" w:rsidRDefault="008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43" w:rsidRDefault="00892043">
      <w:r>
        <w:rPr>
          <w:color w:val="000000"/>
        </w:rPr>
        <w:separator/>
      </w:r>
    </w:p>
  </w:footnote>
  <w:footnote w:type="continuationSeparator" w:id="0">
    <w:p w:rsidR="00892043" w:rsidRDefault="0089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D85"/>
    <w:multiLevelType w:val="multilevel"/>
    <w:tmpl w:val="137E5022"/>
    <w:styleLink w:val="RTF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574"/>
    <w:rsid w:val="001F3B67"/>
    <w:rsid w:val="002309E3"/>
    <w:rsid w:val="00570574"/>
    <w:rsid w:val="00636DC7"/>
    <w:rsid w:val="0085669B"/>
    <w:rsid w:val="00892043"/>
    <w:rsid w:val="009415F9"/>
    <w:rsid w:val="009B4803"/>
    <w:rsid w:val="009B48A2"/>
    <w:rsid w:val="00BF789B"/>
    <w:rsid w:val="00C43A6C"/>
    <w:rsid w:val="00E700E8"/>
    <w:rsid w:val="00E867FA"/>
    <w:rsid w:val="00F72BF4"/>
    <w:rsid w:val="00F80E6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outlineLvl w:val="0"/>
    </w:pPr>
  </w:style>
  <w:style w:type="paragraph" w:styleId="2">
    <w:name w:val="heading 2"/>
    <w:basedOn w:val="Standard"/>
    <w:next w:val="Standar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hAnsi="Times New Roman CYR" w:cs="Times New Roman CYR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Subtitle"/>
    <w:basedOn w:val="WW-Title"/>
    <w:next w:val="Textbody"/>
    <w:pPr>
      <w:jc w:val="center"/>
    </w:pPr>
    <w:rPr>
      <w:i/>
      <w:iCs/>
    </w:rPr>
  </w:style>
  <w:style w:type="paragraph" w:customStyle="1" w:styleId="Indexuser">
    <w:name w:val="Index (user)"/>
    <w:basedOn w:val="Standard"/>
    <w:rPr>
      <w:rFonts w:ascii="Arial" w:hAnsi="Arial" w:cs="Arial"/>
    </w:rPr>
  </w:style>
  <w:style w:type="paragraph" w:customStyle="1" w:styleId="Titleuser">
    <w:name w:val="Title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Title">
    <w:name w:val="WW-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Standard"/>
    <w:rPr>
      <w:rFonts w:ascii="Arial" w:hAnsi="Arial" w:cs="Arial"/>
    </w:rPr>
  </w:style>
  <w:style w:type="paragraph" w:customStyle="1" w:styleId="WW-caption1">
    <w:name w:val="WW-caption1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Standard"/>
    <w:rPr>
      <w:rFonts w:ascii="Arial" w:hAnsi="Arial" w:cs="Arial"/>
    </w:rPr>
  </w:style>
  <w:style w:type="paragraph" w:customStyle="1" w:styleId="WW-Title1">
    <w:name w:val="WW-Titl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Standard"/>
    <w:rPr>
      <w:rFonts w:ascii="Arial" w:hAnsi="Arial" w:cs="Arial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basedOn w:val="Standard"/>
    <w:rPr>
      <w:rFonts w:ascii="Times New Roman" w:hAnsi="Times New Roman" w:cs="Times New Roman"/>
      <w:color w:val="000000"/>
      <w:lang w:eastAsia="zh-CN"/>
    </w:rPr>
  </w:style>
  <w:style w:type="paragraph" w:customStyle="1" w:styleId="WW-TableContents1">
    <w:name w:val="WW-Table Contents1"/>
    <w:basedOn w:val="Standard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Standard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ConsPlusDocList">
    <w:name w:val="WW-ConsPlusDocList"/>
    <w:next w:val="Standard"/>
    <w:pPr>
      <w:suppressAutoHyphens/>
    </w:pPr>
  </w:style>
  <w:style w:type="paragraph" w:customStyle="1" w:styleId="WW-ConsPlusCell">
    <w:name w:val="WW-ConsPlusCell"/>
    <w:next w:val="Standard"/>
    <w:pPr>
      <w:suppressAutoHyphens/>
    </w:pPr>
  </w:style>
  <w:style w:type="paragraph" w:customStyle="1" w:styleId="WW-ConsPlusNonformat">
    <w:name w:val="WW-ConsPlusNonformat"/>
    <w:next w:val="Standard"/>
    <w:pPr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WW-ConsPlusTitle">
    <w:name w:val="WW-ConsPlusTitle"/>
    <w:next w:val="Standard"/>
    <w:pPr>
      <w:suppressAutoHyphens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WW-Internetlink">
    <w:name w:val="WW-Internet link"/>
    <w:rPr>
      <w:color w:val="000080"/>
      <w:sz w:val="20"/>
      <w:szCs w:val="20"/>
      <w:u w:val="single"/>
    </w:rPr>
  </w:style>
  <w:style w:type="character" w:customStyle="1" w:styleId="WW-Internetlink1">
    <w:name w:val="WW-Internet link1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NumberingSymbolsuser">
    <w:name w:val="Numbering Symbols (user)"/>
    <w:rPr>
      <w:rFonts w:ascii="Times New Roman" w:eastAsia="Times New Roman" w:hAnsi="Times New Roman" w:cs="Times New Roman"/>
      <w:color w:val="auto"/>
      <w:sz w:val="20"/>
      <w:szCs w:val="20"/>
      <w:lang w:val="ru-RU" w:eastAsia="zh-C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rmal (Web)"/>
    <w:basedOn w:val="a"/>
    <w:rPr>
      <w:rFonts w:cs="Mangal"/>
      <w:szCs w:val="21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outlineLvl w:val="0"/>
    </w:pPr>
  </w:style>
  <w:style w:type="paragraph" w:styleId="2">
    <w:name w:val="heading 2"/>
    <w:basedOn w:val="Standard"/>
    <w:next w:val="Standard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 CYR" w:hAnsi="Times New Roman CYR" w:cs="Times New Roman CYR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Subtitle"/>
    <w:basedOn w:val="WW-Title"/>
    <w:next w:val="Textbody"/>
    <w:pPr>
      <w:jc w:val="center"/>
    </w:pPr>
    <w:rPr>
      <w:i/>
      <w:iCs/>
    </w:rPr>
  </w:style>
  <w:style w:type="paragraph" w:customStyle="1" w:styleId="Indexuser">
    <w:name w:val="Index (user)"/>
    <w:basedOn w:val="Standard"/>
    <w:rPr>
      <w:rFonts w:ascii="Arial" w:hAnsi="Arial" w:cs="Arial"/>
    </w:rPr>
  </w:style>
  <w:style w:type="paragraph" w:customStyle="1" w:styleId="Titleuser">
    <w:name w:val="Title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Title">
    <w:name w:val="WW-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Standard"/>
    <w:rPr>
      <w:rFonts w:ascii="Arial" w:hAnsi="Arial" w:cs="Arial"/>
    </w:rPr>
  </w:style>
  <w:style w:type="paragraph" w:customStyle="1" w:styleId="WW-caption1">
    <w:name w:val="WW-caption1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Standard"/>
    <w:rPr>
      <w:rFonts w:ascii="Arial" w:hAnsi="Arial" w:cs="Arial"/>
    </w:rPr>
  </w:style>
  <w:style w:type="paragraph" w:customStyle="1" w:styleId="WW-Title1">
    <w:name w:val="WW-Titl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Standard"/>
    <w:rPr>
      <w:rFonts w:ascii="Arial" w:hAnsi="Arial" w:cs="Arial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basedOn w:val="Standard"/>
    <w:rPr>
      <w:rFonts w:ascii="Times New Roman" w:hAnsi="Times New Roman" w:cs="Times New Roman"/>
      <w:color w:val="000000"/>
      <w:lang w:eastAsia="zh-CN"/>
    </w:rPr>
  </w:style>
  <w:style w:type="paragraph" w:customStyle="1" w:styleId="WW-TableContents1">
    <w:name w:val="WW-Table Contents1"/>
    <w:basedOn w:val="Standard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Standard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ConsPlusDocList">
    <w:name w:val="WW-ConsPlusDocList"/>
    <w:next w:val="Standard"/>
    <w:pPr>
      <w:suppressAutoHyphens/>
    </w:pPr>
  </w:style>
  <w:style w:type="paragraph" w:customStyle="1" w:styleId="WW-ConsPlusCell">
    <w:name w:val="WW-ConsPlusCell"/>
    <w:next w:val="Standard"/>
    <w:pPr>
      <w:suppressAutoHyphens/>
    </w:pPr>
  </w:style>
  <w:style w:type="paragraph" w:customStyle="1" w:styleId="WW-ConsPlusNonformat">
    <w:name w:val="WW-ConsPlusNonformat"/>
    <w:next w:val="Standard"/>
    <w:pPr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WW-ConsPlusTitle">
    <w:name w:val="WW-ConsPlusTitle"/>
    <w:next w:val="Standard"/>
    <w:pPr>
      <w:suppressAutoHyphens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WW-Internetlink">
    <w:name w:val="WW-Internet link"/>
    <w:rPr>
      <w:color w:val="000080"/>
      <w:sz w:val="20"/>
      <w:szCs w:val="20"/>
      <w:u w:val="single"/>
    </w:rPr>
  </w:style>
  <w:style w:type="character" w:customStyle="1" w:styleId="WW-Internetlink1">
    <w:name w:val="WW-Internet link1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NumberingSymbolsuser">
    <w:name w:val="Numbering Symbols (user)"/>
    <w:rPr>
      <w:rFonts w:ascii="Times New Roman" w:eastAsia="Times New Roman" w:hAnsi="Times New Roman" w:cs="Times New Roman"/>
      <w:color w:val="auto"/>
      <w:sz w:val="20"/>
      <w:szCs w:val="20"/>
      <w:lang w:val="ru-RU" w:eastAsia="zh-C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rmal (Web)"/>
    <w:basedOn w:val="a"/>
    <w:rPr>
      <w:rFonts w:cs="Mangal"/>
      <w:szCs w:val="21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COMP052</dc:creator>
  <cp:lastModifiedBy>Олег Михайлович</cp:lastModifiedBy>
  <cp:revision>2</cp:revision>
  <cp:lastPrinted>2016-05-11T10:45:00Z</cp:lastPrinted>
  <dcterms:created xsi:type="dcterms:W3CDTF">2016-05-11T10:45:00Z</dcterms:created>
  <dcterms:modified xsi:type="dcterms:W3CDTF">2016-05-11T10:45:00Z</dcterms:modified>
</cp:coreProperties>
</file>