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4574" w:rsidRDefault="000C4574"/>
    <w:p w:rsidR="000C4574" w:rsidRDefault="000C4574"/>
    <w:p w:rsidR="000C4574" w:rsidRDefault="000C4574">
      <w:pPr>
        <w:spacing w:before="960"/>
        <w:jc w:val="center"/>
        <w:rPr>
          <w:b/>
          <w:bCs/>
          <w:sz w:val="32"/>
          <w:szCs w:val="32"/>
        </w:rPr>
      </w:pPr>
      <w:r>
        <w:rPr>
          <w:b/>
          <w:bCs/>
          <w:sz w:val="32"/>
          <w:szCs w:val="32"/>
        </w:rPr>
        <w:t>Е Ж Е К В А Р Т А Л Ь Н Ы Й  О Т Ч Е Т</w:t>
      </w:r>
    </w:p>
    <w:p w:rsidR="000C4574" w:rsidRDefault="000C4574">
      <w:pPr>
        <w:spacing w:before="600"/>
        <w:jc w:val="center"/>
        <w:rPr>
          <w:b/>
          <w:bCs/>
          <w:i/>
          <w:iCs/>
          <w:sz w:val="32"/>
          <w:szCs w:val="32"/>
        </w:rPr>
      </w:pPr>
      <w:r>
        <w:rPr>
          <w:b/>
          <w:bCs/>
          <w:i/>
          <w:iCs/>
          <w:sz w:val="32"/>
          <w:szCs w:val="32"/>
        </w:rPr>
        <w:t>Открытое акционерное общество "Обьнефтегазгеология"</w:t>
      </w:r>
    </w:p>
    <w:p w:rsidR="000C4574" w:rsidRDefault="000C4574">
      <w:pPr>
        <w:spacing w:before="120"/>
        <w:jc w:val="center"/>
        <w:rPr>
          <w:b/>
          <w:bCs/>
          <w:i/>
          <w:iCs/>
          <w:sz w:val="28"/>
          <w:szCs w:val="28"/>
        </w:rPr>
      </w:pPr>
      <w:r>
        <w:rPr>
          <w:b/>
          <w:bCs/>
          <w:i/>
          <w:iCs/>
          <w:sz w:val="28"/>
          <w:szCs w:val="28"/>
        </w:rPr>
        <w:t>Код эмитента: 00399-F</w:t>
      </w:r>
    </w:p>
    <w:p w:rsidR="000C4574" w:rsidRDefault="000C4574">
      <w:pPr>
        <w:spacing w:before="360"/>
        <w:jc w:val="center"/>
        <w:rPr>
          <w:b/>
          <w:bCs/>
          <w:sz w:val="32"/>
          <w:szCs w:val="32"/>
        </w:rPr>
      </w:pPr>
      <w:r>
        <w:rPr>
          <w:b/>
          <w:bCs/>
          <w:sz w:val="32"/>
          <w:szCs w:val="32"/>
        </w:rPr>
        <w:t>за 1 квартал 2014 г.</w:t>
      </w:r>
    </w:p>
    <w:p w:rsidR="000C4574" w:rsidRDefault="000C4574">
      <w:pPr>
        <w:spacing w:before="840"/>
        <w:rPr>
          <w:sz w:val="24"/>
          <w:szCs w:val="24"/>
        </w:rPr>
      </w:pPr>
      <w:r>
        <w:rPr>
          <w:sz w:val="24"/>
          <w:szCs w:val="24"/>
        </w:rPr>
        <w:t>Место нахождения эмитента:</w:t>
      </w:r>
      <w:r>
        <w:rPr>
          <w:b/>
          <w:bCs/>
          <w:sz w:val="24"/>
          <w:szCs w:val="24"/>
        </w:rPr>
        <w:t xml:space="preserve"> 628402 Россия, Ханты-Мансийский автономный округ-Югра, г. Сургут, Федорова 68 стр. а</w:t>
      </w:r>
    </w:p>
    <w:p w:rsidR="000C4574" w:rsidRDefault="000C4574">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C4574" w:rsidRDefault="000C4574"/>
    <w:tbl>
      <w:tblPr>
        <w:tblW w:w="0" w:type="auto"/>
        <w:tblLayout w:type="fixed"/>
        <w:tblCellMar>
          <w:left w:w="72" w:type="dxa"/>
          <w:right w:w="72" w:type="dxa"/>
        </w:tblCellMar>
        <w:tblLook w:val="0000"/>
      </w:tblPr>
      <w:tblGrid>
        <w:gridCol w:w="5572"/>
        <w:gridCol w:w="3680"/>
      </w:tblGrid>
      <w:tr w:rsidR="000C4574">
        <w:tblPrEx>
          <w:tblCellMar>
            <w:top w:w="0" w:type="dxa"/>
            <w:bottom w:w="0" w:type="dxa"/>
          </w:tblCellMar>
        </w:tblPrEx>
        <w:tc>
          <w:tcPr>
            <w:tcW w:w="5572" w:type="dxa"/>
            <w:tcBorders>
              <w:top w:val="single" w:sz="6" w:space="0" w:color="auto"/>
              <w:left w:val="single" w:sz="6" w:space="0" w:color="auto"/>
              <w:bottom w:val="nil"/>
              <w:right w:val="nil"/>
            </w:tcBorders>
          </w:tcPr>
          <w:p w:rsidR="000C4574" w:rsidRDefault="000C4574">
            <w:pPr>
              <w:spacing w:before="120"/>
            </w:pPr>
          </w:p>
          <w:p w:rsidR="000C4574" w:rsidRDefault="000C4574">
            <w:pPr>
              <w:spacing w:before="200"/>
            </w:pPr>
            <w:r>
              <w:t>генеральный директор ОАО "Обьнефтегазгеология"</w:t>
            </w:r>
          </w:p>
          <w:p w:rsidR="000C4574" w:rsidRDefault="000C4574">
            <w:r>
              <w:t>Дата: 15 мая 2014 г.</w:t>
            </w:r>
          </w:p>
        </w:tc>
        <w:tc>
          <w:tcPr>
            <w:tcW w:w="3680" w:type="dxa"/>
            <w:tcBorders>
              <w:top w:val="single" w:sz="6" w:space="0" w:color="auto"/>
              <w:left w:val="nil"/>
              <w:bottom w:val="nil"/>
              <w:right w:val="single" w:sz="6" w:space="0" w:color="auto"/>
            </w:tcBorders>
          </w:tcPr>
          <w:p w:rsidR="000C4574" w:rsidRDefault="000C4574"/>
          <w:p w:rsidR="000C4574" w:rsidRDefault="000C4574">
            <w:pPr>
              <w:spacing w:before="200" w:after="200"/>
              <w:jc w:val="center"/>
            </w:pPr>
            <w:r>
              <w:t>____________ О.В. Пирогов</w:t>
            </w:r>
            <w:r>
              <w:br/>
            </w:r>
            <w:r>
              <w:tab/>
              <w:t>подпись</w:t>
            </w:r>
          </w:p>
        </w:tc>
      </w:tr>
      <w:tr w:rsidR="000C4574">
        <w:tblPrEx>
          <w:tblCellMar>
            <w:top w:w="0" w:type="dxa"/>
            <w:bottom w:w="0" w:type="dxa"/>
          </w:tblCellMar>
        </w:tblPrEx>
        <w:tc>
          <w:tcPr>
            <w:tcW w:w="5572" w:type="dxa"/>
            <w:tcBorders>
              <w:top w:val="nil"/>
              <w:left w:val="single" w:sz="6" w:space="0" w:color="auto"/>
              <w:bottom w:val="single" w:sz="6" w:space="0" w:color="auto"/>
              <w:right w:val="nil"/>
            </w:tcBorders>
          </w:tcPr>
          <w:p w:rsidR="000C4574" w:rsidRDefault="000C4574">
            <w:pPr>
              <w:spacing w:before="120"/>
            </w:pPr>
          </w:p>
          <w:p w:rsidR="000C4574" w:rsidRDefault="000C4574">
            <w:pPr>
              <w:spacing w:before="200"/>
            </w:pPr>
            <w:r>
              <w:t>Главный бухгалтер ОАО "Обьнефтегазгеология"</w:t>
            </w:r>
          </w:p>
          <w:p w:rsidR="000C4574" w:rsidRDefault="000C4574">
            <w:r>
              <w:t>Дата: 15 мая 2014 г.</w:t>
            </w:r>
          </w:p>
        </w:tc>
        <w:tc>
          <w:tcPr>
            <w:tcW w:w="3680" w:type="dxa"/>
            <w:tcBorders>
              <w:top w:val="nil"/>
              <w:left w:val="nil"/>
              <w:bottom w:val="single" w:sz="6" w:space="0" w:color="auto"/>
              <w:right w:val="single" w:sz="6" w:space="0" w:color="auto"/>
            </w:tcBorders>
          </w:tcPr>
          <w:p w:rsidR="000C4574" w:rsidRDefault="000C4574"/>
          <w:p w:rsidR="000C4574" w:rsidRDefault="000C4574">
            <w:pPr>
              <w:spacing w:before="200" w:after="200"/>
              <w:jc w:val="center"/>
            </w:pPr>
            <w:r>
              <w:t>____________ Л.Н. Пожарова</w:t>
            </w:r>
            <w:r>
              <w:br/>
            </w:r>
            <w:r>
              <w:tab/>
              <w:t>подпись</w:t>
            </w:r>
          </w:p>
        </w:tc>
      </w:tr>
    </w:tbl>
    <w:p w:rsidR="000C4574" w:rsidRDefault="000C4574"/>
    <w:tbl>
      <w:tblPr>
        <w:tblW w:w="0" w:type="auto"/>
        <w:tblLayout w:type="fixed"/>
        <w:tblCellMar>
          <w:left w:w="72" w:type="dxa"/>
          <w:right w:w="72" w:type="dxa"/>
        </w:tblCellMar>
        <w:tblLook w:val="0000"/>
      </w:tblPr>
      <w:tblGrid>
        <w:gridCol w:w="72"/>
        <w:gridCol w:w="9252"/>
        <w:gridCol w:w="9252"/>
        <w:gridCol w:w="8280"/>
      </w:tblGrid>
      <w:tr w:rsidR="00515625">
        <w:tblPrEx>
          <w:tblCellMar>
            <w:top w:w="0" w:type="dxa"/>
            <w:bottom w:w="0" w:type="dxa"/>
          </w:tblCellMar>
        </w:tblPrEx>
        <w:trPr>
          <w:gridBefore w:val="1"/>
          <w:gridAfter w:val="1"/>
          <w:wBefore w:w="72" w:type="dxa"/>
          <w:wAfter w:w="8280" w:type="dxa"/>
        </w:trPr>
        <w:tc>
          <w:tcPr>
            <w:tcW w:w="9252" w:type="dxa"/>
            <w:tcBorders>
              <w:top w:val="single" w:sz="6" w:space="0" w:color="auto"/>
              <w:left w:val="single" w:sz="6" w:space="0" w:color="auto"/>
              <w:bottom w:val="single" w:sz="6" w:space="0" w:color="auto"/>
              <w:right w:val="single" w:sz="6" w:space="0" w:color="auto"/>
            </w:tcBorders>
          </w:tcPr>
          <w:p w:rsidR="000C4574" w:rsidRDefault="000C4574">
            <w:pPr>
              <w:spacing w:before="40"/>
            </w:pPr>
            <w:r>
              <w:t>Контактное лицо:</w:t>
            </w:r>
            <w:r>
              <w:rPr>
                <w:b/>
                <w:bCs/>
              </w:rPr>
              <w:t xml:space="preserve"> Вуколов Игорь Леонидович, Начальник юридического отдела</w:t>
            </w:r>
          </w:p>
          <w:p w:rsidR="000C4574" w:rsidRDefault="000C4574">
            <w:pPr>
              <w:spacing w:before="40"/>
            </w:pPr>
            <w:r>
              <w:t>Телефон:</w:t>
            </w:r>
            <w:r>
              <w:rPr>
                <w:b/>
                <w:bCs/>
              </w:rPr>
              <w:t xml:space="preserve"> 8 3462 37-75-42</w:t>
            </w:r>
          </w:p>
          <w:p w:rsidR="000C4574" w:rsidRDefault="000C4574">
            <w:pPr>
              <w:spacing w:before="40"/>
            </w:pPr>
            <w:r>
              <w:t>Факс:</w:t>
            </w:r>
            <w:r>
              <w:rPr>
                <w:b/>
                <w:bCs/>
              </w:rPr>
              <w:t xml:space="preserve"> 8 3462 37-75-09</w:t>
            </w:r>
          </w:p>
          <w:p w:rsidR="000C4574" w:rsidRDefault="000C4574">
            <w:pPr>
              <w:spacing w:before="40"/>
            </w:pPr>
            <w:r>
              <w:t>Адрес электронной почты:</w:t>
            </w:r>
            <w:r>
              <w:rPr>
                <w:b/>
                <w:bCs/>
              </w:rPr>
              <w:t xml:space="preserve"> Vukolov_il@ongg.ru</w:t>
            </w:r>
          </w:p>
          <w:p w:rsidR="000C4574" w:rsidRDefault="000C4574">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  http://www.ongg.ru</w:t>
            </w:r>
          </w:p>
        </w:tc>
        <w:tc>
          <w:tcPr>
            <w:tcW w:w="9252" w:type="dxa"/>
            <w:tcBorders>
              <w:top w:val="single" w:sz="6" w:space="0" w:color="auto"/>
              <w:left w:val="single" w:sz="6" w:space="0" w:color="auto"/>
              <w:bottom w:val="single" w:sz="6" w:space="0" w:color="auto"/>
              <w:right w:val="single" w:sz="6" w:space="0" w:color="auto"/>
            </w:tcBorders>
          </w:tcPr>
          <w:p w:rsidR="000C4574" w:rsidRDefault="000C4574">
            <w:pPr>
              <w:spacing w:before="40"/>
            </w:pPr>
          </w:p>
          <w:p w:rsidR="00515625" w:rsidRDefault="00515625">
            <w:pPr>
              <w:widowControl/>
              <w:autoSpaceDE/>
              <w:autoSpaceDN/>
              <w:adjustRightInd/>
              <w:spacing w:before="0" w:after="200" w:line="276" w:lineRule="auto"/>
            </w:pPr>
          </w:p>
        </w:tc>
      </w:tr>
      <w:tr w:rsidR="000C4574">
        <w:tblPrEx>
          <w:tblCellMar>
            <w:top w:w="0" w:type="dxa"/>
            <w:bottom w:w="0" w:type="dxa"/>
          </w:tblCellMar>
        </w:tblPrEx>
        <w:tc>
          <w:tcPr>
            <w:tcW w:w="9252" w:type="dxa"/>
            <w:gridSpan w:val="4"/>
            <w:tcBorders>
              <w:top w:val="single" w:sz="6" w:space="0" w:color="auto"/>
              <w:left w:val="single" w:sz="6" w:space="0" w:color="auto"/>
              <w:bottom w:val="nil"/>
              <w:right w:val="single" w:sz="6" w:space="0" w:color="auto"/>
            </w:tcBorders>
          </w:tcPr>
          <w:p w:rsidR="000C4574" w:rsidRDefault="000C4574">
            <w:r>
              <w:t>Настоящим   подтверждает достоверность информации, указанной в разделах  ежеквартального отчета</w:t>
            </w:r>
          </w:p>
        </w:tc>
      </w:tr>
      <w:tr w:rsidR="000C4574">
        <w:tblPrEx>
          <w:tblCellMar>
            <w:top w:w="0" w:type="dxa"/>
            <w:bottom w:w="0" w:type="dxa"/>
          </w:tblCellMar>
        </w:tblPrEx>
        <w:tc>
          <w:tcPr>
            <w:tcW w:w="5572" w:type="dxa"/>
            <w:gridSpan w:val="3"/>
            <w:tcBorders>
              <w:top w:val="nil"/>
              <w:left w:val="single" w:sz="6" w:space="0" w:color="auto"/>
              <w:bottom w:val="single" w:sz="6" w:space="0" w:color="auto"/>
              <w:right w:val="nil"/>
            </w:tcBorders>
          </w:tcPr>
          <w:p w:rsidR="000C4574" w:rsidRDefault="000C4574">
            <w:pPr>
              <w:spacing w:before="200"/>
            </w:pPr>
            <w:r>
              <w:t>, действующий на основании</w:t>
            </w:r>
          </w:p>
          <w:p w:rsidR="000C4574" w:rsidRDefault="000C4574">
            <w:pPr>
              <w:spacing w:before="200"/>
            </w:pPr>
            <w:r>
              <w:t>Дата:</w:t>
            </w:r>
          </w:p>
        </w:tc>
        <w:tc>
          <w:tcPr>
            <w:tcW w:w="3680" w:type="dxa"/>
            <w:tcBorders>
              <w:top w:val="nil"/>
              <w:left w:val="nil"/>
              <w:bottom w:val="single" w:sz="6" w:space="0" w:color="auto"/>
              <w:right w:val="single" w:sz="6" w:space="0" w:color="auto"/>
            </w:tcBorders>
          </w:tcPr>
          <w:p w:rsidR="000C4574" w:rsidRDefault="000C4574">
            <w:pPr>
              <w:spacing w:before="200"/>
            </w:pPr>
          </w:p>
          <w:p w:rsidR="000C4574" w:rsidRDefault="000C4574">
            <w:pPr>
              <w:spacing w:before="200" w:after="200"/>
              <w:jc w:val="center"/>
            </w:pPr>
            <w:r>
              <w:t>____________</w:t>
            </w:r>
            <w:r>
              <w:br/>
              <w:t>подпись</w:t>
            </w:r>
          </w:p>
        </w:tc>
      </w:tr>
    </w:tbl>
    <w:p w:rsidR="000C4574" w:rsidRDefault="000C4574">
      <w:pPr>
        <w:pStyle w:val="1"/>
      </w:pPr>
      <w:r>
        <w:br w:type="page"/>
      </w:r>
      <w:r>
        <w:lastRenderedPageBreak/>
        <w:t xml:space="preserve"> Оглавление</w:t>
      </w:r>
    </w:p>
    <w:p w:rsidR="000C4574" w:rsidRDefault="000C4574">
      <w:r>
        <w:fldChar w:fldCharType="begin"/>
      </w:r>
      <w:r>
        <w:instrText>TOC</w:instrText>
      </w:r>
      <w:r>
        <w:fldChar w:fldCharType="separate"/>
      </w:r>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0C4574" w:rsidRDefault="000C4574">
      <w:r>
        <w:t xml:space="preserve">1.1. </w:t>
      </w:r>
      <w:r>
        <w:br/>
        <w:t>Лица, входящие в состав органов управления эмитента</w:t>
      </w:r>
    </w:p>
    <w:p w:rsidR="000C4574" w:rsidRDefault="000C4574">
      <w:r>
        <w:t xml:space="preserve">1.2. </w:t>
      </w:r>
      <w:r>
        <w:br/>
        <w:t>Сведения о банковских счетах эмитента</w:t>
      </w:r>
    </w:p>
    <w:p w:rsidR="000C4574" w:rsidRDefault="000C4574">
      <w:r>
        <w:t xml:space="preserve">1.3. </w:t>
      </w:r>
      <w:r>
        <w:br/>
        <w:t>Сведения об аудиторе (аудиторах) эмитента</w:t>
      </w:r>
    </w:p>
    <w:p w:rsidR="000C4574" w:rsidRDefault="000C4574">
      <w:r>
        <w:t xml:space="preserve">1.4. </w:t>
      </w:r>
      <w:r>
        <w:br/>
        <w:t>Сведения об оценщике эмитента</w:t>
      </w:r>
    </w:p>
    <w:p w:rsidR="000C4574" w:rsidRDefault="000C4574">
      <w:r>
        <w:t xml:space="preserve">1.5. </w:t>
      </w:r>
      <w:r>
        <w:br/>
        <w:t>Сведения о консультантах эмитента</w:t>
      </w:r>
    </w:p>
    <w:p w:rsidR="000C4574" w:rsidRDefault="000C4574">
      <w:r>
        <w:t xml:space="preserve">1.6. </w:t>
      </w:r>
      <w:r>
        <w:br/>
        <w:t>Сведения об иных лицах, подписавших ежеквартальный отчет</w:t>
      </w:r>
    </w:p>
    <w:p w:rsidR="000C4574" w:rsidRDefault="000C4574">
      <w:r>
        <w:t>II. Основная информация о финансово-экономическом состоянии эмитента</w:t>
      </w:r>
    </w:p>
    <w:p w:rsidR="000C4574" w:rsidRDefault="000C4574">
      <w:r>
        <w:t xml:space="preserve">2.1. </w:t>
      </w:r>
      <w:r>
        <w:br/>
        <w:t>Показатели финансово-экономической деятельности эмитента</w:t>
      </w:r>
    </w:p>
    <w:p w:rsidR="000C4574" w:rsidRDefault="000C4574">
      <w:r>
        <w:t xml:space="preserve">2.3. </w:t>
      </w:r>
      <w:r>
        <w:br/>
        <w:t>Обязательства эмитента</w:t>
      </w:r>
    </w:p>
    <w:p w:rsidR="000C4574" w:rsidRDefault="000C4574">
      <w:r>
        <w:t xml:space="preserve">2.3.1. </w:t>
      </w:r>
      <w:r>
        <w:br/>
        <w:t>Заемные средства и кредиторская задолженность</w:t>
      </w:r>
    </w:p>
    <w:p w:rsidR="000C4574" w:rsidRDefault="000C4574">
      <w:r>
        <w:t xml:space="preserve">2.3.2. </w:t>
      </w:r>
      <w:r>
        <w:br/>
        <w:t>Кредитная история эмитента</w:t>
      </w:r>
    </w:p>
    <w:p w:rsidR="000C4574" w:rsidRDefault="000C4574">
      <w:r>
        <w:t xml:space="preserve">2.3.3. </w:t>
      </w:r>
      <w:r>
        <w:br/>
        <w:t>Обязательства эмитента из обеспечения, предоставленного третьим лицам</w:t>
      </w:r>
    </w:p>
    <w:p w:rsidR="000C4574" w:rsidRDefault="000C4574">
      <w:r>
        <w:t xml:space="preserve">2.3.4. </w:t>
      </w:r>
      <w:r>
        <w:br/>
        <w:t>Прочие обязательства эмитента</w:t>
      </w:r>
    </w:p>
    <w:p w:rsidR="000C4574" w:rsidRDefault="000C4574">
      <w:r>
        <w:t xml:space="preserve">2.4. </w:t>
      </w:r>
      <w:r>
        <w:br/>
        <w:t>Риски, связанные с приобретением размещаемых (размещенных) эмиссионных ценных бумаг</w:t>
      </w:r>
    </w:p>
    <w:p w:rsidR="000C4574" w:rsidRDefault="000C4574">
      <w:r>
        <w:t>III. Подробная информация об эмитенте</w:t>
      </w:r>
    </w:p>
    <w:p w:rsidR="000C4574" w:rsidRDefault="000C4574">
      <w:r>
        <w:t xml:space="preserve">3.1. </w:t>
      </w:r>
      <w:r>
        <w:br/>
        <w:t>История создания и развитие эмитента</w:t>
      </w:r>
    </w:p>
    <w:p w:rsidR="000C4574" w:rsidRDefault="000C4574">
      <w:r>
        <w:t xml:space="preserve">3.1.1. </w:t>
      </w:r>
      <w:r>
        <w:br/>
        <w:t>Данные о фирменном наименовании (наименовании) эмитента</w:t>
      </w:r>
    </w:p>
    <w:p w:rsidR="000C4574" w:rsidRDefault="000C4574">
      <w:r>
        <w:t xml:space="preserve">3.1.2. </w:t>
      </w:r>
      <w:r>
        <w:br/>
        <w:t>Сведения о государственной регистрации эмитента</w:t>
      </w:r>
    </w:p>
    <w:p w:rsidR="000C4574" w:rsidRDefault="000C4574">
      <w:r>
        <w:t xml:space="preserve">3.1.3. </w:t>
      </w:r>
      <w:r>
        <w:br/>
        <w:t>Сведения о создании и развитии эмитента</w:t>
      </w:r>
    </w:p>
    <w:p w:rsidR="000C4574" w:rsidRDefault="000C4574">
      <w:r>
        <w:t xml:space="preserve">3.1.4. </w:t>
      </w:r>
      <w:r>
        <w:br/>
        <w:t>Контактная информация</w:t>
      </w:r>
    </w:p>
    <w:p w:rsidR="000C4574" w:rsidRDefault="000C4574">
      <w:r>
        <w:t xml:space="preserve">3.1.5. </w:t>
      </w:r>
      <w:r>
        <w:br/>
        <w:t>Идентификационный номер налогоплательщика</w:t>
      </w:r>
    </w:p>
    <w:p w:rsidR="000C4574" w:rsidRDefault="000C4574">
      <w:r>
        <w:t xml:space="preserve">3.1.6. </w:t>
      </w:r>
      <w:r>
        <w:br/>
        <w:t>Филиалы и представительства эмитента</w:t>
      </w:r>
    </w:p>
    <w:p w:rsidR="000C4574" w:rsidRDefault="000C4574">
      <w:r>
        <w:t xml:space="preserve">3.2. </w:t>
      </w:r>
      <w:r>
        <w:br/>
        <w:t>Основная хозяйственная деятельность эмитента</w:t>
      </w:r>
    </w:p>
    <w:p w:rsidR="000C4574" w:rsidRDefault="000C4574">
      <w:r>
        <w:t xml:space="preserve">3.2.1. </w:t>
      </w:r>
      <w:r>
        <w:br/>
        <w:t>Отраслевая принадлежность эмитента</w:t>
      </w:r>
    </w:p>
    <w:p w:rsidR="000C4574" w:rsidRDefault="000C4574">
      <w:r>
        <w:t xml:space="preserve">3.2.2. </w:t>
      </w:r>
      <w:r>
        <w:br/>
        <w:t>Основная хозяйственная деятельность эмитента</w:t>
      </w:r>
    </w:p>
    <w:p w:rsidR="000C4574" w:rsidRDefault="000C4574">
      <w:r>
        <w:t xml:space="preserve">3.2.3. </w:t>
      </w:r>
      <w:r>
        <w:br/>
        <w:t>Материалы, товары (сырье) и поставщики эмитента</w:t>
      </w:r>
    </w:p>
    <w:p w:rsidR="000C4574" w:rsidRDefault="000C4574">
      <w:r>
        <w:lastRenderedPageBreak/>
        <w:t xml:space="preserve">3.2.4. </w:t>
      </w:r>
      <w:r>
        <w:br/>
        <w:t>Рынки сбыта продукции (работ, услуг) эмитента</w:t>
      </w:r>
    </w:p>
    <w:p w:rsidR="000C4574" w:rsidRDefault="000C4574">
      <w:r>
        <w:t xml:space="preserve">3.2.5. </w:t>
      </w:r>
      <w:r>
        <w:br/>
        <w:t>Сведения о наличии у эмитента разрешений (лицензий) или допусков к отдельным видам работ</w:t>
      </w:r>
    </w:p>
    <w:p w:rsidR="000C4574" w:rsidRDefault="000C4574">
      <w:r>
        <w:t xml:space="preserve">3.2.6. </w:t>
      </w:r>
      <w:r>
        <w:br/>
        <w:t>Сведения о деятельности отдельных категорий эмитентов эмиссионных ценных бумаг</w:t>
      </w:r>
    </w:p>
    <w:p w:rsidR="000C4574" w:rsidRDefault="000C4574">
      <w:r>
        <w:t xml:space="preserve">3.3. </w:t>
      </w:r>
      <w:r>
        <w:br/>
        <w:t>Планы будущей деятельности эмитента</w:t>
      </w:r>
    </w:p>
    <w:p w:rsidR="000C4574" w:rsidRDefault="000C4574">
      <w:r>
        <w:t xml:space="preserve">3.4. </w:t>
      </w:r>
      <w:r>
        <w:br/>
        <w:t>Участие эмитента в банковских группах, банковских холдингах, холдингах и ассоциациях</w:t>
      </w:r>
    </w:p>
    <w:p w:rsidR="000C4574" w:rsidRDefault="000C4574">
      <w:r>
        <w:t xml:space="preserve">3.5. </w:t>
      </w:r>
      <w:r>
        <w:br/>
        <w:t>Подконтрольные эмитенту организации, имеющие для него существенное значение</w:t>
      </w:r>
    </w:p>
    <w:p w:rsidR="000C4574" w:rsidRDefault="000C4574">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0C4574" w:rsidRDefault="000C4574">
      <w:r>
        <w:t xml:space="preserve">3.6.1. </w:t>
      </w:r>
      <w:r>
        <w:br/>
        <w:t>Основные средства</w:t>
      </w:r>
    </w:p>
    <w:p w:rsidR="000C4574" w:rsidRDefault="000C4574">
      <w:r>
        <w:t>IV. Сведения о финансово-хозяйственной деятельности эмитента</w:t>
      </w:r>
    </w:p>
    <w:p w:rsidR="000C4574" w:rsidRDefault="000C4574">
      <w:r>
        <w:t xml:space="preserve">4.1. </w:t>
      </w:r>
      <w:r>
        <w:br/>
        <w:t>Результаты финансово-хозяйственной деятельности эмитента</w:t>
      </w:r>
    </w:p>
    <w:p w:rsidR="000C4574" w:rsidRDefault="000C4574">
      <w:r>
        <w:t xml:space="preserve">4.2. </w:t>
      </w:r>
      <w:r>
        <w:br/>
        <w:t>Ликвидность эмитента, достаточность капитала и оборотных средств</w:t>
      </w:r>
    </w:p>
    <w:p w:rsidR="000C4574" w:rsidRDefault="000C4574">
      <w:r>
        <w:t xml:space="preserve">4.3. </w:t>
      </w:r>
      <w:r>
        <w:br/>
        <w:t>Финансовые вложения эмитента</w:t>
      </w:r>
    </w:p>
    <w:p w:rsidR="000C4574" w:rsidRDefault="000C4574">
      <w:r>
        <w:t xml:space="preserve">4.4. </w:t>
      </w:r>
      <w:r>
        <w:br/>
        <w:t>Нематериальные активы эмитента</w:t>
      </w:r>
    </w:p>
    <w:p w:rsidR="000C4574" w:rsidRDefault="000C4574">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0C4574" w:rsidRDefault="000C4574">
      <w:r>
        <w:t xml:space="preserve">4.6. </w:t>
      </w:r>
      <w:r>
        <w:br/>
        <w:t>Анализ тенденций развития в сфере основной деятельности эмитента</w:t>
      </w:r>
    </w:p>
    <w:p w:rsidR="000C4574" w:rsidRDefault="000C4574">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0C4574" w:rsidRDefault="000C4574">
      <w:r>
        <w:t xml:space="preserve">5.1. </w:t>
      </w:r>
      <w:r>
        <w:br/>
        <w:t>Сведения о структуре и компетенции органов управления эмитента</w:t>
      </w:r>
    </w:p>
    <w:p w:rsidR="000C4574" w:rsidRDefault="000C4574">
      <w:r>
        <w:t xml:space="preserve">5.2. </w:t>
      </w:r>
      <w:r>
        <w:br/>
        <w:t>Информация о лицах, входящих в состав органов управления эмитента</w:t>
      </w:r>
    </w:p>
    <w:p w:rsidR="000C4574" w:rsidRDefault="000C4574">
      <w:r>
        <w:t xml:space="preserve">5.2.1. </w:t>
      </w:r>
      <w:r>
        <w:br/>
        <w:t>Состав совета директоров (наблюдательного совета) эмитента</w:t>
      </w:r>
    </w:p>
    <w:p w:rsidR="000C4574" w:rsidRDefault="000C4574">
      <w:r>
        <w:t xml:space="preserve">5.2.2. </w:t>
      </w:r>
      <w:r>
        <w:br/>
        <w:t>Информация о единоличном исполнительном органе эмитента</w:t>
      </w:r>
    </w:p>
    <w:p w:rsidR="000C4574" w:rsidRDefault="000C4574">
      <w:r>
        <w:t xml:space="preserve">5.2.3. </w:t>
      </w:r>
      <w:r>
        <w:br/>
        <w:t>Состав коллегиального исполнительного органа эмитента</w:t>
      </w:r>
    </w:p>
    <w:p w:rsidR="000C4574" w:rsidRDefault="000C4574">
      <w:r>
        <w:t xml:space="preserve">5.3. </w:t>
      </w:r>
      <w:r>
        <w:br/>
        <w:t>Сведения о размере вознаграждения, льгот и/или компенсации расходов по каждому органу управления эмитента</w:t>
      </w:r>
    </w:p>
    <w:p w:rsidR="000C4574" w:rsidRDefault="000C4574">
      <w:r>
        <w:t xml:space="preserve">5.4. </w:t>
      </w:r>
      <w:r>
        <w:br/>
        <w:t>Сведения о структуре и компетенции органов контроля за финансово-хозяйственной деятельностью эмитента</w:t>
      </w:r>
    </w:p>
    <w:p w:rsidR="000C4574" w:rsidRDefault="000C4574">
      <w:r>
        <w:t xml:space="preserve">5.5. </w:t>
      </w:r>
      <w:r>
        <w:br/>
        <w:t>Информация о лицах, входящих в состав органов контроля за финансово-хозяйственной деятельностью эмитента</w:t>
      </w:r>
    </w:p>
    <w:p w:rsidR="000C4574" w:rsidRDefault="000C4574">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0C4574" w:rsidRDefault="000C4574">
      <w:r>
        <w:lastRenderedPageBreak/>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0C4574" w:rsidRDefault="000C4574">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C4574" w:rsidRDefault="000C4574">
      <w:r>
        <w:t>VI. Сведения об участниках (акционерах) эмитента и о совершенных эмитентом сделках, в совершении которых имелась заинтересованность</w:t>
      </w:r>
    </w:p>
    <w:p w:rsidR="000C4574" w:rsidRDefault="000C4574">
      <w:r>
        <w:t xml:space="preserve">6.1-6.2. </w:t>
      </w:r>
      <w:r>
        <w:br/>
        <w:t>Акционеры</w:t>
      </w:r>
    </w:p>
    <w:p w:rsidR="000C4574" w:rsidRDefault="000C4574">
      <w:r>
        <w:t xml:space="preserve">6.1. </w:t>
      </w:r>
      <w:r>
        <w:br/>
        <w:t>Сведения об общем количестве акционеров (участников) эмитента</w:t>
      </w:r>
    </w:p>
    <w:p w:rsidR="000C4574" w:rsidRDefault="000C4574">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0C4574" w:rsidRDefault="000C4574">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0C4574" w:rsidRDefault="000C4574">
      <w:r>
        <w:t xml:space="preserve">6.4. </w:t>
      </w:r>
      <w:r>
        <w:br/>
        <w:t>Сведения об ограничениях на участие в уставном (складочном) капитале (паевом фонде) эмитента</w:t>
      </w:r>
    </w:p>
    <w:p w:rsidR="000C4574" w:rsidRDefault="000C4574">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0C4574" w:rsidRDefault="000C4574">
      <w:r>
        <w:t xml:space="preserve">6.6. </w:t>
      </w:r>
      <w:r>
        <w:br/>
        <w:t>Сведения о совершенных эмитентом сделках, в совершении которых имелась заинтересованность</w:t>
      </w:r>
    </w:p>
    <w:p w:rsidR="000C4574" w:rsidRDefault="000C4574">
      <w:r>
        <w:t xml:space="preserve">6.7. </w:t>
      </w:r>
      <w:r>
        <w:br/>
        <w:t>Сведения о размере дебиторской задолженности</w:t>
      </w:r>
    </w:p>
    <w:p w:rsidR="000C4574" w:rsidRDefault="000C4574">
      <w:r>
        <w:t>VII. Бухгалтерская(финансовая) отчетность эмитента и иная финансовая информация</w:t>
      </w:r>
    </w:p>
    <w:p w:rsidR="000C4574" w:rsidRDefault="000C4574">
      <w:r>
        <w:t xml:space="preserve">7.1. </w:t>
      </w:r>
      <w:r>
        <w:br/>
        <w:t>Годовая бухгалтерская(финансовая) отчетность эмитента</w:t>
      </w:r>
    </w:p>
    <w:p w:rsidR="000C4574" w:rsidRDefault="000C4574">
      <w:r>
        <w:t xml:space="preserve">7.2. </w:t>
      </w:r>
      <w:r>
        <w:br/>
        <w:t>Квартальная бухгалтерская (финансовая) отчетность эмитента</w:t>
      </w:r>
    </w:p>
    <w:p w:rsidR="000C4574" w:rsidRDefault="000C4574">
      <w:r>
        <w:t xml:space="preserve">7.3. </w:t>
      </w:r>
      <w:r>
        <w:br/>
        <w:t>Сводная бухгалтерская (консолидированная финансовая) отчетность эмитента</w:t>
      </w:r>
    </w:p>
    <w:p w:rsidR="000C4574" w:rsidRDefault="000C4574">
      <w:r>
        <w:t xml:space="preserve">7.4. </w:t>
      </w:r>
      <w:r>
        <w:br/>
        <w:t>Сведения об учетной политике эмитента</w:t>
      </w:r>
    </w:p>
    <w:p w:rsidR="000C4574" w:rsidRDefault="000C4574">
      <w:r>
        <w:t xml:space="preserve">7.5. </w:t>
      </w:r>
      <w:r>
        <w:br/>
        <w:t>Сведения об общей сумме экспорта, а также о доле, которую составляет экспорт в общем объеме продаж</w:t>
      </w:r>
    </w:p>
    <w:p w:rsidR="000C4574" w:rsidRDefault="000C4574">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0C4574" w:rsidRDefault="000C4574">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0C4574" w:rsidRDefault="000C4574">
      <w:r>
        <w:t>VIII. Дополнительные сведения об эмитенте и о размещенных им эмиссионных ценных бумагах</w:t>
      </w:r>
    </w:p>
    <w:p w:rsidR="000C4574" w:rsidRDefault="000C4574">
      <w:r>
        <w:t xml:space="preserve">8.1. </w:t>
      </w:r>
      <w:r>
        <w:br/>
        <w:t>Дополнительные сведения об эмитенте</w:t>
      </w:r>
    </w:p>
    <w:p w:rsidR="000C4574" w:rsidRDefault="000C4574">
      <w:r>
        <w:t xml:space="preserve">8.1.1. </w:t>
      </w:r>
      <w:r>
        <w:br/>
        <w:t>Сведения о размере, структуре уставного (складочного) капитала (паевого фонда) эмитента</w:t>
      </w:r>
    </w:p>
    <w:p w:rsidR="000C4574" w:rsidRDefault="000C4574">
      <w:r>
        <w:t xml:space="preserve">8.1.2. </w:t>
      </w:r>
      <w:r>
        <w:br/>
        <w:t>Сведения об изменении размера уставного (складочного) капитала (паевого фонда) эмитента</w:t>
      </w:r>
    </w:p>
    <w:p w:rsidR="000C4574" w:rsidRDefault="000C4574">
      <w:r>
        <w:t xml:space="preserve">8.1.3. </w:t>
      </w:r>
      <w:r>
        <w:br/>
        <w:t>Сведения о порядке созыва и проведения собрания (заседания) высшего органа управления эмитента</w:t>
      </w:r>
    </w:p>
    <w:p w:rsidR="000C4574" w:rsidRDefault="000C4574">
      <w:r>
        <w:lastRenderedPageBreak/>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0C4574" w:rsidRDefault="000C4574">
      <w:r>
        <w:t xml:space="preserve">8.1.5. </w:t>
      </w:r>
      <w:r>
        <w:br/>
        <w:t>Сведения о существенных сделках, совершенных эмитентом</w:t>
      </w:r>
    </w:p>
    <w:p w:rsidR="000C4574" w:rsidRDefault="000C4574">
      <w:r>
        <w:t xml:space="preserve">8.1.6. </w:t>
      </w:r>
      <w:r>
        <w:br/>
        <w:t>Сведения о кредитных рейтингах эмитента</w:t>
      </w:r>
    </w:p>
    <w:p w:rsidR="000C4574" w:rsidRDefault="000C4574">
      <w:r>
        <w:t xml:space="preserve">8.2. </w:t>
      </w:r>
      <w:r>
        <w:br/>
        <w:t>Сведения о каждой категории (типе) акций эмитента</w:t>
      </w:r>
    </w:p>
    <w:p w:rsidR="000C4574" w:rsidRDefault="000C4574">
      <w:r>
        <w:t xml:space="preserve">8.3. </w:t>
      </w:r>
      <w:r>
        <w:br/>
        <w:t>Сведения о предыдущих выпусках эмиссионных ценных бумаг эмитента, за исключением акций эмитента</w:t>
      </w:r>
    </w:p>
    <w:p w:rsidR="000C4574" w:rsidRDefault="000C4574">
      <w:r>
        <w:t xml:space="preserve">8.3.1. </w:t>
      </w:r>
      <w:r>
        <w:br/>
        <w:t>Сведения о выпусках, все ценные бумаги которых погашены</w:t>
      </w:r>
    </w:p>
    <w:p w:rsidR="000C4574" w:rsidRDefault="000C4574">
      <w:r>
        <w:t xml:space="preserve">8.3.2. </w:t>
      </w:r>
      <w:r>
        <w:br/>
        <w:t>Сведения о выпусках, ценные бумаги которых не являются погашенными</w:t>
      </w:r>
    </w:p>
    <w:p w:rsidR="000C4574" w:rsidRDefault="000C4574">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0C4574" w:rsidRDefault="000C4574">
      <w:r>
        <w:t xml:space="preserve">8.4.1. </w:t>
      </w:r>
      <w:r>
        <w:br/>
        <w:t>Условия обеспечения исполнения обязательств по облигациям с ипотечным покрытием</w:t>
      </w:r>
    </w:p>
    <w:p w:rsidR="000C4574" w:rsidRDefault="000C4574">
      <w:r>
        <w:t xml:space="preserve">8.5. </w:t>
      </w:r>
      <w:r>
        <w:br/>
        <w:t>Сведения об организациях, осуществляющих учет прав на эмиссионные ценные бумаги эмитента</w:t>
      </w:r>
    </w:p>
    <w:p w:rsidR="000C4574" w:rsidRDefault="000C4574">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0C4574" w:rsidRDefault="000C4574">
      <w:r>
        <w:t xml:space="preserve">8.7. </w:t>
      </w:r>
      <w:r>
        <w:br/>
        <w:t>Описание порядка налогообложения доходов по размещенным и размещаемым эмиссионным ценным бумагам эмитента</w:t>
      </w:r>
    </w:p>
    <w:p w:rsidR="000C4574" w:rsidRDefault="000C4574">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0C4574" w:rsidRDefault="000C4574">
      <w:r>
        <w:t xml:space="preserve">8.8.1. </w:t>
      </w:r>
      <w:r>
        <w:br/>
        <w:t>Сведения об объявленных и выплаченных дивидендах по акциям эмитента</w:t>
      </w:r>
    </w:p>
    <w:p w:rsidR="000C4574" w:rsidRDefault="000C4574">
      <w:r>
        <w:t xml:space="preserve">8.8.2. </w:t>
      </w:r>
      <w:r>
        <w:br/>
        <w:t>Сведения о начисленных и выплаченных доходах по облигациям эмитента</w:t>
      </w:r>
    </w:p>
    <w:p w:rsidR="000C4574" w:rsidRDefault="000C4574">
      <w:r>
        <w:t xml:space="preserve">8.9. </w:t>
      </w:r>
      <w:r>
        <w:br/>
        <w:t>Иные сведения</w:t>
      </w:r>
    </w:p>
    <w:p w:rsidR="000C4574" w:rsidRDefault="000C4574">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0C4574" w:rsidRDefault="000C4574">
      <w:r>
        <w:t>Приложение к ежеквартальному отчету. Аудиторское заключение к годовой бухгалтерской(финансовой) отчетности эмитента</w:t>
      </w:r>
    </w:p>
    <w:p w:rsidR="000C4574" w:rsidRDefault="000C4574"/>
    <w:p w:rsidR="000C4574" w:rsidRDefault="000C4574">
      <w:r>
        <w:t>Приложение к ежеквартальному отчету. Годовая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p w:rsidR="000C4574" w:rsidRDefault="000C4574">
      <w:r>
        <w:t>Приложение к ежеквартальному отчету. Промежуточная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p w:rsidR="000C4574" w:rsidRDefault="000C4574">
      <w:pPr>
        <w:pStyle w:val="1"/>
      </w:pPr>
      <w:r>
        <w:fldChar w:fldCharType="end"/>
      </w:r>
      <w:r>
        <w:br w:type="page"/>
      </w:r>
      <w:r>
        <w:lastRenderedPageBreak/>
        <w:t>Введение</w:t>
      </w:r>
    </w:p>
    <w:p w:rsidR="000C4574" w:rsidRPr="000C4574" w:rsidRDefault="000C4574" w:rsidP="000C4574">
      <w:pPr>
        <w:pStyle w:val="SubHeading"/>
      </w:pPr>
      <w:r>
        <w:t>Основания возникновения у эмитента обязанности осуществлять раскрытие информации в форме ежеквартального отчета</w:t>
      </w:r>
    </w:p>
    <w:p w:rsidR="000C4574" w:rsidRDefault="000C4574">
      <w:pPr>
        <w:ind w:left="200"/>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0C4574" w:rsidRDefault="000C4574">
      <w:pPr>
        <w:pStyle w:val="ThinDelim"/>
      </w:pPr>
    </w:p>
    <w:p w:rsidR="000C4574" w:rsidRDefault="000C4574">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C4574" w:rsidRDefault="000C4574">
      <w:pPr>
        <w:pStyle w:val="1"/>
      </w:pPr>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0C4574" w:rsidRDefault="000C4574">
      <w:pPr>
        <w:pStyle w:val="2"/>
      </w:pPr>
      <w:r>
        <w:t>1.1. Лица, входящие в состав органов управления эмитента</w:t>
      </w:r>
    </w:p>
    <w:p w:rsidR="000C4574" w:rsidRDefault="000C4574">
      <w:pPr>
        <w:pStyle w:val="SubHeading"/>
        <w:ind w:left="200"/>
      </w:pPr>
      <w:r>
        <w:t>Состав совета директоров (наблюдательного совета) эмитента</w:t>
      </w:r>
    </w:p>
    <w:p w:rsidR="000C4574" w:rsidRDefault="000C4574">
      <w:pPr>
        <w:pStyle w:val="ThinDelim"/>
      </w:pPr>
    </w:p>
    <w:tbl>
      <w:tblPr>
        <w:tblW w:w="0" w:type="auto"/>
        <w:tblLayout w:type="fixed"/>
        <w:tblCellMar>
          <w:left w:w="72" w:type="dxa"/>
          <w:right w:w="72" w:type="dxa"/>
        </w:tblCellMar>
        <w:tblLook w:val="0000"/>
      </w:tblPr>
      <w:tblGrid>
        <w:gridCol w:w="7752"/>
        <w:gridCol w:w="1500"/>
      </w:tblGrid>
      <w:tr w:rsidR="000C4574">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0C4574" w:rsidRDefault="000C4574">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0C4574" w:rsidRDefault="000C4574">
            <w:pPr>
              <w:jc w:val="center"/>
            </w:pPr>
            <w:r>
              <w:t>Год рождения</w:t>
            </w:r>
          </w:p>
        </w:tc>
      </w:tr>
      <w:tr w:rsidR="000C4574">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C4574" w:rsidRDefault="000C4574">
            <w:r>
              <w:t>Дронов Владимир  Викторович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1967</w:t>
            </w:r>
          </w:p>
        </w:tc>
      </w:tr>
      <w:tr w:rsidR="000C4574">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C4574" w:rsidRDefault="000C4574">
            <w:r>
              <w:t>Савельев Виктор Алексеевич</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1963</w:t>
            </w:r>
          </w:p>
        </w:tc>
      </w:tr>
      <w:tr w:rsidR="000C4574">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C4574" w:rsidRDefault="000C4574">
            <w:r>
              <w:t>Цурцумия Олег Витальевич</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1977</w:t>
            </w:r>
          </w:p>
        </w:tc>
      </w:tr>
      <w:tr w:rsidR="000C4574">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C4574" w:rsidRDefault="000C4574">
            <w:r>
              <w:t>Ягуткин Владимир Анатольевич</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1973</w:t>
            </w:r>
          </w:p>
        </w:tc>
      </w:tr>
      <w:tr w:rsidR="000C4574">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C4574" w:rsidRDefault="000C4574">
            <w:r>
              <w:t>Шустров Андрей Анатольевич</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1970</w:t>
            </w:r>
          </w:p>
        </w:tc>
      </w:tr>
      <w:tr w:rsidR="000C4574">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C4574" w:rsidRDefault="000C4574">
            <w:r>
              <w:t>Трухачев Андрей Николаевич</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1964</w:t>
            </w:r>
          </w:p>
        </w:tc>
      </w:tr>
      <w:tr w:rsidR="000C4574">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0C4574" w:rsidRDefault="000C4574">
            <w:r>
              <w:t>Черкасов Андрей Борисович</w:t>
            </w:r>
          </w:p>
        </w:tc>
        <w:tc>
          <w:tcPr>
            <w:tcW w:w="1500" w:type="dxa"/>
            <w:tcBorders>
              <w:top w:val="single" w:sz="6" w:space="0" w:color="auto"/>
              <w:left w:val="single" w:sz="6" w:space="0" w:color="auto"/>
              <w:bottom w:val="double" w:sz="6" w:space="0" w:color="auto"/>
              <w:right w:val="double" w:sz="6" w:space="0" w:color="auto"/>
            </w:tcBorders>
          </w:tcPr>
          <w:p w:rsidR="000C4574" w:rsidRDefault="000C4574">
            <w:pPr>
              <w:jc w:val="center"/>
            </w:pPr>
            <w:r>
              <w:t>1963</w:t>
            </w:r>
          </w:p>
        </w:tc>
      </w:tr>
    </w:tbl>
    <w:p w:rsidR="000C4574" w:rsidRDefault="000C4574"/>
    <w:p w:rsidR="000C4574" w:rsidRDefault="000C4574">
      <w:pPr>
        <w:pStyle w:val="SubHeading"/>
        <w:ind w:left="200"/>
      </w:pPr>
      <w:r>
        <w:t>Единоличный исполнительный орган эмитента</w:t>
      </w:r>
    </w:p>
    <w:p w:rsidR="000C4574" w:rsidRDefault="000C4574">
      <w:pPr>
        <w:ind w:left="400"/>
      </w:pPr>
    </w:p>
    <w:p w:rsidR="000C4574" w:rsidRDefault="000C4574">
      <w:pPr>
        <w:ind w:left="400"/>
      </w:pPr>
    </w:p>
    <w:p w:rsidR="000C4574" w:rsidRDefault="000C4574">
      <w:pPr>
        <w:pStyle w:val="ThinDelim"/>
      </w:pPr>
    </w:p>
    <w:tbl>
      <w:tblPr>
        <w:tblW w:w="0" w:type="auto"/>
        <w:tblLayout w:type="fixed"/>
        <w:tblCellMar>
          <w:left w:w="72" w:type="dxa"/>
          <w:right w:w="72" w:type="dxa"/>
        </w:tblCellMar>
        <w:tblLook w:val="0000"/>
      </w:tblPr>
      <w:tblGrid>
        <w:gridCol w:w="7752"/>
        <w:gridCol w:w="1500"/>
      </w:tblGrid>
      <w:tr w:rsidR="000C4574">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0C4574" w:rsidRDefault="000C4574">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0C4574" w:rsidRDefault="000C4574">
            <w:pPr>
              <w:jc w:val="center"/>
            </w:pPr>
            <w:r>
              <w:t>Год рождения</w:t>
            </w:r>
          </w:p>
        </w:tc>
      </w:tr>
      <w:tr w:rsidR="000C4574">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0C4574" w:rsidRDefault="000C4574">
            <w:r>
              <w:t>Пирогов Олег  Викторович</w:t>
            </w:r>
          </w:p>
        </w:tc>
        <w:tc>
          <w:tcPr>
            <w:tcW w:w="1500" w:type="dxa"/>
            <w:tcBorders>
              <w:top w:val="single" w:sz="6" w:space="0" w:color="auto"/>
              <w:left w:val="single" w:sz="6" w:space="0" w:color="auto"/>
              <w:bottom w:val="double" w:sz="6" w:space="0" w:color="auto"/>
              <w:right w:val="double" w:sz="6" w:space="0" w:color="auto"/>
            </w:tcBorders>
          </w:tcPr>
          <w:p w:rsidR="000C4574" w:rsidRDefault="000C4574">
            <w:pPr>
              <w:jc w:val="center"/>
            </w:pPr>
            <w:r>
              <w:t>1966</w:t>
            </w:r>
          </w:p>
        </w:tc>
      </w:tr>
    </w:tbl>
    <w:p w:rsidR="000C4574" w:rsidRDefault="000C4574"/>
    <w:p w:rsidR="000C4574" w:rsidRDefault="000C4574">
      <w:pPr>
        <w:pStyle w:val="SubHeading"/>
        <w:ind w:left="200"/>
      </w:pPr>
      <w:r>
        <w:t>Состав коллегиального исполнительного органа эмитента</w:t>
      </w:r>
    </w:p>
    <w:p w:rsidR="000C4574" w:rsidRDefault="000C4574">
      <w:pPr>
        <w:pStyle w:val="ThinDelim"/>
      </w:pPr>
    </w:p>
    <w:tbl>
      <w:tblPr>
        <w:tblW w:w="0" w:type="auto"/>
        <w:tblLayout w:type="fixed"/>
        <w:tblCellMar>
          <w:left w:w="72" w:type="dxa"/>
          <w:right w:w="72" w:type="dxa"/>
        </w:tblCellMar>
        <w:tblLook w:val="0000"/>
      </w:tblPr>
      <w:tblGrid>
        <w:gridCol w:w="7752"/>
        <w:gridCol w:w="1500"/>
      </w:tblGrid>
      <w:tr w:rsidR="000C4574">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0C4574" w:rsidRDefault="000C4574">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0C4574" w:rsidRDefault="000C4574">
            <w:pPr>
              <w:jc w:val="center"/>
            </w:pPr>
            <w:r>
              <w:t>Год рождения</w:t>
            </w:r>
          </w:p>
        </w:tc>
      </w:tr>
      <w:tr w:rsidR="000C4574">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C4574" w:rsidRDefault="000C4574">
            <w:r>
              <w:t>Пожарова Лина Николаевна</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1961</w:t>
            </w:r>
          </w:p>
        </w:tc>
      </w:tr>
      <w:tr w:rsidR="000C4574">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0C4574" w:rsidRDefault="000C4574">
            <w:r>
              <w:t>Головнин Владимир Васильевич</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1961</w:t>
            </w:r>
          </w:p>
        </w:tc>
      </w:tr>
      <w:tr w:rsidR="000C4574">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0C4574" w:rsidRDefault="000C4574">
            <w:r>
              <w:t>Хвостова Лариса Михайловна</w:t>
            </w:r>
          </w:p>
        </w:tc>
        <w:tc>
          <w:tcPr>
            <w:tcW w:w="1500" w:type="dxa"/>
            <w:tcBorders>
              <w:top w:val="single" w:sz="6" w:space="0" w:color="auto"/>
              <w:left w:val="single" w:sz="6" w:space="0" w:color="auto"/>
              <w:bottom w:val="double" w:sz="6" w:space="0" w:color="auto"/>
              <w:right w:val="double" w:sz="6" w:space="0" w:color="auto"/>
            </w:tcBorders>
          </w:tcPr>
          <w:p w:rsidR="000C4574" w:rsidRDefault="000C4574">
            <w:pPr>
              <w:jc w:val="center"/>
            </w:pPr>
            <w:r>
              <w:t>1954</w:t>
            </w:r>
          </w:p>
        </w:tc>
      </w:tr>
    </w:tbl>
    <w:p w:rsidR="000C4574" w:rsidRDefault="000C4574"/>
    <w:p w:rsidR="000C4574" w:rsidRDefault="000C4574">
      <w:pPr>
        <w:pStyle w:val="2"/>
      </w:pPr>
      <w:r>
        <w:t>1.2. Сведения о банковских счетах эмитента</w:t>
      </w: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Закрытое акционерное общество "ИНГ БАНК (ЕВРАЗИЯ)",</w:t>
      </w:r>
    </w:p>
    <w:p w:rsidR="000C4574" w:rsidRDefault="000C4574">
      <w:pPr>
        <w:ind w:left="400"/>
      </w:pPr>
      <w:r>
        <w:t>Сокращенное фирменное наименование:</w:t>
      </w:r>
      <w:r>
        <w:rPr>
          <w:rStyle w:val="Subst"/>
          <w:bCs/>
          <w:iCs/>
        </w:rPr>
        <w:t xml:space="preserve"> ЗАО "ИНГ БАНК (ЕВРАЗИЯ)",</w:t>
      </w:r>
    </w:p>
    <w:p w:rsidR="000C4574" w:rsidRDefault="000C4574">
      <w:pPr>
        <w:ind w:left="400"/>
      </w:pPr>
      <w:r>
        <w:t>Место нахождения:</w:t>
      </w:r>
      <w:r>
        <w:rPr>
          <w:rStyle w:val="Subst"/>
          <w:bCs/>
          <w:iCs/>
        </w:rPr>
        <w:t xml:space="preserve"> 127473, Россия, г. Москва, ул. Краснопролетарская д. 36</w:t>
      </w:r>
    </w:p>
    <w:p w:rsidR="000C4574" w:rsidRDefault="000C4574">
      <w:pPr>
        <w:ind w:left="400"/>
      </w:pPr>
      <w:r>
        <w:t>ИНН:</w:t>
      </w:r>
      <w:r>
        <w:rPr>
          <w:rStyle w:val="Subst"/>
          <w:bCs/>
          <w:iCs/>
        </w:rPr>
        <w:t xml:space="preserve"> 7712014310</w:t>
      </w:r>
    </w:p>
    <w:p w:rsidR="000C4574" w:rsidRDefault="000C4574">
      <w:pPr>
        <w:ind w:left="400"/>
      </w:pPr>
      <w:r>
        <w:t>БИК:</w:t>
      </w:r>
      <w:r>
        <w:rPr>
          <w:rStyle w:val="Subst"/>
          <w:bCs/>
          <w:iCs/>
        </w:rPr>
        <w:t xml:space="preserve"> 044525222</w:t>
      </w:r>
    </w:p>
    <w:p w:rsidR="000C4574" w:rsidRDefault="000C4574">
      <w:pPr>
        <w:ind w:left="200"/>
      </w:pPr>
      <w:r>
        <w:t>Номер счета:</w:t>
      </w:r>
      <w:r>
        <w:rPr>
          <w:rStyle w:val="Subst"/>
          <w:bCs/>
          <w:iCs/>
        </w:rPr>
        <w:t xml:space="preserve"> 40702810700001004288</w:t>
      </w:r>
    </w:p>
    <w:p w:rsidR="000C4574" w:rsidRDefault="000C4574">
      <w:pPr>
        <w:ind w:left="200"/>
      </w:pPr>
      <w:r>
        <w:t>Корр. счет:</w:t>
      </w:r>
      <w:r>
        <w:rPr>
          <w:rStyle w:val="Subst"/>
          <w:bCs/>
          <w:iCs/>
        </w:rPr>
        <w:t xml:space="preserve"> 30101810500000000222</w:t>
      </w:r>
    </w:p>
    <w:p w:rsidR="000C4574" w:rsidRDefault="000C4574">
      <w:pPr>
        <w:ind w:left="200"/>
      </w:pPr>
      <w:r>
        <w:t>Тип счета:</w:t>
      </w:r>
      <w:r>
        <w:rPr>
          <w:rStyle w:val="Subst"/>
          <w:bCs/>
          <w:iCs/>
        </w:rPr>
        <w:t xml:space="preserve"> расчетный</w:t>
      </w: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Открытое акционерное общество "АККОБАНК"</w:t>
      </w:r>
    </w:p>
    <w:p w:rsidR="000C4574" w:rsidRDefault="000C4574">
      <w:pPr>
        <w:ind w:left="400"/>
      </w:pPr>
      <w:r>
        <w:t>Сокращенное фирменное наименование:</w:t>
      </w:r>
      <w:r>
        <w:rPr>
          <w:rStyle w:val="Subst"/>
          <w:bCs/>
          <w:iCs/>
        </w:rPr>
        <w:t xml:space="preserve"> ОАО "АКОБАНК"</w:t>
      </w:r>
    </w:p>
    <w:p w:rsidR="000C4574" w:rsidRDefault="000C4574">
      <w:pPr>
        <w:ind w:left="400"/>
      </w:pPr>
      <w:r>
        <w:t>Место нахождения:</w:t>
      </w:r>
      <w:r>
        <w:rPr>
          <w:rStyle w:val="Subst"/>
          <w:bCs/>
          <w:iCs/>
        </w:rPr>
        <w:t xml:space="preserve"> 628400, Россия, Ханты-Мансийский автономный округ-Югра, г. Сургут ул. Дзержинского д. 11</w:t>
      </w:r>
    </w:p>
    <w:p w:rsidR="000C4574" w:rsidRDefault="000C4574">
      <w:pPr>
        <w:ind w:left="400"/>
      </w:pPr>
      <w:r>
        <w:t>ИНН:</w:t>
      </w:r>
      <w:r>
        <w:rPr>
          <w:rStyle w:val="Subst"/>
          <w:bCs/>
          <w:iCs/>
        </w:rPr>
        <w:t xml:space="preserve"> 8602190057</w:t>
      </w:r>
    </w:p>
    <w:p w:rsidR="000C4574" w:rsidRDefault="000C4574">
      <w:pPr>
        <w:ind w:left="400"/>
      </w:pPr>
      <w:r>
        <w:t>БИК:</w:t>
      </w:r>
      <w:r>
        <w:rPr>
          <w:rStyle w:val="Subst"/>
          <w:bCs/>
          <w:iCs/>
        </w:rPr>
        <w:t xml:space="preserve"> 047144704</w:t>
      </w:r>
    </w:p>
    <w:p w:rsidR="000C4574" w:rsidRDefault="000C4574">
      <w:pPr>
        <w:ind w:left="200"/>
      </w:pPr>
      <w:r>
        <w:t>Номер счета:</w:t>
      </w:r>
      <w:r>
        <w:rPr>
          <w:rStyle w:val="Subst"/>
          <w:bCs/>
          <w:iCs/>
        </w:rPr>
        <w:t xml:space="preserve"> 40702810600000002007</w:t>
      </w:r>
    </w:p>
    <w:p w:rsidR="000C4574" w:rsidRDefault="000C4574">
      <w:pPr>
        <w:ind w:left="200"/>
      </w:pPr>
      <w:r>
        <w:t>Корр. счет:</w:t>
      </w:r>
      <w:r>
        <w:rPr>
          <w:rStyle w:val="Subst"/>
          <w:bCs/>
          <w:iCs/>
        </w:rPr>
        <w:t xml:space="preserve"> 30101810100000000704</w:t>
      </w:r>
    </w:p>
    <w:p w:rsidR="000C4574" w:rsidRDefault="000C4574">
      <w:pPr>
        <w:ind w:left="200"/>
      </w:pPr>
      <w:r>
        <w:t>Тип счета:</w:t>
      </w:r>
      <w:r>
        <w:rPr>
          <w:rStyle w:val="Subst"/>
          <w:bCs/>
          <w:iCs/>
        </w:rPr>
        <w:t xml:space="preserve"> расчетный</w:t>
      </w: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Открытое акционерное общество АКБ "ЕВРОФИНАНС МОСНАРБАНК"</w:t>
      </w:r>
    </w:p>
    <w:p w:rsidR="000C4574" w:rsidRDefault="000C4574">
      <w:pPr>
        <w:ind w:left="400"/>
      </w:pPr>
      <w:r>
        <w:t>Сокращенное фирменное наименование:</w:t>
      </w:r>
      <w:r>
        <w:rPr>
          <w:rStyle w:val="Subst"/>
          <w:bCs/>
          <w:iCs/>
        </w:rPr>
        <w:t xml:space="preserve"> ОАО АКБ "ЕВРОФИНАНС МОСНАРБАНК"</w:t>
      </w:r>
    </w:p>
    <w:p w:rsidR="000C4574" w:rsidRDefault="000C4574">
      <w:pPr>
        <w:ind w:left="400"/>
      </w:pPr>
      <w:r>
        <w:t>Место нахождения:</w:t>
      </w:r>
      <w:r>
        <w:rPr>
          <w:rStyle w:val="Subst"/>
          <w:bCs/>
          <w:iCs/>
        </w:rPr>
        <w:t xml:space="preserve"> 121099 Россия, г. Москва ул. Новый Арбат 29</w:t>
      </w:r>
    </w:p>
    <w:p w:rsidR="000C4574" w:rsidRDefault="000C4574">
      <w:pPr>
        <w:ind w:left="400"/>
      </w:pPr>
      <w:r>
        <w:t>ИНН:</w:t>
      </w:r>
      <w:r>
        <w:rPr>
          <w:rStyle w:val="Subst"/>
          <w:bCs/>
          <w:iCs/>
        </w:rPr>
        <w:t xml:space="preserve"> 7703115760</w:t>
      </w:r>
    </w:p>
    <w:p w:rsidR="000C4574" w:rsidRDefault="000C4574">
      <w:pPr>
        <w:ind w:left="400"/>
      </w:pPr>
      <w:r>
        <w:t>БИК:</w:t>
      </w:r>
      <w:r>
        <w:rPr>
          <w:rStyle w:val="Subst"/>
          <w:bCs/>
          <w:iCs/>
        </w:rPr>
        <w:t xml:space="preserve"> 044525204</w:t>
      </w:r>
    </w:p>
    <w:p w:rsidR="000C4574" w:rsidRDefault="000C4574">
      <w:pPr>
        <w:ind w:left="200"/>
      </w:pPr>
      <w:r>
        <w:t>Номер счета:</w:t>
      </w:r>
      <w:r>
        <w:rPr>
          <w:rStyle w:val="Subst"/>
          <w:bCs/>
          <w:iCs/>
        </w:rPr>
        <w:t xml:space="preserve"> 40702810500005390301</w:t>
      </w:r>
    </w:p>
    <w:p w:rsidR="000C4574" w:rsidRDefault="000C4574">
      <w:pPr>
        <w:ind w:left="200"/>
      </w:pPr>
      <w:r>
        <w:t>Корр. счет:</w:t>
      </w:r>
      <w:r>
        <w:rPr>
          <w:rStyle w:val="Subst"/>
          <w:bCs/>
          <w:iCs/>
        </w:rPr>
        <w:t xml:space="preserve"> 30101810900000000204</w:t>
      </w:r>
    </w:p>
    <w:p w:rsidR="000C4574" w:rsidRDefault="000C4574">
      <w:pPr>
        <w:ind w:left="200"/>
      </w:pPr>
      <w:r>
        <w:t>Тип счета:</w:t>
      </w:r>
      <w:r>
        <w:rPr>
          <w:rStyle w:val="Subst"/>
          <w:bCs/>
          <w:iCs/>
        </w:rPr>
        <w:t xml:space="preserve"> расчетный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Открытое акционерное  общество "АКБ "ЕВРОФИНАНС МОСНАРБАНК"</w:t>
      </w:r>
    </w:p>
    <w:p w:rsidR="000C4574" w:rsidRDefault="000C4574">
      <w:pPr>
        <w:ind w:left="400"/>
      </w:pPr>
      <w:r>
        <w:t>Сокращенное фирменное наименование:</w:t>
      </w:r>
      <w:r>
        <w:rPr>
          <w:rStyle w:val="Subst"/>
          <w:bCs/>
          <w:iCs/>
        </w:rPr>
        <w:t xml:space="preserve"> ОАО "АКБ "ЕВРОФИНАНС МОСНАРБАНК"</w:t>
      </w:r>
    </w:p>
    <w:p w:rsidR="000C4574" w:rsidRDefault="000C4574">
      <w:pPr>
        <w:ind w:left="400"/>
      </w:pPr>
      <w:r>
        <w:t>Место нахождения:</w:t>
      </w:r>
      <w:r>
        <w:rPr>
          <w:rStyle w:val="Subst"/>
          <w:bCs/>
          <w:iCs/>
        </w:rPr>
        <w:t xml:space="preserve"> 121099 Россия г. Москва ул. Новый Арбат 29</w:t>
      </w:r>
    </w:p>
    <w:p w:rsidR="000C4574" w:rsidRDefault="000C4574">
      <w:pPr>
        <w:ind w:left="400"/>
      </w:pPr>
      <w:r>
        <w:t>ИНН:</w:t>
      </w:r>
      <w:r>
        <w:rPr>
          <w:rStyle w:val="Subst"/>
          <w:bCs/>
          <w:iCs/>
        </w:rPr>
        <w:t xml:space="preserve"> 7703115760</w:t>
      </w:r>
    </w:p>
    <w:p w:rsidR="000C4574" w:rsidRDefault="000C4574">
      <w:pPr>
        <w:ind w:left="400"/>
      </w:pPr>
      <w:r>
        <w:t>БИК:</w:t>
      </w:r>
      <w:r>
        <w:rPr>
          <w:rStyle w:val="Subst"/>
          <w:bCs/>
          <w:iCs/>
        </w:rPr>
        <w:t xml:space="preserve"> 044525204</w:t>
      </w:r>
    </w:p>
    <w:p w:rsidR="000C4574" w:rsidRDefault="000C4574">
      <w:pPr>
        <w:ind w:left="200"/>
      </w:pPr>
      <w:r>
        <w:t>Номер счета:</w:t>
      </w:r>
      <w:r>
        <w:rPr>
          <w:rStyle w:val="Subst"/>
          <w:bCs/>
          <w:iCs/>
        </w:rPr>
        <w:t xml:space="preserve"> 40702810300005390190</w:t>
      </w:r>
    </w:p>
    <w:p w:rsidR="000C4574" w:rsidRDefault="000C4574">
      <w:pPr>
        <w:ind w:left="200"/>
      </w:pPr>
      <w:r>
        <w:t>Корр. счет:</w:t>
      </w:r>
      <w:r>
        <w:rPr>
          <w:rStyle w:val="Subst"/>
          <w:bCs/>
          <w:iCs/>
        </w:rPr>
        <w:t xml:space="preserve"> 30101810900000000204</w:t>
      </w:r>
    </w:p>
    <w:p w:rsidR="000C4574" w:rsidRDefault="000C4574">
      <w:pPr>
        <w:ind w:left="200"/>
      </w:pPr>
      <w:r>
        <w:t>Тип счета:</w:t>
      </w:r>
      <w:r>
        <w:rPr>
          <w:rStyle w:val="Subst"/>
          <w:bCs/>
          <w:iCs/>
        </w:rPr>
        <w:t xml:space="preserve"> расчетный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Закрытое акционерное общество "Райффайзенбанк"</w:t>
      </w:r>
    </w:p>
    <w:p w:rsidR="000C4574" w:rsidRDefault="000C4574">
      <w:pPr>
        <w:ind w:left="400"/>
      </w:pPr>
      <w:r>
        <w:t>Сокращенное фирменное наименование:</w:t>
      </w:r>
      <w:r>
        <w:rPr>
          <w:rStyle w:val="Subst"/>
          <w:bCs/>
          <w:iCs/>
        </w:rPr>
        <w:t xml:space="preserve"> ЗАО "Райффайзенбанк"</w:t>
      </w:r>
    </w:p>
    <w:p w:rsidR="000C4574" w:rsidRDefault="000C4574">
      <w:pPr>
        <w:ind w:left="400"/>
      </w:pPr>
      <w:r>
        <w:lastRenderedPageBreak/>
        <w:t>Место нахождения:</w:t>
      </w:r>
      <w:r>
        <w:rPr>
          <w:rStyle w:val="Subst"/>
          <w:bCs/>
          <w:iCs/>
        </w:rPr>
        <w:t xml:space="preserve"> 129090 Россия г. Москва ул. Троицкая д. 17/1</w:t>
      </w:r>
    </w:p>
    <w:p w:rsidR="000C4574" w:rsidRDefault="000C4574">
      <w:pPr>
        <w:ind w:left="400"/>
      </w:pPr>
      <w:r>
        <w:t>ИНН:</w:t>
      </w:r>
      <w:r>
        <w:rPr>
          <w:rStyle w:val="Subst"/>
          <w:bCs/>
          <w:iCs/>
        </w:rPr>
        <w:t xml:space="preserve"> 7744000302</w:t>
      </w:r>
    </w:p>
    <w:p w:rsidR="000C4574" w:rsidRDefault="000C4574">
      <w:pPr>
        <w:ind w:left="400"/>
      </w:pPr>
      <w:r>
        <w:t>БИК:</w:t>
      </w:r>
      <w:r>
        <w:rPr>
          <w:rStyle w:val="Subst"/>
          <w:bCs/>
          <w:iCs/>
        </w:rPr>
        <w:t xml:space="preserve"> 044525700</w:t>
      </w:r>
    </w:p>
    <w:p w:rsidR="000C4574" w:rsidRDefault="000C4574">
      <w:pPr>
        <w:ind w:left="200"/>
      </w:pPr>
      <w:r>
        <w:t>Номер счета:</w:t>
      </w:r>
      <w:r>
        <w:rPr>
          <w:rStyle w:val="Subst"/>
          <w:bCs/>
          <w:iCs/>
        </w:rPr>
        <w:t xml:space="preserve"> 40702810000001408943</w:t>
      </w:r>
    </w:p>
    <w:p w:rsidR="000C4574" w:rsidRDefault="000C4574">
      <w:pPr>
        <w:ind w:left="200"/>
      </w:pPr>
      <w:r>
        <w:t>Корр. счет:</w:t>
      </w:r>
      <w:r>
        <w:rPr>
          <w:rStyle w:val="Subst"/>
          <w:bCs/>
          <w:iCs/>
        </w:rPr>
        <w:t xml:space="preserve"> 30101810200000000700</w:t>
      </w:r>
    </w:p>
    <w:p w:rsidR="000C4574" w:rsidRDefault="000C4574">
      <w:pPr>
        <w:ind w:left="200"/>
      </w:pPr>
      <w:r>
        <w:t>Тип счета:</w:t>
      </w:r>
      <w:r>
        <w:rPr>
          <w:rStyle w:val="Subst"/>
          <w:bCs/>
          <w:iCs/>
        </w:rPr>
        <w:t xml:space="preserve"> расчетный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Закрытое акционерное общество "Райффайзенбанк"</w:t>
      </w:r>
    </w:p>
    <w:p w:rsidR="000C4574" w:rsidRDefault="000C4574">
      <w:pPr>
        <w:ind w:left="400"/>
      </w:pPr>
      <w:r>
        <w:t>Сокращенное фирменное наименование:</w:t>
      </w:r>
      <w:r>
        <w:rPr>
          <w:rStyle w:val="Subst"/>
          <w:bCs/>
          <w:iCs/>
        </w:rPr>
        <w:t xml:space="preserve"> ЗАО  "Райффайзенбанк"</w:t>
      </w:r>
    </w:p>
    <w:p w:rsidR="000C4574" w:rsidRDefault="000C4574">
      <w:pPr>
        <w:ind w:left="400"/>
      </w:pPr>
      <w:r>
        <w:t>Место нахождения:</w:t>
      </w:r>
      <w:r>
        <w:rPr>
          <w:rStyle w:val="Subst"/>
          <w:bCs/>
          <w:iCs/>
        </w:rPr>
        <w:t xml:space="preserve"> 129090 Россия г. Москва ул. Троицкая д. 17/1</w:t>
      </w:r>
    </w:p>
    <w:p w:rsidR="000C4574" w:rsidRDefault="000C4574">
      <w:pPr>
        <w:ind w:left="400"/>
      </w:pPr>
      <w:r>
        <w:t>ИНН:</w:t>
      </w:r>
      <w:r>
        <w:rPr>
          <w:rStyle w:val="Subst"/>
          <w:bCs/>
          <w:iCs/>
        </w:rPr>
        <w:t xml:space="preserve"> 7744000302</w:t>
      </w:r>
    </w:p>
    <w:p w:rsidR="000C4574" w:rsidRDefault="000C4574">
      <w:pPr>
        <w:ind w:left="400"/>
      </w:pPr>
      <w:r>
        <w:t>БИК:</w:t>
      </w:r>
      <w:r>
        <w:rPr>
          <w:rStyle w:val="Subst"/>
          <w:bCs/>
          <w:iCs/>
        </w:rPr>
        <w:t xml:space="preserve"> 044525700</w:t>
      </w:r>
    </w:p>
    <w:p w:rsidR="000C4574" w:rsidRDefault="000C4574">
      <w:pPr>
        <w:ind w:left="200"/>
      </w:pPr>
      <w:r>
        <w:t>Номер счета:</w:t>
      </w:r>
      <w:r>
        <w:rPr>
          <w:rStyle w:val="Subst"/>
          <w:bCs/>
          <w:iCs/>
        </w:rPr>
        <w:t xml:space="preserve"> 40702840300001408943</w:t>
      </w:r>
    </w:p>
    <w:p w:rsidR="000C4574" w:rsidRDefault="000C4574">
      <w:pPr>
        <w:ind w:left="200"/>
      </w:pPr>
      <w:r>
        <w:t>Корр. счет:</w:t>
      </w:r>
      <w:r>
        <w:rPr>
          <w:rStyle w:val="Subst"/>
          <w:bCs/>
          <w:iCs/>
        </w:rPr>
        <w:t xml:space="preserve"> 3010181020000000700</w:t>
      </w:r>
    </w:p>
    <w:p w:rsidR="000C4574" w:rsidRDefault="000C4574">
      <w:pPr>
        <w:ind w:left="200"/>
      </w:pPr>
      <w:r>
        <w:t>Тип счета:</w:t>
      </w:r>
      <w:r>
        <w:rPr>
          <w:rStyle w:val="Subst"/>
          <w:bCs/>
          <w:iCs/>
        </w:rPr>
        <w:t xml:space="preserve"> валютный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Закрытое акционерное общество  "ИНГ БАНК (ЕВРАЗИЯ)</w:t>
      </w:r>
    </w:p>
    <w:p w:rsidR="000C4574" w:rsidRDefault="000C4574">
      <w:pPr>
        <w:ind w:left="400"/>
      </w:pPr>
      <w:r>
        <w:t>Сокращенное фирменное наименование:</w:t>
      </w:r>
      <w:r>
        <w:rPr>
          <w:rStyle w:val="Subst"/>
          <w:bCs/>
          <w:iCs/>
        </w:rPr>
        <w:t xml:space="preserve"> ЗАО  "ИНГ БАНК (ЕВРАЗИЯ)</w:t>
      </w:r>
    </w:p>
    <w:p w:rsidR="000C4574" w:rsidRDefault="000C4574">
      <w:pPr>
        <w:ind w:left="400"/>
      </w:pPr>
      <w:r>
        <w:t>Место нахождения:</w:t>
      </w:r>
      <w:r>
        <w:rPr>
          <w:rStyle w:val="Subst"/>
          <w:bCs/>
          <w:iCs/>
        </w:rPr>
        <w:t xml:space="preserve"> 127473 Россия г. Москва ул. Краснопролетарская д. 36</w:t>
      </w:r>
    </w:p>
    <w:p w:rsidR="000C4574" w:rsidRDefault="000C4574">
      <w:pPr>
        <w:ind w:left="400"/>
      </w:pPr>
      <w:r>
        <w:t>ИНН:</w:t>
      </w:r>
      <w:r>
        <w:rPr>
          <w:rStyle w:val="Subst"/>
          <w:bCs/>
          <w:iCs/>
        </w:rPr>
        <w:t xml:space="preserve"> 7712014310</w:t>
      </w:r>
    </w:p>
    <w:p w:rsidR="000C4574" w:rsidRDefault="000C4574">
      <w:pPr>
        <w:ind w:left="400"/>
      </w:pPr>
      <w:r>
        <w:t>БИК:</w:t>
      </w:r>
      <w:r>
        <w:rPr>
          <w:rStyle w:val="Subst"/>
          <w:bCs/>
          <w:iCs/>
        </w:rPr>
        <w:t xml:space="preserve"> 044525222</w:t>
      </w:r>
    </w:p>
    <w:p w:rsidR="000C4574" w:rsidRDefault="000C4574">
      <w:pPr>
        <w:ind w:left="200"/>
      </w:pPr>
      <w:r>
        <w:t>Номер счета:</w:t>
      </w:r>
      <w:r>
        <w:rPr>
          <w:rStyle w:val="Subst"/>
          <w:bCs/>
          <w:iCs/>
        </w:rPr>
        <w:t xml:space="preserve"> 40702840000001004288</w:t>
      </w:r>
    </w:p>
    <w:p w:rsidR="000C4574" w:rsidRDefault="000C4574">
      <w:pPr>
        <w:ind w:left="200"/>
      </w:pPr>
      <w:r>
        <w:t>Корр. счет:</w:t>
      </w:r>
      <w:r>
        <w:rPr>
          <w:rStyle w:val="Subst"/>
          <w:bCs/>
          <w:iCs/>
        </w:rPr>
        <w:t xml:space="preserve"> 30101810500000000222</w:t>
      </w:r>
    </w:p>
    <w:p w:rsidR="000C4574" w:rsidRDefault="000C4574">
      <w:pPr>
        <w:ind w:left="200"/>
      </w:pPr>
      <w:r>
        <w:t>Тип счета:</w:t>
      </w:r>
      <w:r>
        <w:rPr>
          <w:rStyle w:val="Subst"/>
          <w:bCs/>
          <w:iCs/>
        </w:rPr>
        <w:t xml:space="preserve"> валютный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Открытое акционерное общество АКБ "Абсолют Банк"</w:t>
      </w:r>
    </w:p>
    <w:p w:rsidR="000C4574" w:rsidRDefault="000C4574">
      <w:pPr>
        <w:ind w:left="400"/>
      </w:pPr>
      <w:r>
        <w:t>Сокращенное фирменное наименование:</w:t>
      </w:r>
      <w:r>
        <w:rPr>
          <w:rStyle w:val="Subst"/>
          <w:bCs/>
          <w:iCs/>
        </w:rPr>
        <w:t xml:space="preserve"> ОАО АКБ "Абсолют Банк"</w:t>
      </w:r>
    </w:p>
    <w:p w:rsidR="000C4574" w:rsidRDefault="000C4574">
      <w:pPr>
        <w:ind w:left="400"/>
      </w:pPr>
      <w:r>
        <w:t>Место нахождения:</w:t>
      </w:r>
      <w:r>
        <w:rPr>
          <w:rStyle w:val="Subst"/>
          <w:bCs/>
          <w:iCs/>
        </w:rPr>
        <w:t xml:space="preserve"> 127051 Россия г. Москва Цветною бульвар д. 18</w:t>
      </w:r>
    </w:p>
    <w:p w:rsidR="000C4574" w:rsidRDefault="000C4574">
      <w:pPr>
        <w:ind w:left="400"/>
      </w:pPr>
      <w:r>
        <w:t>ИНН:</w:t>
      </w:r>
      <w:r>
        <w:rPr>
          <w:rStyle w:val="Subst"/>
          <w:bCs/>
          <w:iCs/>
        </w:rPr>
        <w:t xml:space="preserve"> 7736046991</w:t>
      </w:r>
    </w:p>
    <w:p w:rsidR="000C4574" w:rsidRDefault="000C4574">
      <w:pPr>
        <w:ind w:left="400"/>
      </w:pPr>
      <w:r>
        <w:t>БИК:</w:t>
      </w:r>
      <w:r>
        <w:rPr>
          <w:rStyle w:val="Subst"/>
          <w:bCs/>
          <w:iCs/>
        </w:rPr>
        <w:t xml:space="preserve"> 044525976</w:t>
      </w:r>
    </w:p>
    <w:p w:rsidR="000C4574" w:rsidRDefault="000C4574">
      <w:pPr>
        <w:ind w:left="200"/>
      </w:pPr>
      <w:r>
        <w:t>Номер счета:</w:t>
      </w:r>
      <w:r>
        <w:rPr>
          <w:rStyle w:val="Subst"/>
          <w:bCs/>
          <w:iCs/>
        </w:rPr>
        <w:t xml:space="preserve"> 40702810822000038959</w:t>
      </w:r>
    </w:p>
    <w:p w:rsidR="000C4574" w:rsidRDefault="000C4574">
      <w:pPr>
        <w:ind w:left="200"/>
      </w:pPr>
      <w:r>
        <w:t>Корр. счет:</w:t>
      </w:r>
      <w:r>
        <w:rPr>
          <w:rStyle w:val="Subst"/>
          <w:bCs/>
          <w:iCs/>
        </w:rPr>
        <w:t xml:space="preserve"> 30101810500000000976</w:t>
      </w:r>
    </w:p>
    <w:p w:rsidR="000C4574" w:rsidRDefault="000C4574">
      <w:pPr>
        <w:ind w:left="200"/>
      </w:pPr>
      <w:r>
        <w:t>Тип счета:</w:t>
      </w:r>
      <w:r>
        <w:rPr>
          <w:rStyle w:val="Subst"/>
          <w:bCs/>
          <w:iCs/>
        </w:rPr>
        <w:t xml:space="preserve"> расчетный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Закрытое акционерное общество АКБ "Абсолют Банк"</w:t>
      </w:r>
    </w:p>
    <w:p w:rsidR="000C4574" w:rsidRDefault="000C4574">
      <w:pPr>
        <w:ind w:left="400"/>
      </w:pPr>
      <w:r>
        <w:t>Сокращенное фирменное наименование:</w:t>
      </w:r>
      <w:r>
        <w:rPr>
          <w:rStyle w:val="Subst"/>
          <w:bCs/>
          <w:iCs/>
        </w:rPr>
        <w:t xml:space="preserve"> ЗАО АКБ "Абсолют Банк"</w:t>
      </w:r>
    </w:p>
    <w:p w:rsidR="000C4574" w:rsidRDefault="000C4574">
      <w:pPr>
        <w:ind w:left="400"/>
      </w:pPr>
      <w:r>
        <w:t>Место нахождения:</w:t>
      </w:r>
      <w:r>
        <w:rPr>
          <w:rStyle w:val="Subst"/>
          <w:bCs/>
          <w:iCs/>
        </w:rPr>
        <w:t xml:space="preserve"> 127051 Россия г. Москва Цветной бульвар д. 18</w:t>
      </w:r>
    </w:p>
    <w:p w:rsidR="000C4574" w:rsidRDefault="000C4574">
      <w:pPr>
        <w:ind w:left="400"/>
      </w:pPr>
      <w:r>
        <w:t>ИНН:</w:t>
      </w:r>
      <w:r>
        <w:rPr>
          <w:rStyle w:val="Subst"/>
          <w:bCs/>
          <w:iCs/>
        </w:rPr>
        <w:t xml:space="preserve"> 7736046991</w:t>
      </w:r>
    </w:p>
    <w:p w:rsidR="000C4574" w:rsidRDefault="000C4574">
      <w:pPr>
        <w:ind w:left="400"/>
      </w:pPr>
      <w:r>
        <w:t>БИК:</w:t>
      </w:r>
      <w:r>
        <w:rPr>
          <w:rStyle w:val="Subst"/>
          <w:bCs/>
          <w:iCs/>
        </w:rPr>
        <w:t xml:space="preserve"> 044525976</w:t>
      </w:r>
    </w:p>
    <w:p w:rsidR="000C4574" w:rsidRDefault="000C4574">
      <w:pPr>
        <w:ind w:left="200"/>
      </w:pPr>
      <w:r>
        <w:t>Номер счета:</w:t>
      </w:r>
      <w:r>
        <w:rPr>
          <w:rStyle w:val="Subst"/>
          <w:bCs/>
          <w:iCs/>
        </w:rPr>
        <w:t xml:space="preserve"> 40702840522000038960</w:t>
      </w:r>
    </w:p>
    <w:p w:rsidR="000C4574" w:rsidRDefault="000C4574">
      <w:pPr>
        <w:ind w:left="200"/>
      </w:pPr>
      <w:r>
        <w:t>Корр. счет:</w:t>
      </w:r>
      <w:r>
        <w:rPr>
          <w:rStyle w:val="Subst"/>
          <w:bCs/>
          <w:iCs/>
        </w:rPr>
        <w:t xml:space="preserve"> 30101810500000000876</w:t>
      </w:r>
    </w:p>
    <w:p w:rsidR="000C4574" w:rsidRDefault="000C4574">
      <w:pPr>
        <w:ind w:left="200"/>
      </w:pPr>
      <w:r>
        <w:t>Тип счета:</w:t>
      </w:r>
      <w:r>
        <w:rPr>
          <w:rStyle w:val="Subst"/>
          <w:bCs/>
          <w:iCs/>
        </w:rPr>
        <w:t xml:space="preserve"> валютный</w:t>
      </w:r>
    </w:p>
    <w:p w:rsidR="000C4574" w:rsidRDefault="000C4574">
      <w:pPr>
        <w:ind w:left="200"/>
      </w:pPr>
    </w:p>
    <w:p w:rsidR="000C4574" w:rsidRDefault="000C4574">
      <w:pPr>
        <w:pStyle w:val="SubHeading"/>
        <w:ind w:left="200"/>
      </w:pPr>
      <w:r>
        <w:lastRenderedPageBreak/>
        <w:t>Сведения о кредитной организации</w:t>
      </w:r>
    </w:p>
    <w:p w:rsidR="000C4574" w:rsidRDefault="000C4574">
      <w:pPr>
        <w:ind w:left="400"/>
      </w:pPr>
      <w:r>
        <w:t>Полное фирменное наименование:</w:t>
      </w:r>
      <w:r>
        <w:rPr>
          <w:rStyle w:val="Subst"/>
          <w:bCs/>
          <w:iCs/>
        </w:rPr>
        <w:t xml:space="preserve"> Сургутской филиал Открытого акционерного общества "Газпромбанк"</w:t>
      </w:r>
    </w:p>
    <w:p w:rsidR="000C4574" w:rsidRDefault="000C4574">
      <w:pPr>
        <w:ind w:left="400"/>
      </w:pPr>
      <w:r>
        <w:t>Сокращенное фирменное наименование:</w:t>
      </w:r>
      <w:r>
        <w:rPr>
          <w:rStyle w:val="Subst"/>
          <w:bCs/>
          <w:iCs/>
        </w:rPr>
        <w:t xml:space="preserve"> ОАО "ГПБ"</w:t>
      </w:r>
    </w:p>
    <w:p w:rsidR="000C4574" w:rsidRDefault="000C4574">
      <w:pPr>
        <w:ind w:left="400"/>
      </w:pPr>
      <w:r>
        <w:t>Место нахождения:</w:t>
      </w:r>
      <w:r>
        <w:rPr>
          <w:rStyle w:val="Subst"/>
          <w:bCs/>
          <w:iCs/>
        </w:rPr>
        <w:t xml:space="preserve"> Тюменская область Ханты-Мансийский автономный округ-Югра г. Сургут бульвар Свободы д. 12</w:t>
      </w:r>
    </w:p>
    <w:p w:rsidR="000C4574" w:rsidRDefault="000C4574">
      <w:pPr>
        <w:ind w:left="400"/>
      </w:pPr>
      <w:r>
        <w:t>ИНН:</w:t>
      </w:r>
      <w:r>
        <w:rPr>
          <w:rStyle w:val="Subst"/>
          <w:bCs/>
          <w:iCs/>
        </w:rPr>
        <w:t xml:space="preserve"> 7744001497</w:t>
      </w:r>
    </w:p>
    <w:p w:rsidR="000C4574" w:rsidRDefault="000C4574">
      <w:pPr>
        <w:ind w:left="400"/>
      </w:pPr>
      <w:r>
        <w:t>БИК:</w:t>
      </w:r>
      <w:r>
        <w:rPr>
          <w:rStyle w:val="Subst"/>
          <w:bCs/>
          <w:iCs/>
        </w:rPr>
        <w:t xml:space="preserve"> 047144721</w:t>
      </w:r>
    </w:p>
    <w:p w:rsidR="000C4574" w:rsidRDefault="000C4574">
      <w:pPr>
        <w:ind w:left="200"/>
      </w:pPr>
      <w:r>
        <w:t>Номер счета:</w:t>
      </w:r>
      <w:r>
        <w:rPr>
          <w:rStyle w:val="Subst"/>
          <w:bCs/>
          <w:iCs/>
        </w:rPr>
        <w:t xml:space="preserve"> 40702840600480000829</w:t>
      </w:r>
    </w:p>
    <w:p w:rsidR="000C4574" w:rsidRDefault="000C4574">
      <w:pPr>
        <w:ind w:left="200"/>
      </w:pPr>
      <w:r>
        <w:t>Корр. счет:</w:t>
      </w:r>
    </w:p>
    <w:p w:rsidR="000C4574" w:rsidRDefault="000C4574">
      <w:pPr>
        <w:ind w:left="200"/>
      </w:pPr>
      <w:r>
        <w:t>Тип счета:</w:t>
      </w:r>
      <w:r>
        <w:rPr>
          <w:rStyle w:val="Subst"/>
          <w:bCs/>
          <w:iCs/>
        </w:rPr>
        <w:t xml:space="preserve"> валютный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Закрытое акционерное общество "ЮНИКРЕДИТ БАНК"</w:t>
      </w:r>
    </w:p>
    <w:p w:rsidR="000C4574" w:rsidRDefault="000C4574">
      <w:pPr>
        <w:ind w:left="400"/>
      </w:pPr>
      <w:r>
        <w:t>Сокращенное фирменное наименование:</w:t>
      </w:r>
      <w:r>
        <w:rPr>
          <w:rStyle w:val="Subst"/>
          <w:bCs/>
          <w:iCs/>
        </w:rPr>
        <w:t xml:space="preserve"> ЗАО "Юникредит Банк"</w:t>
      </w:r>
    </w:p>
    <w:p w:rsidR="000C4574" w:rsidRDefault="000C4574">
      <w:pPr>
        <w:ind w:left="400"/>
      </w:pPr>
      <w:r>
        <w:t>Место нахождения:</w:t>
      </w:r>
      <w:r>
        <w:rPr>
          <w:rStyle w:val="Subst"/>
          <w:bCs/>
          <w:iCs/>
        </w:rPr>
        <w:t xml:space="preserve"> 119034 Россия, г. Москва наб. Пречистенская д. 9</w:t>
      </w:r>
    </w:p>
    <w:p w:rsidR="000C4574" w:rsidRDefault="000C4574">
      <w:pPr>
        <w:ind w:left="400"/>
      </w:pPr>
      <w:r>
        <w:t>ИНН:</w:t>
      </w:r>
      <w:r>
        <w:rPr>
          <w:rStyle w:val="Subst"/>
          <w:bCs/>
          <w:iCs/>
        </w:rPr>
        <w:t xml:space="preserve"> 7710030411</w:t>
      </w:r>
    </w:p>
    <w:p w:rsidR="000C4574" w:rsidRDefault="000C4574">
      <w:pPr>
        <w:ind w:left="400"/>
      </w:pPr>
      <w:r>
        <w:t>БИК:</w:t>
      </w:r>
      <w:r>
        <w:rPr>
          <w:rStyle w:val="Subst"/>
          <w:bCs/>
          <w:iCs/>
        </w:rPr>
        <w:t xml:space="preserve"> 044525545</w:t>
      </w:r>
    </w:p>
    <w:p w:rsidR="000C4574" w:rsidRDefault="000C4574">
      <w:pPr>
        <w:ind w:left="200"/>
      </w:pPr>
      <w:r>
        <w:t>Номер счета:</w:t>
      </w:r>
      <w:r>
        <w:rPr>
          <w:rStyle w:val="Subst"/>
          <w:bCs/>
          <w:iCs/>
        </w:rPr>
        <w:t xml:space="preserve"> 40702840800014664677</w:t>
      </w:r>
    </w:p>
    <w:p w:rsidR="000C4574" w:rsidRDefault="000C4574">
      <w:pPr>
        <w:ind w:left="200"/>
      </w:pPr>
      <w:r>
        <w:t>Корр. счет:</w:t>
      </w:r>
    </w:p>
    <w:p w:rsidR="000C4574" w:rsidRDefault="000C4574">
      <w:pPr>
        <w:ind w:left="200"/>
      </w:pPr>
      <w:r>
        <w:t>Тип счета:</w:t>
      </w:r>
      <w:r>
        <w:rPr>
          <w:rStyle w:val="Subst"/>
          <w:bCs/>
          <w:iCs/>
        </w:rPr>
        <w:t xml:space="preserve"> валютный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Закрытое акционерное общество "ЮНИКРЕДИТ БАНК"</w:t>
      </w:r>
    </w:p>
    <w:p w:rsidR="000C4574" w:rsidRDefault="000C4574">
      <w:pPr>
        <w:ind w:left="400"/>
      </w:pPr>
      <w:r>
        <w:t>Сокращенное фирменное наименование:</w:t>
      </w:r>
      <w:r>
        <w:rPr>
          <w:rStyle w:val="Subst"/>
          <w:bCs/>
          <w:iCs/>
        </w:rPr>
        <w:t xml:space="preserve"> ЗАО "Юникредит Банк"</w:t>
      </w:r>
    </w:p>
    <w:p w:rsidR="000C4574" w:rsidRDefault="000C4574">
      <w:pPr>
        <w:ind w:left="400"/>
      </w:pPr>
      <w:r>
        <w:t>Место нахождения:</w:t>
      </w:r>
      <w:r>
        <w:rPr>
          <w:rStyle w:val="Subst"/>
          <w:bCs/>
          <w:iCs/>
        </w:rPr>
        <w:t xml:space="preserve"> 119034 Россия, г. Москва наб. Пречистенская д. 9</w:t>
      </w:r>
    </w:p>
    <w:p w:rsidR="000C4574" w:rsidRDefault="000C4574">
      <w:pPr>
        <w:ind w:left="400"/>
      </w:pPr>
      <w:r>
        <w:t>ИНН:</w:t>
      </w:r>
      <w:r>
        <w:rPr>
          <w:rStyle w:val="Subst"/>
          <w:bCs/>
          <w:iCs/>
        </w:rPr>
        <w:t xml:space="preserve"> 7710030411</w:t>
      </w:r>
    </w:p>
    <w:p w:rsidR="000C4574" w:rsidRDefault="000C4574">
      <w:pPr>
        <w:ind w:left="400"/>
      </w:pPr>
      <w:r>
        <w:t>БИК:</w:t>
      </w:r>
      <w:r>
        <w:rPr>
          <w:rStyle w:val="Subst"/>
          <w:bCs/>
          <w:iCs/>
        </w:rPr>
        <w:t xml:space="preserve"> 044525545</w:t>
      </w:r>
    </w:p>
    <w:p w:rsidR="000C4574" w:rsidRDefault="000C4574">
      <w:pPr>
        <w:ind w:left="200"/>
      </w:pPr>
      <w:r>
        <w:t>Номер счета:</w:t>
      </w:r>
      <w:r>
        <w:rPr>
          <w:rStyle w:val="Subst"/>
          <w:bCs/>
          <w:iCs/>
        </w:rPr>
        <w:t xml:space="preserve"> 40702810200014664676</w:t>
      </w:r>
    </w:p>
    <w:p w:rsidR="000C4574" w:rsidRDefault="000C4574">
      <w:pPr>
        <w:ind w:left="200"/>
      </w:pPr>
      <w:r>
        <w:t>Корр. счет:</w:t>
      </w:r>
    </w:p>
    <w:p w:rsidR="000C4574" w:rsidRDefault="000C4574">
      <w:pPr>
        <w:ind w:left="200"/>
      </w:pPr>
      <w:r>
        <w:t>Тип счета:</w:t>
      </w:r>
      <w:r>
        <w:rPr>
          <w:rStyle w:val="Subst"/>
          <w:bCs/>
          <w:iCs/>
        </w:rPr>
        <w:t xml:space="preserve"> расчетный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Открытое акционерное общество " Еврофинанс Моснарбанк"</w:t>
      </w:r>
    </w:p>
    <w:p w:rsidR="000C4574" w:rsidRDefault="000C4574">
      <w:pPr>
        <w:ind w:left="400"/>
      </w:pPr>
      <w:r>
        <w:t>Сокращенное фирменное наименование:</w:t>
      </w:r>
      <w:r>
        <w:rPr>
          <w:rStyle w:val="Subst"/>
          <w:bCs/>
          <w:iCs/>
        </w:rPr>
        <w:t xml:space="preserve"> ОАО "Еврофинанс Моснарбанк"</w:t>
      </w:r>
    </w:p>
    <w:p w:rsidR="000C4574" w:rsidRDefault="000C4574">
      <w:pPr>
        <w:ind w:left="400"/>
      </w:pPr>
      <w:r>
        <w:t>Место нахождения:</w:t>
      </w:r>
      <w:r>
        <w:rPr>
          <w:rStyle w:val="Subst"/>
          <w:bCs/>
          <w:iCs/>
        </w:rPr>
        <w:t xml:space="preserve"> 121099 Россия, г. Москва ул. новый Арбат д. 29</w:t>
      </w:r>
    </w:p>
    <w:p w:rsidR="000C4574" w:rsidRDefault="000C4574">
      <w:pPr>
        <w:ind w:left="400"/>
      </w:pPr>
      <w:r>
        <w:t>ИНН:</w:t>
      </w:r>
      <w:r>
        <w:rPr>
          <w:rStyle w:val="Subst"/>
          <w:bCs/>
          <w:iCs/>
        </w:rPr>
        <w:t xml:space="preserve"> 7703115760</w:t>
      </w:r>
    </w:p>
    <w:p w:rsidR="000C4574" w:rsidRDefault="000C4574">
      <w:pPr>
        <w:ind w:left="400"/>
      </w:pPr>
      <w:r>
        <w:t>БИК:</w:t>
      </w:r>
      <w:r>
        <w:rPr>
          <w:rStyle w:val="Subst"/>
          <w:bCs/>
          <w:iCs/>
        </w:rPr>
        <w:t xml:space="preserve"> 044525204</w:t>
      </w:r>
    </w:p>
    <w:p w:rsidR="000C4574" w:rsidRDefault="000C4574">
      <w:pPr>
        <w:ind w:left="200"/>
      </w:pPr>
      <w:r>
        <w:t>Номер счета:</w:t>
      </w:r>
      <w:r>
        <w:rPr>
          <w:rStyle w:val="Subst"/>
          <w:bCs/>
          <w:iCs/>
        </w:rPr>
        <w:t xml:space="preserve"> 40702840900005390191</w:t>
      </w:r>
    </w:p>
    <w:p w:rsidR="000C4574" w:rsidRDefault="000C4574">
      <w:pPr>
        <w:ind w:left="200"/>
      </w:pPr>
      <w:r>
        <w:t>Корр. счет:</w:t>
      </w:r>
    </w:p>
    <w:p w:rsidR="000C4574" w:rsidRDefault="000C4574">
      <w:pPr>
        <w:ind w:left="200"/>
      </w:pPr>
      <w:r>
        <w:t>Тип счета:</w:t>
      </w:r>
      <w:r>
        <w:rPr>
          <w:rStyle w:val="Subst"/>
          <w:bCs/>
          <w:iCs/>
        </w:rPr>
        <w:t xml:space="preserve"> валютный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Закрытое акционерное общество "Банк Интеза"</w:t>
      </w:r>
    </w:p>
    <w:p w:rsidR="000C4574" w:rsidRDefault="000C4574">
      <w:pPr>
        <w:ind w:left="400"/>
      </w:pPr>
      <w:r>
        <w:t>Сокращенное фирменное наименование:</w:t>
      </w:r>
      <w:r>
        <w:rPr>
          <w:rStyle w:val="Subst"/>
          <w:bCs/>
          <w:iCs/>
        </w:rPr>
        <w:t xml:space="preserve"> ЗАО "Банк Интеза"</w:t>
      </w:r>
    </w:p>
    <w:p w:rsidR="000C4574" w:rsidRDefault="000C4574">
      <w:pPr>
        <w:ind w:left="400"/>
      </w:pPr>
      <w:r>
        <w:t>Место нахождения:</w:t>
      </w:r>
      <w:r>
        <w:rPr>
          <w:rStyle w:val="Subst"/>
          <w:bCs/>
          <w:iCs/>
        </w:rPr>
        <w:t xml:space="preserve"> 101000 г. Москва Петроверигский переулок д. 2</w:t>
      </w:r>
    </w:p>
    <w:p w:rsidR="000C4574" w:rsidRDefault="000C4574">
      <w:pPr>
        <w:ind w:left="400"/>
      </w:pPr>
      <w:r>
        <w:t>ИНН:</w:t>
      </w:r>
      <w:r>
        <w:rPr>
          <w:rStyle w:val="Subst"/>
          <w:bCs/>
          <w:iCs/>
        </w:rPr>
        <w:t xml:space="preserve"> 7708022300</w:t>
      </w:r>
    </w:p>
    <w:p w:rsidR="000C4574" w:rsidRDefault="000C4574">
      <w:pPr>
        <w:ind w:left="400"/>
      </w:pPr>
      <w:r>
        <w:lastRenderedPageBreak/>
        <w:t>БИК:</w:t>
      </w:r>
      <w:r>
        <w:rPr>
          <w:rStyle w:val="Subst"/>
          <w:bCs/>
          <w:iCs/>
        </w:rPr>
        <w:t xml:space="preserve"> 044525922</w:t>
      </w:r>
    </w:p>
    <w:p w:rsidR="000C4574" w:rsidRDefault="000C4574">
      <w:pPr>
        <w:ind w:left="200"/>
      </w:pPr>
      <w:r>
        <w:t>Номер счета:</w:t>
      </w:r>
      <w:r>
        <w:rPr>
          <w:rStyle w:val="Subst"/>
          <w:bCs/>
          <w:iCs/>
        </w:rPr>
        <w:t xml:space="preserve"> 40702840610090000781</w:t>
      </w:r>
    </w:p>
    <w:p w:rsidR="000C4574" w:rsidRDefault="000C4574">
      <w:pPr>
        <w:ind w:left="200"/>
      </w:pPr>
      <w:r>
        <w:t>Корр. счет:</w:t>
      </w:r>
    </w:p>
    <w:p w:rsidR="000C4574" w:rsidRDefault="000C4574">
      <w:pPr>
        <w:ind w:left="200"/>
      </w:pPr>
      <w:r>
        <w:t>Тип счета:</w:t>
      </w:r>
      <w:r>
        <w:rPr>
          <w:rStyle w:val="Subst"/>
          <w:bCs/>
          <w:iCs/>
        </w:rPr>
        <w:t xml:space="preserve"> валютный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Закрытое акционерное общество "Банк Интеза"</w:t>
      </w:r>
    </w:p>
    <w:p w:rsidR="000C4574" w:rsidRDefault="000C4574">
      <w:pPr>
        <w:ind w:left="400"/>
      </w:pPr>
      <w:r>
        <w:t>Сокращенное фирменное наименование:</w:t>
      </w:r>
      <w:r>
        <w:rPr>
          <w:rStyle w:val="Subst"/>
          <w:bCs/>
          <w:iCs/>
        </w:rPr>
        <w:t xml:space="preserve"> ЗАО "Банк Интеза"</w:t>
      </w:r>
    </w:p>
    <w:p w:rsidR="000C4574" w:rsidRDefault="000C4574">
      <w:pPr>
        <w:ind w:left="400"/>
      </w:pPr>
      <w:r>
        <w:t>Место нахождения:</w:t>
      </w:r>
      <w:r>
        <w:rPr>
          <w:rStyle w:val="Subst"/>
          <w:bCs/>
          <w:iCs/>
        </w:rPr>
        <w:t xml:space="preserve"> 101000 г. Москва Петроверигский переулок д. 2</w:t>
      </w:r>
    </w:p>
    <w:p w:rsidR="000C4574" w:rsidRDefault="000C4574">
      <w:pPr>
        <w:ind w:left="400"/>
      </w:pPr>
      <w:r>
        <w:t>ИНН:</w:t>
      </w:r>
      <w:r>
        <w:rPr>
          <w:rStyle w:val="Subst"/>
          <w:bCs/>
          <w:iCs/>
        </w:rPr>
        <w:t xml:space="preserve"> 7708022300</w:t>
      </w:r>
    </w:p>
    <w:p w:rsidR="000C4574" w:rsidRDefault="000C4574">
      <w:pPr>
        <w:ind w:left="400"/>
      </w:pPr>
      <w:r>
        <w:t>БИК:</w:t>
      </w:r>
      <w:r>
        <w:rPr>
          <w:rStyle w:val="Subst"/>
          <w:bCs/>
          <w:iCs/>
        </w:rPr>
        <w:t xml:space="preserve"> 044525922</w:t>
      </w:r>
    </w:p>
    <w:p w:rsidR="000C4574" w:rsidRDefault="000C4574">
      <w:pPr>
        <w:ind w:left="200"/>
      </w:pPr>
      <w:r>
        <w:t>Номер счета:</w:t>
      </w:r>
      <w:r>
        <w:rPr>
          <w:rStyle w:val="Subst"/>
          <w:bCs/>
          <w:iCs/>
        </w:rPr>
        <w:t xml:space="preserve"> 40702810810090002810</w:t>
      </w:r>
    </w:p>
    <w:p w:rsidR="000C4574" w:rsidRDefault="000C4574">
      <w:pPr>
        <w:ind w:left="200"/>
      </w:pPr>
      <w:r>
        <w:t>Корр. счет:</w:t>
      </w:r>
    </w:p>
    <w:p w:rsidR="000C4574" w:rsidRDefault="000C4574">
      <w:pPr>
        <w:ind w:left="200"/>
      </w:pPr>
      <w:r>
        <w:t>Тип счета:</w:t>
      </w:r>
      <w:r>
        <w:rPr>
          <w:rStyle w:val="Subst"/>
          <w:bCs/>
          <w:iCs/>
        </w:rPr>
        <w:t xml:space="preserve"> расчетный</w:t>
      </w:r>
    </w:p>
    <w:p w:rsidR="000C4574" w:rsidRDefault="000C4574">
      <w:pPr>
        <w:ind w:left="200"/>
      </w:pPr>
    </w:p>
    <w:p w:rsidR="000C4574" w:rsidRDefault="000C4574">
      <w:pPr>
        <w:pStyle w:val="SubHeading"/>
        <w:ind w:left="200"/>
      </w:pPr>
      <w:r>
        <w:t>Сведения о кредитной организации</w:t>
      </w:r>
    </w:p>
    <w:p w:rsidR="000C4574" w:rsidRDefault="000C4574">
      <w:pPr>
        <w:ind w:left="400"/>
      </w:pPr>
      <w:r>
        <w:t>Полное фирменное наименование:</w:t>
      </w:r>
      <w:r>
        <w:rPr>
          <w:rStyle w:val="Subst"/>
          <w:bCs/>
          <w:iCs/>
        </w:rPr>
        <w:t xml:space="preserve"> Сургутский филиал Открытого акционерного общества "Газпромбанк"</w:t>
      </w:r>
    </w:p>
    <w:p w:rsidR="000C4574" w:rsidRDefault="000C4574">
      <w:pPr>
        <w:ind w:left="400"/>
      </w:pPr>
      <w:r>
        <w:t>Сокращенное фирменное наименование:</w:t>
      </w:r>
      <w:r>
        <w:rPr>
          <w:rStyle w:val="Subst"/>
          <w:bCs/>
          <w:iCs/>
        </w:rPr>
        <w:t xml:space="preserve"> ОАО "ГПБ"</w:t>
      </w:r>
    </w:p>
    <w:p w:rsidR="000C4574" w:rsidRDefault="000C4574">
      <w:pPr>
        <w:ind w:left="400"/>
      </w:pPr>
      <w:r>
        <w:t>Место нахождения:</w:t>
      </w:r>
      <w:r>
        <w:rPr>
          <w:rStyle w:val="Subst"/>
          <w:bCs/>
          <w:iCs/>
        </w:rPr>
        <w:t xml:space="preserve"> Тюменская область Ханты-Мансийский автономный округ-Югра, г. Сургут бульвар Свободы д. 12</w:t>
      </w:r>
    </w:p>
    <w:p w:rsidR="000C4574" w:rsidRDefault="000C4574">
      <w:pPr>
        <w:ind w:left="400"/>
      </w:pPr>
      <w:r>
        <w:t>ИНН:</w:t>
      </w:r>
      <w:r>
        <w:rPr>
          <w:rStyle w:val="Subst"/>
          <w:bCs/>
          <w:iCs/>
        </w:rPr>
        <w:t xml:space="preserve"> 7744001497</w:t>
      </w:r>
    </w:p>
    <w:p w:rsidR="000C4574" w:rsidRDefault="000C4574">
      <w:pPr>
        <w:ind w:left="400"/>
      </w:pPr>
      <w:r>
        <w:t>БИК:</w:t>
      </w:r>
      <w:r>
        <w:rPr>
          <w:rStyle w:val="Subst"/>
          <w:bCs/>
          <w:iCs/>
        </w:rPr>
        <w:t xml:space="preserve"> 047144721</w:t>
      </w:r>
    </w:p>
    <w:p w:rsidR="000C4574" w:rsidRDefault="000C4574">
      <w:pPr>
        <w:ind w:left="200"/>
      </w:pPr>
      <w:r>
        <w:t>Номер счета:</w:t>
      </w:r>
      <w:r>
        <w:rPr>
          <w:rStyle w:val="Subst"/>
          <w:bCs/>
          <w:iCs/>
        </w:rPr>
        <w:t xml:space="preserve"> 40702810300480000829</w:t>
      </w:r>
    </w:p>
    <w:p w:rsidR="000C4574" w:rsidRDefault="000C4574">
      <w:pPr>
        <w:ind w:left="200"/>
      </w:pPr>
      <w:r>
        <w:t>Корр. счет:</w:t>
      </w:r>
    </w:p>
    <w:p w:rsidR="000C4574" w:rsidRDefault="000C4574">
      <w:pPr>
        <w:ind w:left="200"/>
      </w:pPr>
      <w:r>
        <w:t>Тип счета:</w:t>
      </w:r>
      <w:r>
        <w:rPr>
          <w:rStyle w:val="Subst"/>
          <w:bCs/>
          <w:iCs/>
        </w:rPr>
        <w:t xml:space="preserve"> расчетный</w:t>
      </w:r>
    </w:p>
    <w:p w:rsidR="000C4574" w:rsidRDefault="000C4574">
      <w:pPr>
        <w:ind w:left="200"/>
      </w:pPr>
    </w:p>
    <w:p w:rsidR="000C4574" w:rsidRDefault="000C4574">
      <w:pPr>
        <w:pStyle w:val="2"/>
      </w:pPr>
      <w:r>
        <w:t>1.3. Сведения об аудиторе (аудиторах) эмитента</w:t>
      </w:r>
    </w:p>
    <w:p w:rsidR="000C4574" w:rsidRDefault="000C4574">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0C4574" w:rsidRDefault="000C4574">
      <w:pPr>
        <w:ind w:left="200"/>
      </w:pPr>
      <w:r>
        <w:t>Полное фирменное наименование:</w:t>
      </w:r>
      <w:r>
        <w:rPr>
          <w:rStyle w:val="Subst"/>
          <w:bCs/>
          <w:iCs/>
        </w:rPr>
        <w:t xml:space="preserve"> Закрытое акционерное общество "Инвест Аудит"</w:t>
      </w:r>
    </w:p>
    <w:p w:rsidR="000C4574" w:rsidRDefault="000C4574">
      <w:pPr>
        <w:ind w:left="200"/>
      </w:pPr>
      <w:r>
        <w:t>Сокращенное фирменное наименование:</w:t>
      </w:r>
      <w:r>
        <w:rPr>
          <w:rStyle w:val="Subst"/>
          <w:bCs/>
          <w:iCs/>
        </w:rPr>
        <w:t xml:space="preserve"> ЗАО "Инвест Аудит"</w:t>
      </w:r>
    </w:p>
    <w:p w:rsidR="000C4574" w:rsidRDefault="000C4574">
      <w:pPr>
        <w:ind w:left="200"/>
      </w:pPr>
      <w:r>
        <w:t>Место нахождения:</w:t>
      </w:r>
      <w:r>
        <w:rPr>
          <w:rStyle w:val="Subst"/>
          <w:bCs/>
          <w:iCs/>
        </w:rPr>
        <w:t xml:space="preserve"> 644043 г. Омск ул. Щербанева 25 офис 603</w:t>
      </w:r>
    </w:p>
    <w:p w:rsidR="000C4574" w:rsidRDefault="000C4574">
      <w:pPr>
        <w:ind w:left="200"/>
      </w:pPr>
      <w:r>
        <w:t>ИНН:</w:t>
      </w:r>
      <w:r>
        <w:rPr>
          <w:rStyle w:val="Subst"/>
          <w:bCs/>
          <w:iCs/>
        </w:rPr>
        <w:t xml:space="preserve"> 5503029823</w:t>
      </w:r>
    </w:p>
    <w:p w:rsidR="000C4574" w:rsidRDefault="000C4574">
      <w:pPr>
        <w:ind w:left="200"/>
      </w:pPr>
      <w:r>
        <w:t>ОГРН:</w:t>
      </w:r>
      <w:r>
        <w:rPr>
          <w:rStyle w:val="Subst"/>
          <w:bCs/>
          <w:iCs/>
        </w:rPr>
        <w:t xml:space="preserve"> 1025500742607</w:t>
      </w:r>
    </w:p>
    <w:p w:rsidR="000C4574" w:rsidRDefault="000C4574">
      <w:pPr>
        <w:ind w:left="200"/>
      </w:pPr>
      <w:r>
        <w:t>Телефон:</w:t>
      </w:r>
      <w:r>
        <w:rPr>
          <w:rStyle w:val="Subst"/>
          <w:bCs/>
          <w:iCs/>
        </w:rPr>
        <w:t xml:space="preserve"> (3812) 51-04-71</w:t>
      </w:r>
    </w:p>
    <w:p w:rsidR="000C4574" w:rsidRDefault="000C4574">
      <w:pPr>
        <w:ind w:left="200"/>
      </w:pPr>
      <w:r>
        <w:t>Факс:</w:t>
      </w:r>
      <w:r>
        <w:rPr>
          <w:rStyle w:val="Subst"/>
          <w:bCs/>
          <w:iCs/>
        </w:rPr>
        <w:t xml:space="preserve"> (3812) 51-04-86</w:t>
      </w:r>
    </w:p>
    <w:p w:rsidR="000C4574" w:rsidRDefault="000C4574">
      <w:pPr>
        <w:ind w:left="200"/>
      </w:pPr>
      <w:r>
        <w:t>Адрес электронной почты:</w:t>
      </w:r>
      <w:r>
        <w:rPr>
          <w:rStyle w:val="Subst"/>
          <w:bCs/>
          <w:iCs/>
        </w:rPr>
        <w:t xml:space="preserve"> investaudit@bk.ru</w:t>
      </w:r>
    </w:p>
    <w:p w:rsidR="000C4574" w:rsidRDefault="000C4574">
      <w:pPr>
        <w:ind w:left="200"/>
      </w:pPr>
    </w:p>
    <w:p w:rsidR="000C4574" w:rsidRDefault="000C4574">
      <w:pPr>
        <w:pStyle w:val="SubHeading"/>
        <w:ind w:left="200"/>
      </w:pPr>
      <w:r>
        <w:t>Данные о членстве аудитора в саморегулируемых организациях аудиторов</w:t>
      </w:r>
    </w:p>
    <w:p w:rsidR="000C4574" w:rsidRDefault="000C4574">
      <w:pPr>
        <w:ind w:left="400"/>
      </w:pPr>
      <w:r>
        <w:lastRenderedPageBreak/>
        <w:t>Полное наименование:</w:t>
      </w:r>
      <w:r>
        <w:rPr>
          <w:rStyle w:val="Subst"/>
          <w:bCs/>
          <w:iCs/>
        </w:rPr>
        <w:t xml:space="preserve"> Саморегулируемая организация аудиторов НП "Аудиторская Палата России"</w:t>
      </w:r>
    </w:p>
    <w:p w:rsidR="000C4574" w:rsidRDefault="000C4574">
      <w:pPr>
        <w:pStyle w:val="SubHeading"/>
        <w:ind w:left="400"/>
      </w:pPr>
      <w:r>
        <w:t>Место нахождения</w:t>
      </w:r>
    </w:p>
    <w:p w:rsidR="000C4574" w:rsidRDefault="000C4574">
      <w:pPr>
        <w:ind w:left="600"/>
      </w:pPr>
      <w:r>
        <w:rPr>
          <w:rStyle w:val="Subst"/>
          <w:bCs/>
          <w:iCs/>
        </w:rPr>
        <w:t>105120 Россия,  Россия, г. Москва,, 3-ий Сыромятнический переулок 3/9 стр. 3</w:t>
      </w:r>
    </w:p>
    <w:p w:rsidR="000C4574" w:rsidRDefault="000C4574">
      <w:pPr>
        <w:ind w:left="400"/>
      </w:pPr>
    </w:p>
    <w:p w:rsidR="000C4574" w:rsidRDefault="000C4574">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0C4574" w:rsidRDefault="000C4574">
      <w:pPr>
        <w:pStyle w:val="ThinDelim"/>
      </w:pPr>
    </w:p>
    <w:tbl>
      <w:tblPr>
        <w:tblW w:w="0" w:type="auto"/>
        <w:tblLayout w:type="fixed"/>
        <w:tblCellMar>
          <w:left w:w="72" w:type="dxa"/>
          <w:right w:w="72" w:type="dxa"/>
        </w:tblCellMar>
        <w:tblLook w:val="0000"/>
      </w:tblPr>
      <w:tblGrid>
        <w:gridCol w:w="2592"/>
        <w:gridCol w:w="2520"/>
        <w:gridCol w:w="2520"/>
      </w:tblGrid>
      <w:tr w:rsidR="000C4574">
        <w:tblPrEx>
          <w:tblCellMar>
            <w:top w:w="0" w:type="dxa"/>
            <w:bottom w:w="0" w:type="dxa"/>
          </w:tblCellMar>
        </w:tblPrEx>
        <w:tc>
          <w:tcPr>
            <w:tcW w:w="2592" w:type="dxa"/>
            <w:tcBorders>
              <w:top w:val="double" w:sz="6" w:space="0" w:color="auto"/>
              <w:left w:val="double" w:sz="6" w:space="0" w:color="auto"/>
              <w:bottom w:val="double" w:sz="6" w:space="0" w:color="auto"/>
              <w:right w:val="single" w:sz="6" w:space="0" w:color="auto"/>
            </w:tcBorders>
          </w:tcPr>
          <w:p w:rsidR="000C4574" w:rsidRDefault="000C4574">
            <w:pPr>
              <w:jc w:val="center"/>
            </w:pPr>
            <w:r>
              <w:t>Бухгалтерская (финансовая) отчетность, Год</w:t>
            </w:r>
          </w:p>
        </w:tc>
        <w:tc>
          <w:tcPr>
            <w:tcW w:w="2520" w:type="dxa"/>
            <w:tcBorders>
              <w:top w:val="double" w:sz="6" w:space="0" w:color="auto"/>
              <w:left w:val="single" w:sz="6" w:space="0" w:color="auto"/>
              <w:bottom w:val="double" w:sz="6" w:space="0" w:color="auto"/>
              <w:right w:val="single" w:sz="6" w:space="0" w:color="auto"/>
            </w:tcBorders>
          </w:tcPr>
          <w:p w:rsidR="000C4574" w:rsidRDefault="000C4574">
            <w:pPr>
              <w:jc w:val="center"/>
            </w:pPr>
            <w:r>
              <w:t>Сводная бухгалтерская отчетность, Год</w:t>
            </w:r>
          </w:p>
        </w:tc>
        <w:tc>
          <w:tcPr>
            <w:tcW w:w="2520" w:type="dxa"/>
            <w:tcBorders>
              <w:top w:val="double" w:sz="6" w:space="0" w:color="auto"/>
              <w:left w:val="single" w:sz="6" w:space="0" w:color="auto"/>
              <w:bottom w:val="double" w:sz="6" w:space="0" w:color="auto"/>
              <w:right w:val="double" w:sz="6" w:space="0" w:color="auto"/>
            </w:tcBorders>
          </w:tcPr>
          <w:p w:rsidR="000C4574" w:rsidRDefault="000C4574">
            <w:pPr>
              <w:jc w:val="center"/>
            </w:pPr>
            <w:r>
              <w:t>Консолидированная финансовая отчетность, Год</w:t>
            </w:r>
          </w:p>
        </w:tc>
      </w:tr>
    </w:tbl>
    <w:p w:rsidR="000C4574" w:rsidRDefault="000C4574"/>
    <w:p w:rsidR="000C4574" w:rsidRDefault="000C4574">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0C4574" w:rsidRDefault="000C4574">
      <w:pPr>
        <w:ind w:left="400"/>
      </w:pPr>
      <w:r>
        <w:t>Наличие долей участия аудитора (должностных лиц аудитора) в уставном (складочном) капитале (паевом фонде) эмитента:</w:t>
      </w:r>
      <w:r>
        <w:br/>
      </w:r>
    </w:p>
    <w:p w:rsidR="000C4574" w:rsidRDefault="000C4574">
      <w:pPr>
        <w:ind w:left="400"/>
      </w:pPr>
      <w:r>
        <w:t>Предоставление заемных средств аудитору (должностным лицам аудитора) эмитентом:</w:t>
      </w:r>
      <w:r>
        <w:br/>
      </w:r>
    </w:p>
    <w:p w:rsidR="000C4574" w:rsidRDefault="000C4574">
      <w:pPr>
        <w:ind w:left="400"/>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p>
    <w:p w:rsidR="000C4574" w:rsidRDefault="000C4574">
      <w:pPr>
        <w:ind w:left="400"/>
      </w:pPr>
      <w:r>
        <w:t>Сведения о должностных лицах эмитента, являющихся одновременно должностными лицами аудитора (аудитором):</w:t>
      </w:r>
      <w:r>
        <w:br/>
      </w:r>
    </w:p>
    <w:p w:rsidR="000C4574" w:rsidRDefault="000C4574">
      <w:pPr>
        <w:ind w:left="400"/>
      </w:pPr>
      <w:r>
        <w:t>Иные факторы, которые могут повлиять на независимость аудитора от эмитента:</w:t>
      </w:r>
      <w:r>
        <w:br/>
      </w:r>
    </w:p>
    <w:p w:rsidR="000C4574" w:rsidRDefault="000C4574">
      <w:pPr>
        <w:ind w:left="400"/>
      </w:pPr>
      <w:r>
        <w:t>Указываются меры, предпринятые эмитентом и аудитором для снижения влияния указанных факторов:</w:t>
      </w:r>
      <w:r>
        <w:br/>
      </w:r>
    </w:p>
    <w:p w:rsidR="000C4574" w:rsidRDefault="000C4574">
      <w:pPr>
        <w:pStyle w:val="SubHeading"/>
        <w:ind w:left="200"/>
      </w:pPr>
      <w:r>
        <w:t>Порядок выбора аудитора эмитента</w:t>
      </w:r>
    </w:p>
    <w:p w:rsidR="000C4574" w:rsidRDefault="000C4574">
      <w:pPr>
        <w:ind w:left="400"/>
      </w:pPr>
      <w:r>
        <w:t>Наличие процедуры тендера, связанного с выбором аудитора, и его основные условия:</w:t>
      </w:r>
      <w:r>
        <w:br/>
      </w:r>
    </w:p>
    <w:p w:rsidR="000C4574" w:rsidRDefault="000C4574">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p>
    <w:p w:rsidR="000C4574" w:rsidRDefault="000C4574">
      <w:pPr>
        <w:ind w:left="200"/>
      </w:pPr>
      <w:r>
        <w:t>Указывается информация о работах, проводимых аудитором в рамках специальных аудиторских заданий:</w:t>
      </w:r>
      <w:r>
        <w:br/>
      </w:r>
    </w:p>
    <w:p w:rsidR="000C4574" w:rsidRDefault="000C4574">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p>
    <w:p w:rsidR="000C4574" w:rsidRDefault="000C4574">
      <w:pPr>
        <w:ind w:left="200"/>
      </w:pPr>
      <w:r>
        <w:t>Приводится информация о наличии отсроченных и просроченных платежей за оказанные аудитором услуги:</w:t>
      </w:r>
      <w:r>
        <w:br/>
      </w:r>
    </w:p>
    <w:p w:rsidR="000C4574" w:rsidRDefault="000C4574">
      <w:pPr>
        <w:ind w:left="200"/>
      </w:pPr>
    </w:p>
    <w:p w:rsidR="000C4574" w:rsidRDefault="000C4574">
      <w:pPr>
        <w:ind w:left="200"/>
      </w:pPr>
    </w:p>
    <w:p w:rsidR="000C4574" w:rsidRDefault="000C4574">
      <w:pPr>
        <w:pStyle w:val="2"/>
      </w:pPr>
      <w:r>
        <w:lastRenderedPageBreak/>
        <w:t>1.4. Сведения об оценщике эмитента</w:t>
      </w:r>
    </w:p>
    <w:p w:rsidR="000C4574" w:rsidRDefault="000C4574">
      <w:pPr>
        <w:ind w:left="200"/>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0C4574" w:rsidRDefault="000C4574">
      <w:pPr>
        <w:pStyle w:val="2"/>
      </w:pPr>
      <w:r>
        <w:t>1.5. Сведения о консультантах эмитента</w:t>
      </w:r>
    </w:p>
    <w:p w:rsidR="000C4574" w:rsidRDefault="000C4574">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0C4574" w:rsidRDefault="000C4574">
      <w:pPr>
        <w:pStyle w:val="2"/>
      </w:pPr>
      <w:r>
        <w:t>1.6. Сведения об иных лицах, подписавших ежеквартальный отчет</w:t>
      </w:r>
    </w:p>
    <w:p w:rsidR="000C4574" w:rsidRDefault="000C4574">
      <w:pPr>
        <w:ind w:left="200"/>
      </w:pPr>
      <w:r>
        <w:rPr>
          <w:rStyle w:val="Subst"/>
          <w:bCs/>
          <w:iCs/>
        </w:rPr>
        <w:t>Иных подписей нет</w:t>
      </w:r>
    </w:p>
    <w:p w:rsidR="000C4574" w:rsidRDefault="000C4574">
      <w:pPr>
        <w:pStyle w:val="1"/>
      </w:pPr>
      <w:r>
        <w:t>II. Основная информация о финансово-экономическом состоянии эмитента</w:t>
      </w:r>
    </w:p>
    <w:p w:rsidR="000C4574" w:rsidRDefault="000C4574">
      <w:pPr>
        <w:pStyle w:val="2"/>
      </w:pPr>
      <w:r>
        <w:t>2.1. Показатели финансово-экономической деятельности эмитента</w:t>
      </w:r>
    </w:p>
    <w:p w:rsidR="000C4574" w:rsidRDefault="000C4574">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C4574" w:rsidRDefault="000C4574">
      <w:pPr>
        <w:pStyle w:val="ThinDelim"/>
      </w:pPr>
    </w:p>
    <w:p w:rsidR="000C4574" w:rsidRDefault="000C4574">
      <w:pPr>
        <w:pStyle w:val="ThinDelim"/>
      </w:pPr>
    </w:p>
    <w:p w:rsidR="000C4574" w:rsidRDefault="000C4574">
      <w:pPr>
        <w:pStyle w:val="2"/>
      </w:pPr>
      <w:r>
        <w:t>2.2. Рыночная капитализация эмитента</w:t>
      </w:r>
    </w:p>
    <w:p w:rsidR="000C4574" w:rsidRDefault="000C4574">
      <w:pPr>
        <w:ind w:left="200"/>
      </w:pPr>
      <w:r>
        <w:t>Не указывается эмитентами, обыкновенные именные акции которых не допущены к обращению организатором торговли</w:t>
      </w:r>
    </w:p>
    <w:p w:rsidR="000C4574" w:rsidRDefault="000C4574">
      <w:pPr>
        <w:pStyle w:val="2"/>
      </w:pPr>
      <w:r>
        <w:t>2.3. Обязательства эмитента</w:t>
      </w:r>
    </w:p>
    <w:p w:rsidR="000C4574" w:rsidRDefault="000C4574">
      <w:pPr>
        <w:pStyle w:val="2"/>
      </w:pPr>
      <w:r>
        <w:t>2.3.1. Заемные средства и кредиторская задолженность</w:t>
      </w:r>
    </w:p>
    <w:p w:rsidR="000C4574" w:rsidRDefault="000C4574">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C4574" w:rsidRDefault="000C4574">
      <w:pPr>
        <w:pStyle w:val="2"/>
      </w:pPr>
      <w:r>
        <w:t>2.3.2. Кредитная история эмитента</w:t>
      </w:r>
    </w:p>
    <w:p w:rsidR="000C4574" w:rsidRDefault="000C4574">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0C4574" w:rsidRDefault="000C4574"/>
    <w:tbl>
      <w:tblPr>
        <w:tblW w:w="0" w:type="auto"/>
        <w:tblLayout w:type="fixed"/>
        <w:tblCellMar>
          <w:left w:w="72" w:type="dxa"/>
          <w:right w:w="72" w:type="dxa"/>
        </w:tblCellMar>
        <w:tblLook w:val="0000"/>
      </w:tblPr>
      <w:tblGrid>
        <w:gridCol w:w="3732"/>
        <w:gridCol w:w="5520"/>
      </w:tblGrid>
      <w:tr w:rsidR="000C4574">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Вид и идентификационные признаки обязательства</w:t>
            </w:r>
          </w:p>
        </w:tc>
      </w:tr>
      <w:tr w:rsidR="000C4574">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1. договор кредита,</w:t>
            </w:r>
          </w:p>
        </w:tc>
      </w:tr>
      <w:tr w:rsidR="000C4574">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Условия обязательства и сведения о его исполнении</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Открытое акционерное общество Акционерный коммерческий банк "Абсолют Банк", 127051 Россия г. Москва Цветной бульвар д. 18</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 xml:space="preserve">Сумма основного долга на момент </w:t>
            </w:r>
            <w:r>
              <w:lastRenderedPageBreak/>
              <w:t>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lastRenderedPageBreak/>
              <w:t>474 079 500 КГК Х 1 RUR X 1</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lastRenderedPageBreak/>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178435500 RUR X 1</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1,5</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3,11</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5</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Нет</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07.05.2014</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нет</w:t>
            </w:r>
          </w:p>
        </w:tc>
      </w:tr>
    </w:tbl>
    <w:p w:rsidR="000C4574" w:rsidRDefault="000C4574"/>
    <w:tbl>
      <w:tblPr>
        <w:tblW w:w="0" w:type="auto"/>
        <w:tblLayout w:type="fixed"/>
        <w:tblCellMar>
          <w:left w:w="72" w:type="dxa"/>
          <w:right w:w="72" w:type="dxa"/>
        </w:tblCellMar>
        <w:tblLook w:val="0000"/>
      </w:tblPr>
      <w:tblGrid>
        <w:gridCol w:w="3732"/>
        <w:gridCol w:w="5520"/>
      </w:tblGrid>
      <w:tr w:rsidR="000C4574">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Вид и идентификационные признаки обязательства</w:t>
            </w:r>
          </w:p>
        </w:tc>
      </w:tr>
      <w:tr w:rsidR="000C4574">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2. договор кредита,</w:t>
            </w:r>
          </w:p>
        </w:tc>
      </w:tr>
      <w:tr w:rsidR="000C4574">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Условия обязательства и сведения о его исполнении</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Закрытое акционерное общество "ЮниКредит Банк", 119034 г. Москва Пречистенская набережная д. 9</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1 957 704 000 RUR Х 1 RUR X 1000</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2 141 226 000 RUR Х 1 RUR X 1000</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5</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2,47+Libbor min 0,2%</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Нет</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25.12.2018</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нет</w:t>
            </w:r>
          </w:p>
        </w:tc>
      </w:tr>
    </w:tbl>
    <w:p w:rsidR="000C4574" w:rsidRDefault="000C4574"/>
    <w:tbl>
      <w:tblPr>
        <w:tblW w:w="0" w:type="auto"/>
        <w:tblLayout w:type="fixed"/>
        <w:tblCellMar>
          <w:left w:w="72" w:type="dxa"/>
          <w:right w:w="72" w:type="dxa"/>
        </w:tblCellMar>
        <w:tblLook w:val="0000"/>
      </w:tblPr>
      <w:tblGrid>
        <w:gridCol w:w="3732"/>
        <w:gridCol w:w="5520"/>
      </w:tblGrid>
      <w:tr w:rsidR="000C4574">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Вид и идентификационные признаки обязательства</w:t>
            </w:r>
          </w:p>
        </w:tc>
      </w:tr>
      <w:tr w:rsidR="000C4574">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 договор кредита,</w:t>
            </w:r>
          </w:p>
        </w:tc>
      </w:tr>
      <w:tr w:rsidR="000C4574">
        <w:tblPrEx>
          <w:tblCellMar>
            <w:top w:w="0" w:type="dxa"/>
            <w:bottom w:w="0" w:type="dxa"/>
          </w:tblCellMar>
        </w:tblPrEx>
        <w:tc>
          <w:tcPr>
            <w:tcW w:w="9252"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Условия обязательства и сведения о его исполнении</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Закрытое акционерное общество "Райффайзенбанк", 129090 г. Москва ул. Троицкая д. 17 стр. 1</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lastRenderedPageBreak/>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2 936 538 000 RUR Х 1 RUR X 1000</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3 211 839 000 RUR Х 1 RUR X 1000</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5</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2,2+Libbor min 0,2%</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Нет</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28.12.2018</w:t>
            </w:r>
          </w:p>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single" w:sz="6" w:space="0" w:color="auto"/>
              <w:bottom w:val="single" w:sz="6" w:space="0" w:color="auto"/>
              <w:right w:val="single" w:sz="6" w:space="0" w:color="auto"/>
            </w:tcBorders>
          </w:tcPr>
          <w:p w:rsidR="000C4574" w:rsidRDefault="000C4574">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0C4574" w:rsidRDefault="000C4574">
            <w:r>
              <w:t xml:space="preserve"> нет</w:t>
            </w:r>
          </w:p>
        </w:tc>
      </w:tr>
    </w:tbl>
    <w:p w:rsidR="000C4574" w:rsidRDefault="000C4574">
      <w:pPr>
        <w:pStyle w:val="2"/>
      </w:pPr>
      <w:r>
        <w:t>2.3.3. Обязательства эмитента из обеспечения, предоставленного третьим лицам</w:t>
      </w:r>
    </w:p>
    <w:p w:rsidR="000C4574" w:rsidRDefault="000C4574">
      <w:pPr>
        <w:ind w:left="200"/>
      </w:pPr>
      <w:r>
        <w:rPr>
          <w:rStyle w:val="Subst"/>
          <w:bCs/>
          <w:iCs/>
        </w:rPr>
        <w:t>Указанные обязательства отсутствуют</w:t>
      </w:r>
    </w:p>
    <w:p w:rsidR="000C4574" w:rsidRDefault="000C4574">
      <w:pPr>
        <w:pStyle w:val="2"/>
      </w:pPr>
      <w:r>
        <w:t>2.3.4. Прочие обязательства эмитента</w:t>
      </w:r>
    </w:p>
    <w:p w:rsidR="000C4574" w:rsidRDefault="000C4574">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0C4574" w:rsidRDefault="000C4574">
      <w:pPr>
        <w:pStyle w:val="2"/>
      </w:pPr>
      <w:r>
        <w:t>2.4. Риски, связанные с приобретением размещаемых (размещенных) эмиссионных ценных бумаг</w:t>
      </w:r>
    </w:p>
    <w:p w:rsidR="000C4574" w:rsidRPr="003C1F7D" w:rsidRDefault="000C4574" w:rsidP="000C4574">
      <w:pPr>
        <w:ind w:left="200"/>
      </w:pPr>
      <w:r>
        <w:t>Политика эмитента в области управления рисками:</w:t>
      </w:r>
      <w:r>
        <w:br/>
      </w:r>
      <w:r>
        <w:rPr>
          <w:rStyle w:val="Subst"/>
          <w:bCs/>
          <w:iCs/>
        </w:rPr>
        <w:t>Эмитентом ведется планомерная работа с государственными и региональными органами власти, разрабатываются перспективные планы партнерства, ведется регулярный</w:t>
      </w:r>
      <w:r>
        <w:rPr>
          <w:rStyle w:val="Subst"/>
          <w:bCs/>
          <w:iCs/>
        </w:rPr>
        <w:br/>
        <w:t>мониторинг ситуации на рынках.</w:t>
      </w:r>
      <w:r>
        <w:rPr>
          <w:rStyle w:val="Subst"/>
          <w:bCs/>
          <w:iCs/>
        </w:rPr>
        <w:br/>
      </w:r>
    </w:p>
    <w:p w:rsidR="000C4574" w:rsidRPr="000C4574" w:rsidRDefault="000C4574" w:rsidP="000C4574">
      <w:pPr>
        <w:ind w:left="200"/>
        <w:rPr>
          <w:b/>
        </w:rPr>
      </w:pPr>
      <w:r w:rsidRPr="000C4574">
        <w:rPr>
          <w:b/>
        </w:rPr>
        <w:t>2.4.1. Отраслевые риски</w:t>
      </w:r>
    </w:p>
    <w:p w:rsidR="000C4574" w:rsidRDefault="000C4574">
      <w:pPr>
        <w:ind w:left="200"/>
      </w:pPr>
      <w:r>
        <w:rPr>
          <w:rStyle w:val="Subst"/>
          <w:bCs/>
          <w:iCs/>
        </w:rPr>
        <w:t xml:space="preserve">В целом ситуация нефтяной отрасли сохраняется стабильной. Так, по данным Росстата РФ, объем добычи нефти на территории РФ в 2013 г. составил 522,9 млн тн., что на 0,9% превышает  показатель 2012 года. При этом изменение спроса нефтепродуктов на внутреннем рынке привело к изменению структуры реализации продукции нефтяными компаниями. Так, реализация (переработка) нефти на внутреннем рынке в 2013 году составила 278,2 млн тн., что на 2,7% выше аналогичного показателя 2012 года. </w:t>
      </w:r>
      <w:r>
        <w:rPr>
          <w:rStyle w:val="Subst"/>
          <w:bCs/>
          <w:iCs/>
        </w:rPr>
        <w:br/>
        <w:t>Основными рисками, которые могут дестабилизировать ситуацию в нефтяной отрасли, являются риски существенного снижения мировых цен на нефть, риски не соответствия выпускаемой продукции установленным государственным стандартам, и, как следствие,  риски снижения конкурентоспособности производимых нефтепродуктов.</w:t>
      </w:r>
      <w:r>
        <w:rPr>
          <w:rStyle w:val="Subst"/>
          <w:bCs/>
          <w:iCs/>
        </w:rPr>
        <w:br/>
        <w:t xml:space="preserve">Общеотраслевые риски, связанные с динамикой мировых цен на нефть, в большей степени несет ОАО «ОНГГ» . Вместе с тем, снижение мировых цен на нефть может неблагоприятно сказаться на деятельности Общества, в первую очередь, за счет снижения выручки от продаж, снижения эффективности деятельности, и, как следствие, сокращения инвестиций в развитие Общества. Проблематично прогнозировать возможность существенного снижения цены на нефть, однако по прогнозам Правительства РФ цены на нефть в среднесрочной перспективе могут понизиться до 100 долл. за баррель. Следует отметить, что подобное снижение цен может привести к снижению доходов Общества.  </w:t>
      </w:r>
      <w:r>
        <w:rPr>
          <w:rStyle w:val="Subst"/>
          <w:bCs/>
          <w:iCs/>
        </w:rPr>
        <w:br/>
        <w:t xml:space="preserve">В связи с отсутствием экспорта нефти, прямой зависимости доходов Общества от мировых цен на нефть нет. В то же время, изменение мировых цен на нефть, как правило, коррелирует с </w:t>
      </w:r>
      <w:r>
        <w:rPr>
          <w:rStyle w:val="Subst"/>
          <w:bCs/>
          <w:iCs/>
        </w:rPr>
        <w:lastRenderedPageBreak/>
        <w:t xml:space="preserve">изменением внутри российских цен на данную продукцию, и соответственно, может оказать влияние на доходы Общества. </w:t>
      </w:r>
      <w:r>
        <w:rPr>
          <w:rStyle w:val="Subst"/>
          <w:bCs/>
          <w:iCs/>
        </w:rPr>
        <w:br/>
        <w:t>Некоторыми причинами, которые могут привести к снижению мировых цен на нефть являются: снижение спроса на нефть (данный риск в настоящее время оценивается как маловероятный, поскольку  существует устойчивая положительная динамика мирового спроса на энергоносители), стабилизация политической ситуации и прекращение военных конфликтов, договоренности с иностранными компаниями в Венесуэле, возможные решения со стороны ОПЕК по вопросам сдерживания объемов добычи нефти и значительное увеличение объемов добычи нефти со стороны нефтедобывающих стран (данные риски Общество затрудняется прогнозировать). Следует также отметить, что риски снижения мировых цен на нефть, находятся в непосредственной взаимосвязи с возможностью разработки принципиально новых видов топлива. Вместе с тем, поскольку существующие разработки не имеют массового применения, масштабного и промышленного производства, Общество расценивает данный риск в среднесрочной перспективе, как незначительный.</w:t>
      </w:r>
      <w:r>
        <w:rPr>
          <w:rStyle w:val="Subst"/>
          <w:bCs/>
          <w:iCs/>
        </w:rPr>
        <w:br/>
        <w:t xml:space="preserve">ОАО "Обьнефтегазгеология" является дочерним предприятием ОАО "НГК-Славнефть" . Развитие ресурсной базы и нефтедобычи имеет для Общества приоритетное значение. Используемые Обществом  методы геологического изучения недр отличаются высокой эффективностью. В то же время снижение объемов добычи связано с высоким уровнем обводненности пластов и уменьшением дебита скважин. Сокращение уровня добычи также обусловлено снижением качества запасов, вводимых в разработку в последние годы. </w:t>
      </w:r>
      <w:r>
        <w:rPr>
          <w:rStyle w:val="Subst"/>
          <w:bCs/>
          <w:iCs/>
        </w:rPr>
        <w:br/>
        <w:t>Общество  стремится остановить сокращение добычи. Для чего  активно развивает производственную базу Тайлаковского ЛУ.  Осуществляется увеличение работающего скважинного фонда и выполнение всего комплекса геолого-технических мероприятий, включающего в себя наряду с эксплуатационным бурением, операции по гидравлическому разрыву пласта (ГРП), зарезке боковых стволов, возврату на другие горизонты, интенсификации притока и другие работы, а также применение методов повышения нефтеотдачи пластов.</w:t>
      </w:r>
    </w:p>
    <w:p w:rsidR="000C4574" w:rsidRDefault="000C4574">
      <w:pPr>
        <w:pStyle w:val="2"/>
      </w:pPr>
      <w:r>
        <w:t>2.4.2. Страновые и региональные риски</w:t>
      </w:r>
    </w:p>
    <w:p w:rsidR="000C4574" w:rsidRDefault="000C4574">
      <w:pPr>
        <w:ind w:left="200"/>
      </w:pPr>
      <w:r>
        <w:rPr>
          <w:rStyle w:val="Subst"/>
          <w:bCs/>
          <w:iCs/>
        </w:rPr>
        <w:t xml:space="preserve">Общество имеет местонахождение и ведет свою деятельность на территории Российской Федерации В последнее время в Российской Федерации были проведены значительные преобразования, как в плане устройства государственной системы управления, так и стабилизации экономической обстановки. Постоянно происходит процесс совершенствования законодательной базы, формируется устойчивая судебная практика по самому широкому кругу экономических споров, осуществляется совершенствование практики налогового администрирования с целью установления более четких и понятных рамок ведения хозяйственной деятельности в Российской Федерации.    </w:t>
      </w:r>
      <w:r>
        <w:rPr>
          <w:rStyle w:val="Subst"/>
          <w:bCs/>
          <w:iCs/>
        </w:rPr>
        <w:br/>
        <w:t xml:space="preserve">По предварительным данным Росстата РФ рост ВВП за январь-декабрь 2013 года по сравнению с аналогичным периодом 2012 года, составил 1,3 %, индекс промышленного производства (рассчитывается на основе динамики производства 730 важнейших товаров-представителей в натуральном и стоимостном выражении по отраслям «Добыча полезных ископаемых», «Обрабатывающие производства» и «Производство и распределение электроэнергии, газа и воды») в 2013 году по сравнению с 2012 годом  составил 100,3 %. </w:t>
      </w:r>
      <w:r>
        <w:rPr>
          <w:rStyle w:val="Subst"/>
          <w:bCs/>
          <w:iCs/>
        </w:rPr>
        <w:br/>
        <w:t>По видам экономической деятельности в прошедшем году реальный объем валовой добавленной стоимости изменялся следующим образом:</w:t>
      </w:r>
      <w:r>
        <w:rPr>
          <w:rStyle w:val="Subst"/>
          <w:bCs/>
          <w:iCs/>
        </w:rPr>
        <w:br/>
        <w:t>Наибольший прирост наблюдался в следующих сферах экономической деятельности: финансовая деятельность (112%), рыболовство, рыбоводство (103,8%), сельское хозяйство, охота и лесное хозяйство (103,2%);</w:t>
      </w:r>
      <w:r>
        <w:rPr>
          <w:rStyle w:val="Subst"/>
          <w:bCs/>
          <w:iCs/>
        </w:rPr>
        <w:br/>
        <w:t>Наиболее серьезно снизилась валовая добавленная стоимость в следующих сферах экономической деятельности: строительство (97,6%), производство и распределение электроэнергии, газа и воды (98,4%), предоставление прочих коммунальных, социальных и персональных услуг (99,1%).</w:t>
      </w:r>
      <w:r>
        <w:rPr>
          <w:rStyle w:val="Subst"/>
          <w:bCs/>
          <w:iCs/>
        </w:rPr>
        <w:br/>
        <w:t xml:space="preserve">Инвестиции в основной капитал (по предварительной оценке Росстата РФ) составили 13220,5 млрд руб., что на 0,3 % ниже  показателя 2012 года. В свою очередь, в 2013 году поступление иностранных инвестиций увеличилось на 10,1% по сравнению с 2012 годом и составило 170,2 млрд долл. США. При этом, наибольший объем иностранных инвестиций был направлен в следующие отрасли: обрабатывающие производства (89,79 млрд долл. США), оптовая и розничная торговля, ремонт автотранспортных и прочих изделий (31,03 млрд долл. США), финансовая деятельность (20,12 млрд долл. США), добыча полезных ископаемых (11,42 млрд долл. США). За год среднемесячное количество безработных выросло на 0,2 % (8 тыс. чел.), реально располагаемые денежные доходы населения (доходы за вычетом обязательных платежей, скорректированные на индекс инфляции) увеличились за 2013 год  на 3,3 %, реальная среднемесячная заработная плата, также по оценке Росстата РФ, увеличилась на 5,2 % по сравнению с 2012 годом.  </w:t>
      </w:r>
      <w:r>
        <w:rPr>
          <w:rStyle w:val="Subst"/>
          <w:bCs/>
          <w:iCs/>
        </w:rPr>
        <w:br/>
        <w:t xml:space="preserve">Министерство экономического развития (МЭР) прогнозировало рост ВВП РФ за отчетный год </w:t>
      </w:r>
      <w:r>
        <w:rPr>
          <w:rStyle w:val="Subst"/>
          <w:bCs/>
          <w:iCs/>
        </w:rPr>
        <w:lastRenderedPageBreak/>
        <w:t>на уровне 3,7. Суверенный рейтинг России на протяжении отчетного периода оставался стабильным. Ведущие рейтинговые агентства, такие как Standard&amp;Poor`s  и Fitch Ratings, оценивают его как "BBB", то есть как достаточный уровень платежеспособности, уязвимый при неблагоприятной экономической конъюнктуре. Standard&amp;Poor`s и Fitch Ratings оценивают прогноз развития ситуации как «Стабильный».</w:t>
      </w:r>
      <w:r>
        <w:rPr>
          <w:rStyle w:val="Subst"/>
          <w:bCs/>
          <w:iCs/>
        </w:rPr>
        <w:br/>
        <w:t xml:space="preserve">Риски народных волнений, военных конфликтов, забастовок, введения чрезвычайного положения на территории РФ в настоящий момент можно оценить как незначительные. </w:t>
      </w:r>
      <w:r>
        <w:rPr>
          <w:rStyle w:val="Subst"/>
          <w:bCs/>
          <w:iCs/>
        </w:rPr>
        <w:br/>
        <w:t xml:space="preserve">           ОАО «ОНГГ» осуществляет свою деятельность на территории Западной Сибири, в районе, расположенном на территории с неблагоприятными климатическими условиями и высоким уровнем затрат. Региональные риски в значительной степени обусловлены социальными факторами данного района. Негативное влияние на деятельность Общества может оказать недостаточный уровень развития инфраструктуры и отсутствие в Российской Федерации эффективного антимонопольного законодательства в сфере услуг по транспортировке нефти и нефтепродуктов и обеспечению электроэнергией.  Последнее является потенциальной составляющей ухудшения структуры себестоимости продукции, реализуемой Обществом. В условиях повышения обводненности и, соответственно, выработанности высокопродуктивных запасов в традиционных районах Западной Сибири, для повышения надежности деятельности добывающих предприятий и снижения при этом региональных рисков необходимо скорейшее развитие всего многообразия инфраструктуры. С дальнейшим развитием дорог, нефтепроводов и других составляющих инфраструктуры возможно сокращение сроков подготовки и вовлечения в промышленную разработку имеющихся в этих регионах ресурсов углеводородного сырья.</w:t>
      </w:r>
    </w:p>
    <w:p w:rsidR="000C4574" w:rsidRDefault="000C4574">
      <w:pPr>
        <w:pStyle w:val="2"/>
      </w:pPr>
      <w:r>
        <w:t>2.4.3. Финансовые риски</w:t>
      </w:r>
    </w:p>
    <w:p w:rsidR="000C4574" w:rsidRDefault="000C4574">
      <w:pPr>
        <w:ind w:left="200"/>
      </w:pPr>
      <w:r>
        <w:rPr>
          <w:rStyle w:val="Subst"/>
          <w:bCs/>
          <w:iCs/>
        </w:rPr>
        <w:t>Показатель инфляции по итогам 2013 года составил около 6,5%. Наблюдения показывают, что величина инфляции относительно стабильна и Минфин РФ прогнозирует, что инфляция в 2014 году удержится на уровне прогнозных значений, которые составляют 4-5 %.  На основании указанных данных можно сделать вывод, что инфляция не окажет существенного влияния на финансово-экономические показатели деятельности Общества в обозримом будущем. Однако изменение цен на отдельные виды товаров (работ, услуг) может как положительно, так и отрицательно отразиться на отдельных видах доходов (расходов) ОАО «ОНГГ».</w:t>
      </w:r>
      <w:r>
        <w:rPr>
          <w:rStyle w:val="Subst"/>
          <w:bCs/>
          <w:iCs/>
        </w:rPr>
        <w:br/>
        <w:t>Портфель заемных средств ОАО «ОНГГ» состоит из долгосрочных кредитов. Это кредиты с плавающей процентной ставкой.</w:t>
      </w:r>
      <w:r>
        <w:rPr>
          <w:rStyle w:val="Subst"/>
          <w:bCs/>
          <w:iCs/>
        </w:rPr>
        <w:br/>
        <w:t xml:space="preserve">Процентные ставки по всем кредитам привязаны к ставке трехмесячного LIBOR и пересматриваются каждые три месяца. Это подвергает риску влияния процентной ставки на потоки денежных средств. Общество отслеживает этот риск  и не считает, что увеличение ставок LIBOR окажет существенное влияние на потоки денежных средств. </w:t>
      </w:r>
      <w:r>
        <w:rPr>
          <w:rStyle w:val="Subst"/>
          <w:bCs/>
          <w:iCs/>
        </w:rPr>
        <w:br/>
        <w:t xml:space="preserve">Для своевременного исполнения своих действующих обязательств по кредитам обеспечивается поддержание достаточного объема денежных средств и  доступность финансирования за счет открытых кредитных линий. Фактов несвоевременного погашения обязательств по кредитам не выявлено. </w:t>
      </w:r>
      <w:r>
        <w:rPr>
          <w:rStyle w:val="Subst"/>
          <w:bCs/>
          <w:iCs/>
        </w:rPr>
        <w:br/>
        <w:t>Вся выручка ОАО «ОНГГ» выражена в российских рублях, в то время как кредитные обязательства и расходы по ним выражены в долларах США. В связи с этим изменения обменного курса рубля по отношению к доллару США могут сказаться на прибыли от основной деятельности.</w:t>
      </w:r>
      <w:r>
        <w:rPr>
          <w:rStyle w:val="Subst"/>
          <w:bCs/>
          <w:iCs/>
        </w:rPr>
        <w:br/>
        <w:t>ОАО «ОНГГ» не использует валютно-форвардные контракты в целях устранения отрицательного эффекта от колебаний курса доллара США к рублю, так как Общество считает, что выгода от применения низкой процентной ставки по кредитам, выраженным в долларах США, превышает затраты на использование договоров с отсрочкой исполнения.</w:t>
      </w:r>
    </w:p>
    <w:p w:rsidR="000C4574" w:rsidRDefault="000C4574">
      <w:pPr>
        <w:pStyle w:val="2"/>
      </w:pPr>
      <w:r>
        <w:t>2.4.4. Правовые риски</w:t>
      </w:r>
    </w:p>
    <w:p w:rsidR="000C4574" w:rsidRDefault="000C4574">
      <w:pPr>
        <w:ind w:left="200"/>
      </w:pPr>
      <w:r>
        <w:rPr>
          <w:rStyle w:val="Subst"/>
          <w:bCs/>
          <w:iCs/>
        </w:rPr>
        <w:br/>
        <w:t>В Обществе отсутствуют существенные судебные процессы,  которые могут повлиять на его финансово-экономическую деятельность.</w:t>
      </w:r>
      <w:r>
        <w:rPr>
          <w:rStyle w:val="Subst"/>
          <w:bCs/>
          <w:iCs/>
        </w:rPr>
        <w:br/>
        <w:t>Общество  осуществляет регулярный мониторинг решений, принимаемых высшими судами, а также оценивает тенденции правоприменительной практики, формирующейся на уровне окружных арбитражных судов, активно применяя и используя ее не только при защите в судебном порядке своих прав и законных интересов, но и при разрешении правовых вопросов, возникающих в процессе осуществления деятельности Общества. В связи с этим риски, связанные с изменением судебной практики, оцениваются как незначительные.</w:t>
      </w:r>
      <w:r>
        <w:rPr>
          <w:rStyle w:val="Subst"/>
          <w:bCs/>
          <w:iCs/>
        </w:rPr>
        <w:br/>
        <w:t xml:space="preserve">Существенных текущих судебных процессов, где Общество выступает в качестве истца или ответчика, нет. </w:t>
      </w:r>
      <w:r>
        <w:rPr>
          <w:rStyle w:val="Subst"/>
          <w:bCs/>
          <w:iCs/>
        </w:rPr>
        <w:br/>
        <w:t>Ограничений на распоряжение имуществом и деятельность Общества нет.</w:t>
      </w:r>
      <w:r>
        <w:rPr>
          <w:rStyle w:val="Subst"/>
          <w:bCs/>
          <w:iCs/>
        </w:rPr>
        <w:br/>
      </w:r>
      <w:r>
        <w:rPr>
          <w:rStyle w:val="Subst"/>
          <w:bCs/>
          <w:iCs/>
        </w:rPr>
        <w:lastRenderedPageBreak/>
        <w:t>Изменения налогового законодательства РФ,  в соответствии с которым налогоплательщик обязан доплатить налоги, т.е. ухудшающие положение налогоплательщика,  в соответствии с общими принципами налогообложения не применяются ретроспективно. Однако толкование налоговой нормы, формирующееся в процессе правоприменения, может меняться.</w:t>
      </w:r>
      <w:r>
        <w:rPr>
          <w:rStyle w:val="Subst"/>
          <w:bCs/>
          <w:iCs/>
        </w:rPr>
        <w:br/>
        <w:t>Поскольку толкование отдельных норм налогового законодательства со стороны налоговых органов (Минфина РФ, судебных органов) может не совпадать с толкованием руководства Общества, размер налоговых обязательств по результатам налоговых проверок Общества как за отчетный год, так и за прошедшие периоды может измениться (в частности, обществу могут быть начислены дополнительные налоги, а также пени и штрафы). Таким образом, изменение налогового законодательства и практики его применения может оказывать влияние на деятельность общества. Риски, связанные с применением и изменением налогового законодательства объективируются по результатам налоговых проверок.</w:t>
      </w:r>
      <w:r>
        <w:rPr>
          <w:rStyle w:val="Subst"/>
          <w:bCs/>
          <w:iCs/>
        </w:rPr>
        <w:br/>
        <w:t>В связи с незначительным объемом валютных операций ОАО «ОНГГ» не подвержено рискам применения и изменения законодательства о валютном регулировании и валютном контроле.</w:t>
      </w:r>
      <w:r>
        <w:rPr>
          <w:rStyle w:val="Subst"/>
          <w:bCs/>
          <w:iCs/>
        </w:rPr>
        <w:br/>
        <w:t>Негативное влияние может оказать введение ограничений на привлечение и возврат кредитных ресурсов в долларах США, которое, впрочем, не планируется в ближайшее время.</w:t>
      </w:r>
      <w:r>
        <w:rPr>
          <w:rStyle w:val="Subst"/>
          <w:bCs/>
          <w:iCs/>
        </w:rPr>
        <w:br/>
        <w:t>Общество не подвержено рискам применения и изменения таможенного законодательства, в связи с отсутствием экспортно-импортных операций.</w:t>
      </w:r>
    </w:p>
    <w:p w:rsidR="000C4574" w:rsidRDefault="000C4574">
      <w:pPr>
        <w:pStyle w:val="2"/>
      </w:pPr>
      <w:r>
        <w:t>2.4.5. Риски, связанные с деятельностью эмитента</w:t>
      </w:r>
    </w:p>
    <w:p w:rsidR="000C4574" w:rsidRDefault="000C4574">
      <w:pPr>
        <w:ind w:left="200"/>
      </w:pPr>
      <w:r>
        <w:rPr>
          <w:rStyle w:val="Subst"/>
          <w:bCs/>
          <w:iCs/>
        </w:rPr>
        <w:t xml:space="preserve">Основной вид деятельности ОАО «Обьнефтегазгеология» является добыча нефти и газа. По основному виду деятельности у Общества имеется лицензия на право пользования недрами (добыча нефти и газа в пределах Тайлаковского лицензионного участка). Лицензия получена со сроком действия до 22.02.2039 года. </w:t>
      </w:r>
      <w:r>
        <w:rPr>
          <w:rStyle w:val="Subst"/>
          <w:bCs/>
          <w:iCs/>
        </w:rPr>
        <w:br/>
        <w:t xml:space="preserve">ОАО «ОНГГ» предпринимает все необходимые действия для поддержания в силе действия лицензии и минимизации вероятности приостановки, изменения или отзыва лицензии, а также реализуют программы, направленные на выполнение лицензионных обязательств. Риски, связанные с вероятностью наступления ответственности по долгам третьих лиц, по которым ранее были выданы поручительства, гарантии, аваль по векселям, которые могли бы в значительной степени повлиять на деятельность Эмитента, отсутствуют. </w:t>
      </w:r>
      <w:r>
        <w:rPr>
          <w:rStyle w:val="Subst"/>
          <w:bCs/>
          <w:iCs/>
        </w:rPr>
        <w:br/>
        <w:t>Производственная деятельность, охватывающая бурение новых и поддержание в рабочем состоянии действующих скважин, добычу нефти, обустройство месторождения, представляет собой сложный технологический процесс, сопряженный с широким спектром технических рисков.</w:t>
      </w:r>
      <w:r>
        <w:rPr>
          <w:rStyle w:val="Subst"/>
          <w:bCs/>
          <w:iCs/>
        </w:rPr>
        <w:br/>
        <w:t>Проводимая ОАО «ОНГГ» планомерная работа по поддержанию в рабочем состоянии основных фондов и их модернизации, позволяет свести к минимуму влияние технических рисков на производственные процессы. Регулярно проводится оценка соответствия объектов нормам и требованиям действующего законодательства в области безопасности, и оценка фактического состояния технических устройств, оборудования и трубопроводов, а также  требований по охране окружающей среды, на повышение уровня экологической безопасности производства.  Для предотвращения разливов нефти и загрязнения земель Общество осуществляет  планомерную деятельность по обеспечению целостности промысловых трубопроводов.  С целью соблюдения требований законодательства о 95% утилизации попутного нефтяного газа (ПНГ), которое вступило в силу с 1 января 2012 года, и снижения рисков штрафов за сверхлимитное сжигание ПНГ,  разработана и реализуется программа мероприятий по повышению уровня использования ПНГ. В программу включены мероприятия, предусматривающие строительство систем сбора ПНГ, газотурбинных и газопоршневых электростанций.</w:t>
      </w:r>
    </w:p>
    <w:p w:rsidR="000C4574" w:rsidRDefault="000C4574">
      <w:pPr>
        <w:pStyle w:val="1"/>
      </w:pPr>
      <w:r>
        <w:t>III. Подробная информация об эмитенте</w:t>
      </w:r>
    </w:p>
    <w:p w:rsidR="000C4574" w:rsidRDefault="000C4574">
      <w:pPr>
        <w:pStyle w:val="2"/>
      </w:pPr>
      <w:r>
        <w:t>3.1. История создания и развитие эмитента</w:t>
      </w:r>
    </w:p>
    <w:p w:rsidR="000C4574" w:rsidRDefault="000C4574">
      <w:pPr>
        <w:pStyle w:val="2"/>
      </w:pPr>
      <w:r>
        <w:t>3.1.1. Данные о фирменном наименовании (наименовании) эмитента</w:t>
      </w:r>
    </w:p>
    <w:p w:rsidR="000C4574" w:rsidRDefault="000C4574">
      <w:pPr>
        <w:ind w:left="200"/>
      </w:pPr>
      <w:r>
        <w:t>Полное фирменное наименование эмитента:</w:t>
      </w:r>
      <w:r>
        <w:rPr>
          <w:rStyle w:val="Subst"/>
          <w:bCs/>
          <w:iCs/>
        </w:rPr>
        <w:t xml:space="preserve"> Открытое акционерное общество "Обьнефтегазгеология"</w:t>
      </w:r>
    </w:p>
    <w:p w:rsidR="000C4574" w:rsidRDefault="000C4574">
      <w:pPr>
        <w:ind w:left="200"/>
      </w:pPr>
      <w:r>
        <w:t>Дата введения действующего полного фирменного наименования:</w:t>
      </w:r>
      <w:r>
        <w:rPr>
          <w:rStyle w:val="Subst"/>
          <w:bCs/>
          <w:iCs/>
        </w:rPr>
        <w:t xml:space="preserve"> 23.05.1996</w:t>
      </w:r>
    </w:p>
    <w:p w:rsidR="000C4574" w:rsidRDefault="000C4574">
      <w:pPr>
        <w:ind w:left="200"/>
      </w:pPr>
      <w:r>
        <w:t>Сокращенное фирменное наименование эмитента:</w:t>
      </w:r>
      <w:r>
        <w:rPr>
          <w:rStyle w:val="Subst"/>
          <w:bCs/>
          <w:iCs/>
        </w:rPr>
        <w:t xml:space="preserve"> ОАО "ОНГГ"</w:t>
      </w:r>
    </w:p>
    <w:p w:rsidR="000C4574" w:rsidRDefault="000C4574">
      <w:pPr>
        <w:ind w:left="200"/>
      </w:pPr>
      <w:r>
        <w:t>Дата введения действующего сокращенного фирменного наименования:</w:t>
      </w:r>
      <w:r>
        <w:rPr>
          <w:rStyle w:val="Subst"/>
          <w:bCs/>
          <w:iCs/>
        </w:rPr>
        <w:t xml:space="preserve"> 23.05.1996</w:t>
      </w:r>
    </w:p>
    <w:p w:rsidR="000C4574" w:rsidRDefault="000C4574">
      <w:pPr>
        <w:ind w:left="200"/>
      </w:pPr>
    </w:p>
    <w:p w:rsidR="000C4574" w:rsidRDefault="000C4574">
      <w:pPr>
        <w:ind w:left="200"/>
      </w:pPr>
      <w:r>
        <w:rPr>
          <w:rStyle w:val="Subst"/>
          <w:bCs/>
          <w:iCs/>
        </w:rPr>
        <w:lastRenderedPageBreak/>
        <w:t>Полное или сокращенное фирменное наименование эмитента (наименование для некоммерческой организации) является схожим с наименованием другого юридического лица</w:t>
      </w:r>
    </w:p>
    <w:p w:rsidR="000C4574" w:rsidRDefault="000C4574">
      <w:pPr>
        <w:ind w:left="200"/>
      </w:pPr>
      <w:r>
        <w:t>Наименования таких юридических лиц:</w:t>
      </w:r>
      <w:r>
        <w:br/>
      </w:r>
      <w:r>
        <w:rPr>
          <w:rStyle w:val="Subst"/>
          <w:bCs/>
          <w:iCs/>
        </w:rPr>
        <w:t>ЗАО "Обьнефтегеология", ОАО "ОНГГ", Open Joint-Stock Kompany «Obneftegasgeologia»</w:t>
      </w:r>
    </w:p>
    <w:p w:rsidR="000C4574" w:rsidRDefault="000C4574">
      <w:pPr>
        <w:ind w:left="200"/>
      </w:pPr>
      <w:r>
        <w:t>Пояснения, необходимые для избежания смешения указанных наименований:</w:t>
      </w:r>
      <w:r>
        <w:br/>
      </w:r>
      <w:r>
        <w:rPr>
          <w:rStyle w:val="Subst"/>
          <w:bCs/>
          <w:iCs/>
        </w:rPr>
        <w:t>Самостоятельное юридическое лицо</w:t>
      </w:r>
    </w:p>
    <w:p w:rsidR="000C4574" w:rsidRDefault="000C4574">
      <w:pPr>
        <w:ind w:left="200"/>
      </w:pPr>
    </w:p>
    <w:p w:rsidR="000C4574" w:rsidRDefault="000C4574">
      <w:pPr>
        <w:pStyle w:val="SubHeading"/>
        <w:ind w:left="200"/>
      </w:pPr>
      <w:r>
        <w:t>Все предшествующие наименования эмитента в течение времени его существования</w:t>
      </w:r>
    </w:p>
    <w:p w:rsidR="000C4574" w:rsidRDefault="000C4574">
      <w:pPr>
        <w:ind w:left="400"/>
      </w:pPr>
      <w:r>
        <w:rPr>
          <w:rStyle w:val="Subst"/>
          <w:bCs/>
          <w:iCs/>
        </w:rPr>
        <w:t>Наименование эмитента в течение времени его существования не менялось</w:t>
      </w:r>
    </w:p>
    <w:p w:rsidR="000C4574" w:rsidRDefault="000C4574">
      <w:pPr>
        <w:pStyle w:val="2"/>
      </w:pPr>
      <w:r>
        <w:t>3.1.2. Сведения о государственной регистрации эмитента</w:t>
      </w:r>
    </w:p>
    <w:p w:rsidR="000C4574" w:rsidRDefault="000C4574">
      <w:pPr>
        <w:pStyle w:val="SubHeading"/>
        <w:ind w:left="200"/>
      </w:pPr>
      <w:r>
        <w:t>Данные о первичной государственной регистрации</w:t>
      </w:r>
    </w:p>
    <w:p w:rsidR="000C4574" w:rsidRDefault="000C4574">
      <w:pPr>
        <w:ind w:left="400"/>
      </w:pPr>
      <w:r>
        <w:t>Номер государственной регистрации:</w:t>
      </w:r>
      <w:r>
        <w:rPr>
          <w:rStyle w:val="Subst"/>
          <w:bCs/>
          <w:iCs/>
        </w:rPr>
        <w:t xml:space="preserve"> 07-8036</w:t>
      </w:r>
    </w:p>
    <w:p w:rsidR="000C4574" w:rsidRDefault="000C4574">
      <w:pPr>
        <w:ind w:left="400"/>
      </w:pPr>
      <w:r>
        <w:t>Дата государственной регистрации:</w:t>
      </w:r>
      <w:r>
        <w:rPr>
          <w:rStyle w:val="Subst"/>
          <w:bCs/>
          <w:iCs/>
        </w:rPr>
        <w:t xml:space="preserve"> 23.05.1996</w:t>
      </w:r>
    </w:p>
    <w:p w:rsidR="000C4574" w:rsidRDefault="000C4574">
      <w:pPr>
        <w:ind w:left="400"/>
      </w:pPr>
      <w:r>
        <w:t>Наименование органа, осуществившего государственную регистрацию:</w:t>
      </w:r>
      <w:r>
        <w:rPr>
          <w:rStyle w:val="Subst"/>
          <w:bCs/>
          <w:iCs/>
        </w:rPr>
        <w:t xml:space="preserve"> Администрация города Сургута ХМАО Тюменской области</w:t>
      </w:r>
    </w:p>
    <w:p w:rsidR="000C4574" w:rsidRDefault="000C4574">
      <w:pPr>
        <w:ind w:left="200"/>
      </w:pPr>
      <w:r>
        <w:t>Данные о регистрации юридического лица:</w:t>
      </w:r>
    </w:p>
    <w:p w:rsidR="000C4574" w:rsidRDefault="000C4574">
      <w:pPr>
        <w:ind w:left="200"/>
      </w:pPr>
      <w:r>
        <w:t>Основной государственный регистрационный номер юридического лица:</w:t>
      </w:r>
      <w:r>
        <w:rPr>
          <w:rStyle w:val="Subst"/>
          <w:bCs/>
          <w:iCs/>
        </w:rPr>
        <w:t xml:space="preserve"> 1028600579985</w:t>
      </w:r>
    </w:p>
    <w:p w:rsidR="000C4574" w:rsidRDefault="000C4574">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29.07.2002</w:t>
      </w:r>
    </w:p>
    <w:p w:rsidR="000C4574" w:rsidRDefault="000C4574">
      <w:pPr>
        <w:ind w:left="200"/>
      </w:pPr>
      <w:r>
        <w:t>Наименование регистрирующего органа:</w:t>
      </w:r>
      <w:r>
        <w:rPr>
          <w:rStyle w:val="Subst"/>
          <w:bCs/>
          <w:iCs/>
        </w:rPr>
        <w:t xml:space="preserve"> ИМНС РФ по городу Сургуту</w:t>
      </w:r>
    </w:p>
    <w:p w:rsidR="000C4574" w:rsidRDefault="000C4574">
      <w:pPr>
        <w:pStyle w:val="2"/>
      </w:pPr>
      <w:r>
        <w:t>3.1.3. Сведения о создании и развитии эмитента</w:t>
      </w:r>
    </w:p>
    <w:p w:rsidR="000C4574" w:rsidRDefault="000C4574">
      <w:pPr>
        <w:ind w:left="200"/>
      </w:pPr>
      <w:r>
        <w:t>Эмитент создан на неопределенный срок</w:t>
      </w:r>
    </w:p>
    <w:p w:rsidR="000C4574" w:rsidRDefault="000C4574">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Открытое акционерное общество "Обьнефтегазгеология" создано в соответствии с Указом Президента Российской Федерации от 17 ноября 1992 года № 1403 "Об особенностях приватизации и преобразования в акционерные общества государственных предприятий, производственных и научно-производственных объединений нефтяной, нефтеперерабатывающей промышленности и нефтепродуктообеспечения" путем преобразования государственного предприятия - Обское государственное ордена Дружбы Народов геологическое предприятие по разведке нефти и газа "Обьнефтегазгеология", осуществленного на основании Приказа Комитета по управлению государственным имуществом администрации Ханты-Мансийского автономного округа от 29 декабря 1995 года № 408.</w:t>
      </w:r>
      <w:r>
        <w:rPr>
          <w:rStyle w:val="Subst"/>
          <w:bCs/>
          <w:iCs/>
        </w:rPr>
        <w:br/>
        <w:t>Открытое акционерное общество "Обьнефтегазгеология" является комплексным  нефтегазоразведочным предприятием.</w:t>
      </w:r>
      <w:r>
        <w:rPr>
          <w:rStyle w:val="Subst"/>
          <w:bCs/>
          <w:iCs/>
        </w:rPr>
        <w:br/>
        <w:t>Основными видами деятельности Общества являются разведка углеводородного сырья и других полезных ископаемых, их добыча, переработка и реализация, обустройство и эксплуатация нефтяных и газовых месторождений, эксплуатация скважин на нефть и газ.</w:t>
      </w:r>
      <w:r>
        <w:rPr>
          <w:rStyle w:val="Subst"/>
          <w:bCs/>
          <w:iCs/>
        </w:rPr>
        <w:br/>
      </w:r>
    </w:p>
    <w:p w:rsidR="000C4574" w:rsidRDefault="000C4574">
      <w:pPr>
        <w:pStyle w:val="2"/>
      </w:pPr>
      <w:r>
        <w:t>3.1.4. Контактная информация</w:t>
      </w:r>
    </w:p>
    <w:p w:rsidR="000C4574" w:rsidRDefault="000C4574">
      <w:pPr>
        <w:pStyle w:val="SubHeading"/>
      </w:pPr>
      <w:r>
        <w:t>Место нахождения эмитента</w:t>
      </w:r>
    </w:p>
    <w:p w:rsidR="000C4574" w:rsidRDefault="000C4574">
      <w:pPr>
        <w:ind w:left="200"/>
      </w:pPr>
      <w:r>
        <w:rPr>
          <w:rStyle w:val="Subst"/>
          <w:bCs/>
          <w:iCs/>
        </w:rPr>
        <w:t>628402 Россия, Ханты-Мансийский автономный округ-Югра, г. Сургут, ул. Федорова 68 стр. а</w:t>
      </w:r>
    </w:p>
    <w:p w:rsidR="000C4574" w:rsidRDefault="000C4574">
      <w:r>
        <w:t>Телефон:</w:t>
      </w:r>
      <w:r>
        <w:rPr>
          <w:rStyle w:val="Subst"/>
          <w:bCs/>
          <w:iCs/>
        </w:rPr>
        <w:t xml:space="preserve"> 8 3462 377508</w:t>
      </w:r>
    </w:p>
    <w:p w:rsidR="000C4574" w:rsidRDefault="000C4574">
      <w:r>
        <w:t>Факс:</w:t>
      </w:r>
      <w:r>
        <w:rPr>
          <w:rStyle w:val="Subst"/>
          <w:bCs/>
          <w:iCs/>
        </w:rPr>
        <w:t xml:space="preserve"> 8 3462 377509</w:t>
      </w:r>
    </w:p>
    <w:p w:rsidR="000C4574" w:rsidRDefault="000C4574">
      <w:r>
        <w:t>Адрес электронной почты:</w:t>
      </w:r>
      <w:r>
        <w:rPr>
          <w:rStyle w:val="Subst"/>
          <w:bCs/>
          <w:iCs/>
        </w:rPr>
        <w:t xml:space="preserve"> Vukolov_il@ongg.ru</w:t>
      </w:r>
    </w:p>
    <w:p w:rsidR="000C4574" w:rsidRDefault="000C4574"/>
    <w:p w:rsidR="000C4574" w:rsidRDefault="000C4574">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www. ongg.ru       disclosure.1prime.ru</w:t>
      </w:r>
    </w:p>
    <w:p w:rsidR="000C4574" w:rsidRDefault="000C4574">
      <w:pPr>
        <w:pStyle w:val="ThinDelim"/>
      </w:pPr>
    </w:p>
    <w:p w:rsidR="000C4574" w:rsidRDefault="000C4574">
      <w:r>
        <w:lastRenderedPageBreak/>
        <w:t>Наименование специального подразделения эмитента по работе с акционерами и инвесторами эмитента:</w:t>
      </w:r>
      <w:r>
        <w:rPr>
          <w:rStyle w:val="Subst"/>
          <w:bCs/>
          <w:iCs/>
        </w:rPr>
        <w:t xml:space="preserve"> ОАО "Регистратор Р.О.С.Т."</w:t>
      </w:r>
    </w:p>
    <w:p w:rsidR="000C4574" w:rsidRDefault="000C4574">
      <w:r>
        <w:t>Место нахождения подразделения:</w:t>
      </w:r>
      <w:r>
        <w:rPr>
          <w:rStyle w:val="Subst"/>
          <w:bCs/>
          <w:iCs/>
        </w:rPr>
        <w:t xml:space="preserve"> 107996 г. Москва ул. Стромынка д. 18 к. 13 а/я 9</w:t>
      </w:r>
    </w:p>
    <w:p w:rsidR="000C4574" w:rsidRDefault="000C4574">
      <w:r>
        <w:t>Телефон:</w:t>
      </w:r>
      <w:r>
        <w:rPr>
          <w:rStyle w:val="Subst"/>
          <w:bCs/>
          <w:iCs/>
        </w:rPr>
        <w:t xml:space="preserve"> 8 495 7717335</w:t>
      </w:r>
    </w:p>
    <w:p w:rsidR="000C4574" w:rsidRDefault="000C4574">
      <w:r>
        <w:t>Факс:</w:t>
      </w:r>
      <w:r>
        <w:rPr>
          <w:rStyle w:val="Subst"/>
          <w:bCs/>
          <w:iCs/>
        </w:rPr>
        <w:t xml:space="preserve"> 8 495 7717334</w:t>
      </w:r>
    </w:p>
    <w:p w:rsidR="000C4574" w:rsidRDefault="000C4574">
      <w:r>
        <w:t>Адрес электронной почты:</w:t>
      </w:r>
      <w:r>
        <w:rPr>
          <w:rStyle w:val="Subst"/>
          <w:bCs/>
          <w:iCs/>
        </w:rPr>
        <w:t xml:space="preserve"> rost@rrost.ru</w:t>
      </w:r>
    </w:p>
    <w:p w:rsidR="000C4574" w:rsidRDefault="000C4574"/>
    <w:p w:rsidR="000C4574" w:rsidRDefault="000C4574">
      <w:r>
        <w:t>Адрес страницы в сети Интернет:</w:t>
      </w:r>
      <w:r>
        <w:rPr>
          <w:rStyle w:val="Subst"/>
          <w:bCs/>
          <w:iCs/>
        </w:rPr>
        <w:t xml:space="preserve"> disclosure.1prime.ru/portal/default.aspx?emId=7726030449</w:t>
      </w:r>
    </w:p>
    <w:p w:rsidR="000C4574" w:rsidRDefault="000C4574">
      <w:pPr>
        <w:pStyle w:val="2"/>
      </w:pPr>
      <w:r>
        <w:t>3.1.5. Идентификационный номер налогоплательщика</w:t>
      </w:r>
    </w:p>
    <w:p w:rsidR="000C4574" w:rsidRDefault="000C4574">
      <w:pPr>
        <w:ind w:left="200"/>
      </w:pPr>
      <w:r>
        <w:rPr>
          <w:rStyle w:val="Subst"/>
          <w:bCs/>
          <w:iCs/>
        </w:rPr>
        <w:t>8602016394</w:t>
      </w:r>
    </w:p>
    <w:p w:rsidR="000C4574" w:rsidRDefault="000C4574">
      <w:pPr>
        <w:pStyle w:val="2"/>
      </w:pPr>
      <w:r>
        <w:t>3.1.6. Филиалы и представительства эмитента</w:t>
      </w:r>
    </w:p>
    <w:p w:rsidR="000C4574" w:rsidRDefault="000C4574">
      <w:pPr>
        <w:ind w:left="200"/>
      </w:pPr>
      <w:r>
        <w:rPr>
          <w:rStyle w:val="Subst"/>
          <w:bCs/>
          <w:iCs/>
        </w:rPr>
        <w:t>Эмитент не имеет филиалов и представительств</w:t>
      </w:r>
    </w:p>
    <w:p w:rsidR="000C4574" w:rsidRDefault="000C4574">
      <w:pPr>
        <w:pStyle w:val="2"/>
      </w:pPr>
      <w:r>
        <w:t>3.2. Основная хозяйственная деятельность эмитента</w:t>
      </w:r>
    </w:p>
    <w:p w:rsidR="000C4574" w:rsidRDefault="000C4574">
      <w:pPr>
        <w:pStyle w:val="2"/>
      </w:pPr>
      <w:r>
        <w:t>3.2.1. Отраслевая принадлежность эмитента</w:t>
      </w:r>
    </w:p>
    <w:p w:rsidR="000C4574" w:rsidRDefault="000C4574">
      <w:pPr>
        <w:ind w:left="200"/>
      </w:pPr>
      <w:r>
        <w:t>Основное отраслевое направление деятельности эмитента согласно ОКВЭД:</w:t>
      </w:r>
      <w:r>
        <w:rPr>
          <w:rStyle w:val="Subst"/>
          <w:bCs/>
          <w:iCs/>
        </w:rPr>
        <w:t xml:space="preserve"> 45.25.2</w:t>
      </w:r>
    </w:p>
    <w:p w:rsidR="000C4574" w:rsidRDefault="000C4574">
      <w:pPr>
        <w:pStyle w:val="ThinDelim"/>
      </w:pPr>
    </w:p>
    <w:tbl>
      <w:tblPr>
        <w:tblW w:w="0" w:type="auto"/>
        <w:tblLayout w:type="fixed"/>
        <w:tblCellMar>
          <w:left w:w="72" w:type="dxa"/>
          <w:right w:w="72" w:type="dxa"/>
        </w:tblCellMar>
        <w:tblLook w:val="0000"/>
      </w:tblPr>
      <w:tblGrid>
        <w:gridCol w:w="3852"/>
      </w:tblGrid>
      <w:tr w:rsidR="000C4574">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0C4574" w:rsidRDefault="000C4574">
            <w:pPr>
              <w:jc w:val="center"/>
            </w:pPr>
            <w:r>
              <w:t>Коды ОКВЭД</w:t>
            </w:r>
          </w:p>
        </w:tc>
      </w:tr>
      <w:tr w:rsidR="000C457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C4574" w:rsidRDefault="000C4574">
            <w:r>
              <w:t>45.22.</w:t>
            </w:r>
          </w:p>
        </w:tc>
      </w:tr>
      <w:tr w:rsidR="000C457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C4574" w:rsidRDefault="000C4574">
            <w:r>
              <w:t>45.31.</w:t>
            </w:r>
          </w:p>
        </w:tc>
      </w:tr>
      <w:tr w:rsidR="000C457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C4574" w:rsidRDefault="000C4574">
            <w:r>
              <w:t>45.32</w:t>
            </w:r>
          </w:p>
        </w:tc>
      </w:tr>
      <w:tr w:rsidR="000C457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C4574" w:rsidRDefault="000C4574">
            <w:r>
              <w:t>45.33</w:t>
            </w:r>
          </w:p>
        </w:tc>
      </w:tr>
      <w:tr w:rsidR="000C457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C4574" w:rsidRDefault="000C4574">
            <w:r>
              <w:t>45.41</w:t>
            </w:r>
          </w:p>
        </w:tc>
      </w:tr>
      <w:tr w:rsidR="000C457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C4574" w:rsidRDefault="000C4574">
            <w:r>
              <w:t>45.42</w:t>
            </w:r>
          </w:p>
        </w:tc>
      </w:tr>
      <w:tr w:rsidR="000C457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C4574" w:rsidRDefault="000C4574">
            <w:r>
              <w:t>45.43</w:t>
            </w:r>
          </w:p>
        </w:tc>
      </w:tr>
      <w:tr w:rsidR="000C4574">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0C4574" w:rsidRDefault="000C4574">
            <w:r>
              <w:t>45.44</w:t>
            </w:r>
          </w:p>
        </w:tc>
      </w:tr>
      <w:tr w:rsidR="000C4574">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0C4574" w:rsidRDefault="000C4574">
            <w:r>
              <w:t>11.20</w:t>
            </w:r>
          </w:p>
        </w:tc>
      </w:tr>
    </w:tbl>
    <w:p w:rsidR="000C4574" w:rsidRDefault="000C4574"/>
    <w:p w:rsidR="000C4574" w:rsidRDefault="000C4574">
      <w:pPr>
        <w:pStyle w:val="2"/>
      </w:pPr>
      <w:r>
        <w:t>3.2.2. Основная хозяйственная деятельность эмитента</w:t>
      </w:r>
    </w:p>
    <w:p w:rsidR="000C4574" w:rsidRDefault="000C4574">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C4574" w:rsidRDefault="000C4574">
      <w:pPr>
        <w:pStyle w:val="2"/>
      </w:pPr>
      <w:r>
        <w:t>3.2.3. Материалы, товары (сырье) и поставщики эмитента</w:t>
      </w:r>
    </w:p>
    <w:p w:rsidR="000C4574" w:rsidRDefault="000C4574">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C4574" w:rsidRDefault="000C4574">
      <w:pPr>
        <w:pStyle w:val="2"/>
      </w:pPr>
      <w:r>
        <w:t>3.2.4. Рынки сбыта продукции (работ, услуг) эмитента</w:t>
      </w:r>
    </w:p>
    <w:p w:rsidR="000C4574" w:rsidRDefault="000C4574">
      <w:pPr>
        <w:ind w:left="200"/>
      </w:pPr>
      <w:r>
        <w:t>Основные рынки, на которых эмитент осуществляет свою деятельность:</w:t>
      </w:r>
      <w:r>
        <w:br/>
      </w:r>
      <w:r>
        <w:rPr>
          <w:rStyle w:val="Subst"/>
          <w:bCs/>
          <w:iCs/>
        </w:rPr>
        <w:t xml:space="preserve">Основные рынки, на которых эмитент осуществляет свою деятельность: </w:t>
      </w:r>
      <w:r>
        <w:rPr>
          <w:rStyle w:val="Subst"/>
          <w:bCs/>
          <w:iCs/>
        </w:rPr>
        <w:br/>
        <w:t>1. Продажа нефти.</w:t>
      </w:r>
      <w:r>
        <w:rPr>
          <w:rStyle w:val="Subst"/>
          <w:bCs/>
          <w:iCs/>
        </w:rPr>
        <w:br/>
      </w:r>
    </w:p>
    <w:p w:rsidR="000C4574" w:rsidRDefault="000C4574">
      <w:pPr>
        <w:ind w:left="200"/>
      </w:pPr>
      <w:r>
        <w:t xml:space="preserve">Факторы, которые могут негативно повлиять на сбыт эмитентом его продукции (работ, услуг), и </w:t>
      </w:r>
      <w:r>
        <w:lastRenderedPageBreak/>
        <w:t>возможные действия эмитента по уменьшению такого влияния:</w:t>
      </w:r>
      <w:r>
        <w:br/>
      </w:r>
      <w:r>
        <w:rPr>
          <w:rStyle w:val="Subst"/>
          <w:bCs/>
          <w:iCs/>
        </w:rPr>
        <w:t>Основные факторы описаны в разделе 2.4. настоящего отчета.</w:t>
      </w:r>
    </w:p>
    <w:p w:rsidR="000C4574" w:rsidRDefault="000C4574">
      <w:pPr>
        <w:pStyle w:val="2"/>
      </w:pPr>
      <w:r>
        <w:t>3.2.5. Сведения о наличии у эмитента разрешений (лицензий) или допусков к отдельным видам работ</w:t>
      </w:r>
    </w:p>
    <w:p w:rsidR="000C4574" w:rsidRDefault="000C4574">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Комитет по нефти  и газу  ХМАО</w:t>
      </w:r>
    </w:p>
    <w:p w:rsidR="000C4574" w:rsidRDefault="000C4574">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Серия ХМН № 00575  НЭ</w:t>
      </w:r>
    </w:p>
    <w:p w:rsidR="000C4574" w:rsidRDefault="000C4574">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Добыча нефти и газа а пределах Тайлаковского лицензионного участка</w:t>
      </w:r>
    </w:p>
    <w:p w:rsidR="000C4574" w:rsidRDefault="000C4574">
      <w:pPr>
        <w:ind w:left="200"/>
      </w:pPr>
      <w:r>
        <w:t>Дата выдачи разрешения (лицензии) или допуска к отдельным видам работ:</w:t>
      </w:r>
      <w:r>
        <w:rPr>
          <w:rStyle w:val="Subst"/>
          <w:bCs/>
          <w:iCs/>
        </w:rPr>
        <w:t xml:space="preserve"> 24.06.1997</w:t>
      </w:r>
    </w:p>
    <w:p w:rsidR="000C4574" w:rsidRDefault="000C4574">
      <w:pPr>
        <w:ind w:left="200"/>
      </w:pPr>
      <w:r>
        <w:t>Срок действия разрешения (лицензии) или допуска к отдельным видам работ:</w:t>
      </w:r>
      <w:r>
        <w:rPr>
          <w:rStyle w:val="Subst"/>
          <w:bCs/>
          <w:iCs/>
        </w:rPr>
        <w:t xml:space="preserve"> 23.02.2014</w:t>
      </w:r>
    </w:p>
    <w:p w:rsidR="000C4574" w:rsidRDefault="000C4574">
      <w:pPr>
        <w:ind w:left="200"/>
      </w:pPr>
    </w:p>
    <w:p w:rsidR="000C4574" w:rsidRDefault="000C4574">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Комитет по нефти  и газу  ХМАО</w:t>
      </w:r>
    </w:p>
    <w:p w:rsidR="000C4574" w:rsidRDefault="000C4574">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Серия ХМН № 00575  НЭ</w:t>
      </w:r>
    </w:p>
    <w:p w:rsidR="000C4574" w:rsidRDefault="000C4574">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Добыча нефти и газа а пределах Тайлаковского лицензионного участка</w:t>
      </w:r>
    </w:p>
    <w:p w:rsidR="000C4574" w:rsidRDefault="000C4574">
      <w:pPr>
        <w:ind w:left="200"/>
      </w:pPr>
      <w:r>
        <w:t>Дата выдачи разрешения (лицензии) или допуска к отдельным видам работ:</w:t>
      </w:r>
      <w:r>
        <w:rPr>
          <w:rStyle w:val="Subst"/>
          <w:bCs/>
          <w:iCs/>
        </w:rPr>
        <w:t xml:space="preserve"> 24.06.1997</w:t>
      </w:r>
    </w:p>
    <w:p w:rsidR="000C4574" w:rsidRDefault="000C4574">
      <w:pPr>
        <w:ind w:left="200"/>
      </w:pPr>
      <w:r>
        <w:t>Срок действия разрешения (лицензии) или допуска к отдельным видам работ:</w:t>
      </w:r>
      <w:r>
        <w:rPr>
          <w:rStyle w:val="Subst"/>
          <w:bCs/>
          <w:iCs/>
        </w:rPr>
        <w:t xml:space="preserve"> 23.02.2014</w:t>
      </w:r>
    </w:p>
    <w:p w:rsidR="000C4574" w:rsidRDefault="000C4574">
      <w:pPr>
        <w:ind w:left="200"/>
      </w:pPr>
    </w:p>
    <w:p w:rsidR="000C4574" w:rsidRDefault="000C4574">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Территориальное агенство по недропользованию</w:t>
      </w:r>
    </w:p>
    <w:p w:rsidR="000C4574" w:rsidRDefault="000C4574">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Серия ХМН № 01951 ВЭ</w:t>
      </w:r>
    </w:p>
    <w:p w:rsidR="000C4574" w:rsidRDefault="000C4574">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Геологическое изучение и добыча подземных вод для технологического использования на Тайлаковском месторождении нефти</w:t>
      </w:r>
    </w:p>
    <w:p w:rsidR="000C4574" w:rsidRDefault="000C4574">
      <w:pPr>
        <w:ind w:left="200"/>
      </w:pPr>
      <w:r>
        <w:t>Дата выдачи разрешения (лицензии) или допуска к отдельным видам работ:</w:t>
      </w:r>
      <w:r>
        <w:rPr>
          <w:rStyle w:val="Subst"/>
          <w:bCs/>
          <w:iCs/>
        </w:rPr>
        <w:t xml:space="preserve"> 25.01.2006</w:t>
      </w:r>
    </w:p>
    <w:p w:rsidR="000C4574" w:rsidRDefault="000C4574">
      <w:pPr>
        <w:ind w:left="200"/>
      </w:pPr>
      <w:r>
        <w:t>Срок действия разрешения (лицензии) или допуска к отдельным видам работ:</w:t>
      </w:r>
      <w:r>
        <w:rPr>
          <w:rStyle w:val="Subst"/>
          <w:bCs/>
          <w:iCs/>
        </w:rPr>
        <w:t xml:space="preserve"> 24.01.2016</w:t>
      </w:r>
    </w:p>
    <w:p w:rsidR="000C4574" w:rsidRDefault="000C4574">
      <w:pPr>
        <w:ind w:left="200"/>
      </w:pPr>
    </w:p>
    <w:p w:rsidR="000C4574" w:rsidRDefault="000C4574">
      <w:pPr>
        <w:ind w:left="200"/>
      </w:pPr>
      <w:r>
        <w:t>Орган (организация), выдавший соответствующее разрешение (лицензию) или допуск к отдельным видам работ:</w:t>
      </w:r>
      <w:r>
        <w:rPr>
          <w:rStyle w:val="Subst"/>
          <w:bCs/>
          <w:iCs/>
        </w:rPr>
        <w:t xml:space="preserve"> Территориальное агенство по недропользованию по Ханты-Мансийскому автономному округу-Югре (Югра-недра)</w:t>
      </w:r>
    </w:p>
    <w:p w:rsidR="000C4574" w:rsidRDefault="000C4574">
      <w:pPr>
        <w:ind w:left="200"/>
      </w:pPr>
      <w:r>
        <w:t>Номер разрешения (лицензии) или документа, подтверждающего получение допуска к отдельным видам работ:</w:t>
      </w:r>
      <w:r>
        <w:rPr>
          <w:rStyle w:val="Subst"/>
          <w:bCs/>
          <w:iCs/>
        </w:rPr>
        <w:t xml:space="preserve"> ХМН, 02097, ВЭ</w:t>
      </w:r>
    </w:p>
    <w:p w:rsidR="000C4574" w:rsidRDefault="000C4574">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bCs/>
          <w:iCs/>
        </w:rPr>
        <w:t xml:space="preserve"> Геологическое изучение и добыча пресных подземных вод для хозяйственно-питьевого и противопожарного водоснабжения на Тайлаковском месторождении нефти</w:t>
      </w:r>
    </w:p>
    <w:p w:rsidR="000C4574" w:rsidRDefault="000C4574">
      <w:pPr>
        <w:ind w:left="200"/>
      </w:pPr>
      <w:r>
        <w:t>Дата выдачи разрешения (лицензии) или допуска к отдельным видам работ:</w:t>
      </w:r>
      <w:r>
        <w:rPr>
          <w:rStyle w:val="Subst"/>
          <w:bCs/>
          <w:iCs/>
        </w:rPr>
        <w:t xml:space="preserve"> 15.03.2007</w:t>
      </w:r>
    </w:p>
    <w:p w:rsidR="000C4574" w:rsidRDefault="000C4574">
      <w:pPr>
        <w:ind w:left="200"/>
      </w:pPr>
      <w:r>
        <w:t>Срок действия разрешения (лицензии) или допуска к отдельным видам работ:</w:t>
      </w:r>
      <w:r>
        <w:rPr>
          <w:rStyle w:val="Subst"/>
          <w:bCs/>
          <w:iCs/>
        </w:rPr>
        <w:t xml:space="preserve"> 14.03.2027</w:t>
      </w:r>
    </w:p>
    <w:p w:rsidR="000C4574" w:rsidRDefault="000C4574">
      <w:pPr>
        <w:pStyle w:val="2"/>
      </w:pPr>
      <w:r>
        <w:t>3.2.6. Сведения о деятельности отдельных категорий эмитентов эмиссионных ценных бумаг</w:t>
      </w:r>
    </w:p>
    <w:p w:rsidR="000C4574" w:rsidRDefault="000C4574">
      <w:r>
        <w:t>Эмитент не является акционерным инвестиционным фондом, страховой или кредитной организацией, ипотечным агентом.</w:t>
      </w:r>
    </w:p>
    <w:p w:rsidR="000C4574" w:rsidRDefault="000C4574">
      <w:pPr>
        <w:pStyle w:val="2"/>
      </w:pPr>
      <w:r>
        <w:t>3.2.7. Дополнительные требования к эмитентам, основной деятельностью которых является добыча полезных ископаемых</w:t>
      </w:r>
    </w:p>
    <w:p w:rsidR="000C4574" w:rsidRDefault="000C4574">
      <w:pPr>
        <w:ind w:left="200"/>
      </w:pPr>
      <w:r>
        <w:t>Основной деятельностью эмитента не является добыча полезных ископаемых</w:t>
      </w:r>
    </w:p>
    <w:p w:rsidR="000C4574" w:rsidRDefault="000C4574">
      <w:pPr>
        <w:pStyle w:val="2"/>
      </w:pPr>
      <w:r>
        <w:lastRenderedPageBreak/>
        <w:t>3.2.8. Дополнительные требования к эмитентам, основной деятельностью которых является оказание услуг связи</w:t>
      </w:r>
    </w:p>
    <w:p w:rsidR="000C4574" w:rsidRDefault="000C4574">
      <w:pPr>
        <w:ind w:left="200"/>
      </w:pPr>
      <w:r>
        <w:t>Основной деятельностью эмитента не является оказание услуг связи</w:t>
      </w:r>
    </w:p>
    <w:p w:rsidR="000C4574" w:rsidRDefault="000C4574">
      <w:pPr>
        <w:pStyle w:val="2"/>
      </w:pPr>
      <w:r>
        <w:t>3.3. Планы будущей деятельности эмитента</w:t>
      </w:r>
    </w:p>
    <w:p w:rsidR="000C4574" w:rsidRDefault="000C4574">
      <w:pPr>
        <w:ind w:left="200"/>
      </w:pPr>
      <w:r>
        <w:rPr>
          <w:rStyle w:val="Subst"/>
          <w:bCs/>
          <w:iCs/>
        </w:rPr>
        <w:t>Предприятие работает в соответствии с разработанным и утвержденным Советом Директоров Бизнес-планом. В целях выполнения условий лицензионного соглашения осуществляется программа геологоразведочных работ на Тайлаковском лицензионном участке, включающая поисково-разведочное бурение, сейсморазведочные работы, строительство объектов инфраструктуры месторождения, промышленную разработку месторождения</w:t>
      </w:r>
    </w:p>
    <w:p w:rsidR="000C4574" w:rsidRDefault="000C4574">
      <w:pPr>
        <w:pStyle w:val="2"/>
      </w:pPr>
      <w:r>
        <w:t>3.4. Участие эмитента в банковских группах, банковских холдингах, холдингах и ассоциациях</w:t>
      </w:r>
    </w:p>
    <w:p w:rsidR="000C4574" w:rsidRDefault="000C4574">
      <w:pPr>
        <w:ind w:left="200"/>
      </w:pPr>
      <w:r>
        <w:rPr>
          <w:rStyle w:val="Subst"/>
          <w:bCs/>
          <w:iCs/>
        </w:rPr>
        <w:t>Эмитент не участвует в банковских группах, банковских холдингах, холдингах и ассоциациях</w:t>
      </w:r>
    </w:p>
    <w:p w:rsidR="000C4574" w:rsidRDefault="000C4574">
      <w:pPr>
        <w:pStyle w:val="2"/>
      </w:pPr>
      <w:r>
        <w:t>3.5. Подконтрольные эмитенту организации, имеющие для него существенное значение</w:t>
      </w:r>
    </w:p>
    <w:p w:rsidR="000C4574" w:rsidRDefault="000C4574">
      <w:pPr>
        <w:ind w:left="200"/>
      </w:pPr>
      <w:r>
        <w:rPr>
          <w:rStyle w:val="Subst"/>
          <w:bCs/>
          <w:iCs/>
        </w:rPr>
        <w:t>Эмитент не имеет подконтрольных организаций, имеющих для него существенное значение</w:t>
      </w:r>
    </w:p>
    <w:p w:rsidR="000C4574" w:rsidRDefault="000C4574">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0C4574" w:rsidRDefault="000C4574">
      <w:pPr>
        <w:pStyle w:val="2"/>
      </w:pPr>
      <w:r>
        <w:t>3.6.1. Основные средства</w:t>
      </w:r>
    </w:p>
    <w:p w:rsidR="000C4574" w:rsidRDefault="000C4574">
      <w:pPr>
        <w:pStyle w:val="SubHeading"/>
        <w:ind w:left="200"/>
      </w:pPr>
      <w:r>
        <w:t>За 2013 г.</w:t>
      </w:r>
    </w:p>
    <w:p w:rsidR="000C4574" w:rsidRDefault="000C4574">
      <w:pPr>
        <w:ind w:left="400"/>
      </w:pPr>
      <w:r>
        <w:t>Единица измерения:</w:t>
      </w:r>
      <w:r>
        <w:rPr>
          <w:rStyle w:val="Subst"/>
          <w:bCs/>
          <w:iCs/>
        </w:rPr>
        <w:t xml:space="preserve"> тыс. руб.</w:t>
      </w:r>
    </w:p>
    <w:p w:rsidR="000C4574" w:rsidRDefault="000C4574">
      <w:pPr>
        <w:pStyle w:val="ThinDelim"/>
      </w:pPr>
    </w:p>
    <w:tbl>
      <w:tblPr>
        <w:tblW w:w="0" w:type="auto"/>
        <w:tblLayout w:type="fixed"/>
        <w:tblCellMar>
          <w:left w:w="72" w:type="dxa"/>
          <w:right w:w="72" w:type="dxa"/>
        </w:tblCellMar>
        <w:tblLook w:val="0000"/>
      </w:tblPr>
      <w:tblGrid>
        <w:gridCol w:w="6492"/>
        <w:gridCol w:w="1360"/>
        <w:gridCol w:w="1400"/>
      </w:tblGrid>
      <w:tr w:rsidR="000C457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0C4574" w:rsidRDefault="000C4574">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0C4574" w:rsidRDefault="000C4574">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0C4574" w:rsidRDefault="000C4574">
            <w:pPr>
              <w:jc w:val="center"/>
            </w:pPr>
            <w:r>
              <w:t>Сумма начисленной амортизации</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Нефтегазодобывающие основные средства</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55 834 817</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15 312 746</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Здания и сооружения</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450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407</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Машины и оборудования</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183</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Транспортные средства и прочие ОС</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Непроизводственные ОС</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0C4574" w:rsidRDefault="000C4574">
            <w:r>
              <w:t>ИТОГО</w:t>
            </w:r>
          </w:p>
        </w:tc>
        <w:tc>
          <w:tcPr>
            <w:tcW w:w="1360" w:type="dxa"/>
            <w:tcBorders>
              <w:top w:val="single" w:sz="6" w:space="0" w:color="auto"/>
              <w:left w:val="single" w:sz="6" w:space="0" w:color="auto"/>
              <w:bottom w:val="double" w:sz="6" w:space="0" w:color="auto"/>
              <w:right w:val="single" w:sz="6" w:space="0" w:color="auto"/>
            </w:tcBorders>
          </w:tcPr>
          <w:p w:rsidR="000C4574" w:rsidRDefault="000C4574">
            <w:pPr>
              <w:jc w:val="right"/>
            </w:pPr>
            <w:r>
              <w:t>55 835 450</w:t>
            </w:r>
          </w:p>
        </w:tc>
        <w:tc>
          <w:tcPr>
            <w:tcW w:w="1400" w:type="dxa"/>
            <w:tcBorders>
              <w:top w:val="single" w:sz="6" w:space="0" w:color="auto"/>
              <w:left w:val="single" w:sz="6" w:space="0" w:color="auto"/>
              <w:bottom w:val="double" w:sz="6" w:space="0" w:color="auto"/>
              <w:right w:val="double" w:sz="6" w:space="0" w:color="auto"/>
            </w:tcBorders>
          </w:tcPr>
          <w:p w:rsidR="000C4574" w:rsidRDefault="000C4574">
            <w:pPr>
              <w:jc w:val="right"/>
            </w:pPr>
            <w:r>
              <w:t>15 313 154</w:t>
            </w:r>
          </w:p>
        </w:tc>
      </w:tr>
    </w:tbl>
    <w:p w:rsidR="000C4574" w:rsidRDefault="000C4574"/>
    <w:p w:rsidR="000C4574" w:rsidRDefault="000C4574">
      <w:pPr>
        <w:ind w:left="400"/>
      </w:pPr>
      <w:r>
        <w:t>Сведения о способах начисления амортизационных отчислений по группам объектов основных средств:</w:t>
      </w:r>
      <w:r>
        <w:br/>
      </w:r>
      <w:r>
        <w:rPr>
          <w:rStyle w:val="Subst"/>
          <w:bCs/>
          <w:iCs/>
        </w:rPr>
        <w:t>Обществом променен линейные способ начисления амортизации</w:t>
      </w:r>
    </w:p>
    <w:p w:rsidR="000C4574" w:rsidRDefault="000C4574">
      <w:pPr>
        <w:ind w:left="400"/>
      </w:pPr>
      <w:r>
        <w:t>Отчетная дата:</w:t>
      </w:r>
      <w:r>
        <w:rPr>
          <w:rStyle w:val="Subst"/>
          <w:bCs/>
          <w:iCs/>
        </w:rPr>
        <w:t xml:space="preserve"> 31.12.2013</w:t>
      </w:r>
    </w:p>
    <w:p w:rsidR="000C4574" w:rsidRDefault="000C4574">
      <w:pPr>
        <w:pStyle w:val="SubHeading"/>
        <w:ind w:left="200"/>
      </w:pPr>
      <w:r>
        <w:t>На дату окончания отчетного квартала</w:t>
      </w:r>
    </w:p>
    <w:p w:rsidR="000C4574" w:rsidRDefault="000C4574">
      <w:pPr>
        <w:ind w:left="400"/>
      </w:pPr>
      <w:r>
        <w:t>Единица измерения:</w:t>
      </w:r>
      <w:r>
        <w:rPr>
          <w:rStyle w:val="Subst"/>
          <w:bCs/>
          <w:iCs/>
        </w:rPr>
        <w:t xml:space="preserve"> тыс. руб.</w:t>
      </w:r>
    </w:p>
    <w:p w:rsidR="000C4574" w:rsidRDefault="000C4574">
      <w:pPr>
        <w:pStyle w:val="ThinDelim"/>
      </w:pPr>
    </w:p>
    <w:tbl>
      <w:tblPr>
        <w:tblW w:w="0" w:type="auto"/>
        <w:tblLayout w:type="fixed"/>
        <w:tblCellMar>
          <w:left w:w="72" w:type="dxa"/>
          <w:right w:w="72" w:type="dxa"/>
        </w:tblCellMar>
        <w:tblLook w:val="0000"/>
      </w:tblPr>
      <w:tblGrid>
        <w:gridCol w:w="6492"/>
        <w:gridCol w:w="1360"/>
        <w:gridCol w:w="1400"/>
      </w:tblGrid>
      <w:tr w:rsidR="000C457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0C4574" w:rsidRDefault="000C4574">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0C4574" w:rsidRDefault="000C4574">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0C4574" w:rsidRDefault="000C4574">
            <w:pPr>
              <w:jc w:val="center"/>
            </w:pPr>
            <w:r>
              <w:t>Сумма начисленной амортизации</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Нефтегазодобывающие основные средства</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57 160 808</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16 558 373</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Здания и сооружения</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450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412</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lastRenderedPageBreak/>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183</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11</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Транспортные средства и прочие ОС</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Непроизводственные ОС</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0C4574" w:rsidRDefault="000C4574">
            <w:r>
              <w:t>ИТОГО</w:t>
            </w:r>
          </w:p>
        </w:tc>
        <w:tc>
          <w:tcPr>
            <w:tcW w:w="1360" w:type="dxa"/>
            <w:tcBorders>
              <w:top w:val="single" w:sz="6" w:space="0" w:color="auto"/>
              <w:left w:val="single" w:sz="6" w:space="0" w:color="auto"/>
              <w:bottom w:val="double" w:sz="6" w:space="0" w:color="auto"/>
              <w:right w:val="single" w:sz="6" w:space="0" w:color="auto"/>
            </w:tcBorders>
          </w:tcPr>
          <w:p w:rsidR="000C4574" w:rsidRDefault="000C4574">
            <w:pPr>
              <w:jc w:val="right"/>
            </w:pPr>
            <w:r>
              <w:t>57 161 441</w:t>
            </w:r>
          </w:p>
        </w:tc>
        <w:tc>
          <w:tcPr>
            <w:tcW w:w="1400" w:type="dxa"/>
            <w:tcBorders>
              <w:top w:val="single" w:sz="6" w:space="0" w:color="auto"/>
              <w:left w:val="single" w:sz="6" w:space="0" w:color="auto"/>
              <w:bottom w:val="double" w:sz="6" w:space="0" w:color="auto"/>
              <w:right w:val="double" w:sz="6" w:space="0" w:color="auto"/>
            </w:tcBorders>
          </w:tcPr>
          <w:p w:rsidR="000C4574" w:rsidRDefault="000C4574">
            <w:pPr>
              <w:jc w:val="right"/>
            </w:pPr>
            <w:r>
              <w:t>16 558 796</w:t>
            </w:r>
          </w:p>
        </w:tc>
      </w:tr>
    </w:tbl>
    <w:p w:rsidR="000C4574" w:rsidRDefault="000C4574"/>
    <w:p w:rsidR="000C4574" w:rsidRDefault="000C4574">
      <w:pPr>
        <w:ind w:left="400"/>
      </w:pPr>
      <w:r>
        <w:t>Сведения о способах начисления амортизационных отчислений по группам объектов основных средств:</w:t>
      </w:r>
      <w:r>
        <w:br/>
      </w:r>
      <w:r>
        <w:rPr>
          <w:rStyle w:val="Subst"/>
          <w:bCs/>
          <w:iCs/>
        </w:rPr>
        <w:t>Обществом променен линейный способ начисления амортизации</w:t>
      </w:r>
    </w:p>
    <w:p w:rsidR="000C4574" w:rsidRDefault="000C4574">
      <w:pPr>
        <w:ind w:left="400"/>
      </w:pPr>
      <w:r>
        <w:t>Отчетная дата:</w:t>
      </w:r>
      <w:r>
        <w:rPr>
          <w:rStyle w:val="Subst"/>
          <w:bCs/>
          <w:iCs/>
        </w:rPr>
        <w:t xml:space="preserve"> 31.03.2014</w:t>
      </w:r>
    </w:p>
    <w:p w:rsidR="000C4574" w:rsidRDefault="000C4574">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0C4574" w:rsidRDefault="000C4574">
      <w:pPr>
        <w:ind w:left="200"/>
      </w:pPr>
      <w:r>
        <w:rPr>
          <w:rStyle w:val="Subst"/>
          <w:bCs/>
          <w:iCs/>
        </w:rPr>
        <w:t>Переоценка основных средств за указанный период не проводилась</w:t>
      </w:r>
    </w:p>
    <w:p w:rsidR="000C4574" w:rsidRDefault="000C4574">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p>
    <w:p w:rsidR="000C4574" w:rsidRDefault="000C4574">
      <w:pPr>
        <w:pStyle w:val="1"/>
      </w:pPr>
      <w:r>
        <w:t>IV. Сведения о финансово-хозяйственной деятельности эмитента</w:t>
      </w:r>
    </w:p>
    <w:p w:rsidR="000C4574" w:rsidRDefault="000C4574">
      <w:pPr>
        <w:pStyle w:val="2"/>
      </w:pPr>
      <w:r>
        <w:t>4.1. Результаты финансово-хозяйственной деятельности эмитента</w:t>
      </w:r>
    </w:p>
    <w:p w:rsidR="000C4574" w:rsidRDefault="000C4574">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C4574" w:rsidRDefault="000C4574">
      <w:pPr>
        <w:pStyle w:val="ThinDelim"/>
      </w:pPr>
    </w:p>
    <w:p w:rsidR="000C4574" w:rsidRDefault="000C4574">
      <w:pPr>
        <w:pStyle w:val="ThinDelim"/>
      </w:pPr>
    </w:p>
    <w:p w:rsidR="000C4574" w:rsidRDefault="000C4574">
      <w:pPr>
        <w:pStyle w:val="2"/>
      </w:pPr>
      <w:r>
        <w:t>4.2. Ликвидность эмитента, достаточность капитала и оборотных средств</w:t>
      </w:r>
    </w:p>
    <w:p w:rsidR="000C4574" w:rsidRDefault="000C4574">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C4574" w:rsidRDefault="000C4574">
      <w:pPr>
        <w:pStyle w:val="ThinDelim"/>
      </w:pPr>
    </w:p>
    <w:p w:rsidR="000C4574" w:rsidRDefault="000C4574">
      <w:pPr>
        <w:pStyle w:val="ThinDelim"/>
      </w:pPr>
    </w:p>
    <w:p w:rsidR="000C4574" w:rsidRDefault="000C4574">
      <w:pPr>
        <w:pStyle w:val="2"/>
      </w:pPr>
      <w:r>
        <w:t>4.3. Финансовые вложения эмитента</w:t>
      </w:r>
    </w:p>
    <w:p w:rsidR="000C4574" w:rsidRDefault="000C4574">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C4574" w:rsidRDefault="000C4574">
      <w:pPr>
        <w:pStyle w:val="2"/>
      </w:pPr>
      <w:r>
        <w:t>4.4. Нематериальные активы эмитента</w:t>
      </w:r>
    </w:p>
    <w:p w:rsidR="000C4574" w:rsidRDefault="000C4574">
      <w:pPr>
        <w:pStyle w:val="SubHeading"/>
        <w:ind w:left="200"/>
      </w:pPr>
      <w:r>
        <w:t>За 2013 г.</w:t>
      </w:r>
    </w:p>
    <w:p w:rsidR="000C4574" w:rsidRDefault="000C4574">
      <w:pPr>
        <w:ind w:left="400"/>
      </w:pPr>
      <w:r>
        <w:rPr>
          <w:rStyle w:val="Subst"/>
          <w:bCs/>
          <w:iCs/>
        </w:rPr>
        <w:lastRenderedPageBreak/>
        <w:t>Нематериальные активы у эмитента отсутствуют</w:t>
      </w:r>
    </w:p>
    <w:p w:rsidR="000C4574" w:rsidRDefault="000C4574">
      <w:pPr>
        <w:pStyle w:val="SubHeading"/>
        <w:ind w:left="200"/>
      </w:pPr>
      <w:r>
        <w:t>На дату окончания отчетного квартала</w:t>
      </w:r>
    </w:p>
    <w:p w:rsidR="000C4574" w:rsidRDefault="000C4574">
      <w:pPr>
        <w:ind w:left="400"/>
      </w:pPr>
      <w:r>
        <w:t>Единица измерения:</w:t>
      </w:r>
      <w:r>
        <w:rPr>
          <w:rStyle w:val="Subst"/>
          <w:bCs/>
          <w:iCs/>
        </w:rPr>
        <w:t xml:space="preserve"> тыс. руб.</w:t>
      </w:r>
    </w:p>
    <w:p w:rsidR="000C4574" w:rsidRDefault="000C4574">
      <w:pPr>
        <w:pStyle w:val="ThinDelim"/>
      </w:pPr>
    </w:p>
    <w:tbl>
      <w:tblPr>
        <w:tblW w:w="0" w:type="auto"/>
        <w:tblLayout w:type="fixed"/>
        <w:tblCellMar>
          <w:left w:w="72" w:type="dxa"/>
          <w:right w:w="72" w:type="dxa"/>
        </w:tblCellMar>
        <w:tblLook w:val="0000"/>
      </w:tblPr>
      <w:tblGrid>
        <w:gridCol w:w="5112"/>
        <w:gridCol w:w="2260"/>
        <w:gridCol w:w="1880"/>
      </w:tblGrid>
      <w:tr w:rsidR="000C4574">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0C4574" w:rsidRDefault="000C4574">
            <w:pPr>
              <w:jc w:val="center"/>
            </w:pPr>
            <w: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0C4574" w:rsidRDefault="000C4574">
            <w:pPr>
              <w:jc w:val="center"/>
            </w:pPr>
            <w: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0C4574" w:rsidRDefault="000C4574">
            <w:pPr>
              <w:jc w:val="center"/>
            </w:pPr>
            <w:r>
              <w:t>Сумма начисленной амортизации</w:t>
            </w:r>
          </w:p>
        </w:tc>
      </w:tr>
      <w:tr w:rsidR="000C4574">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0C4574" w:rsidRDefault="000C4574"/>
        </w:tc>
        <w:tc>
          <w:tcPr>
            <w:tcW w:w="2260" w:type="dxa"/>
            <w:tcBorders>
              <w:top w:val="single" w:sz="6" w:space="0" w:color="auto"/>
              <w:left w:val="single" w:sz="6" w:space="0" w:color="auto"/>
              <w:bottom w:val="single" w:sz="6" w:space="0" w:color="auto"/>
              <w:right w:val="single" w:sz="6" w:space="0" w:color="auto"/>
            </w:tcBorders>
          </w:tcPr>
          <w:p w:rsidR="000C4574" w:rsidRDefault="000C4574">
            <w:pPr>
              <w:jc w:val="right"/>
            </w:pPr>
            <w:r>
              <w:t>32</w:t>
            </w:r>
          </w:p>
        </w:tc>
        <w:tc>
          <w:tcPr>
            <w:tcW w:w="18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0C4574" w:rsidRDefault="000C4574">
            <w:r>
              <w:t>ИТОГО</w:t>
            </w:r>
          </w:p>
        </w:tc>
        <w:tc>
          <w:tcPr>
            <w:tcW w:w="2260" w:type="dxa"/>
            <w:tcBorders>
              <w:top w:val="single" w:sz="6" w:space="0" w:color="auto"/>
              <w:left w:val="single" w:sz="6" w:space="0" w:color="auto"/>
              <w:bottom w:val="double" w:sz="6" w:space="0" w:color="auto"/>
              <w:right w:val="single" w:sz="6" w:space="0" w:color="auto"/>
            </w:tcBorders>
          </w:tcPr>
          <w:p w:rsidR="000C4574" w:rsidRDefault="000C4574"/>
        </w:tc>
        <w:tc>
          <w:tcPr>
            <w:tcW w:w="1880" w:type="dxa"/>
            <w:tcBorders>
              <w:top w:val="single" w:sz="6" w:space="0" w:color="auto"/>
              <w:left w:val="single" w:sz="6" w:space="0" w:color="auto"/>
              <w:bottom w:val="double" w:sz="6" w:space="0" w:color="auto"/>
              <w:right w:val="double" w:sz="6" w:space="0" w:color="auto"/>
            </w:tcBorders>
          </w:tcPr>
          <w:p w:rsidR="000C4574" w:rsidRDefault="000C4574"/>
        </w:tc>
      </w:tr>
    </w:tbl>
    <w:p w:rsidR="000C4574" w:rsidRDefault="000C4574"/>
    <w:p w:rsidR="000C4574" w:rsidRDefault="000C4574">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p>
    <w:p w:rsidR="000C4574" w:rsidRDefault="000C4574">
      <w:pPr>
        <w:ind w:left="400"/>
      </w:pPr>
      <w:r>
        <w:t>Отчетная дата:</w:t>
      </w:r>
      <w:r>
        <w:rPr>
          <w:rStyle w:val="Subst"/>
          <w:bCs/>
          <w:iCs/>
        </w:rPr>
        <w:t xml:space="preserve"> 31.03.2014</w:t>
      </w:r>
    </w:p>
    <w:p w:rsidR="000C4574" w:rsidRDefault="000C4574">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0C4574" w:rsidRDefault="000C4574">
      <w:pPr>
        <w:ind w:left="200"/>
      </w:pPr>
      <w:r>
        <w:rPr>
          <w:rStyle w:val="Subst"/>
          <w:bCs/>
          <w:iCs/>
        </w:rPr>
        <w:t>Эмитент не ведет разработок и исследований в области научно-технического развития, в отношении лицензий и патентов, расходов в этой области нет.</w:t>
      </w:r>
    </w:p>
    <w:p w:rsidR="000C4574" w:rsidRDefault="000C4574">
      <w:pPr>
        <w:pStyle w:val="2"/>
      </w:pPr>
      <w:r>
        <w:t>4.6. Анализ тенденций развития в сфере основной деятельности эмитента</w:t>
      </w:r>
    </w:p>
    <w:p w:rsidR="000C4574" w:rsidRDefault="000C4574">
      <w:pPr>
        <w:ind w:left="200"/>
      </w:pPr>
      <w:r>
        <w:rPr>
          <w:rStyle w:val="Subst"/>
          <w:bCs/>
          <w:iCs/>
        </w:rPr>
        <w:t>Изменения в составе информации настоящего пункта в отчетном квартале не происходили.</w:t>
      </w:r>
    </w:p>
    <w:p w:rsidR="000C4574" w:rsidRDefault="000C4574">
      <w:pPr>
        <w:pStyle w:val="2"/>
      </w:pPr>
      <w:r>
        <w:t>4.6.1. Анализ факторов и условий, влияющих на деятельность эмитента</w:t>
      </w:r>
    </w:p>
    <w:p w:rsidR="000C4574" w:rsidRDefault="000C4574">
      <w:pPr>
        <w:ind w:left="200"/>
      </w:pPr>
      <w:r>
        <w:rPr>
          <w:rStyle w:val="Subst"/>
          <w:bCs/>
          <w:iCs/>
        </w:rPr>
        <w:t>Изменения в составе информации настоящего пункта в отчетном квартале не происходили.</w:t>
      </w:r>
    </w:p>
    <w:p w:rsidR="000C4574" w:rsidRDefault="000C4574">
      <w:pPr>
        <w:pStyle w:val="2"/>
      </w:pPr>
      <w:r>
        <w:t>4.6.2. Конкуренты эмитента</w:t>
      </w:r>
    </w:p>
    <w:p w:rsidR="000C4574" w:rsidRDefault="000C4574">
      <w:pPr>
        <w:ind w:left="200"/>
      </w:pPr>
      <w:r>
        <w:rPr>
          <w:rStyle w:val="Subst"/>
          <w:bCs/>
          <w:iCs/>
        </w:rPr>
        <w:t>Изменения в составе информации настоящего пункта в отчетном квартале не происходили.</w:t>
      </w:r>
    </w:p>
    <w:p w:rsidR="000C4574" w:rsidRDefault="000C4574">
      <w:pPr>
        <w:pStyle w:val="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0C4574" w:rsidRDefault="000C4574">
      <w:pPr>
        <w:pStyle w:val="2"/>
      </w:pPr>
      <w:r>
        <w:t>5.1. Сведения о структуре и компетенции органов управления эмитента</w:t>
      </w:r>
    </w:p>
    <w:p w:rsidR="000C4574" w:rsidRDefault="000C4574">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Изменения в составе информации настоящего пункта в отчетном квартале не происходили.</w:t>
      </w:r>
    </w:p>
    <w:p w:rsidR="000C4574" w:rsidRDefault="000C4574">
      <w:pPr>
        <w:ind w:left="200"/>
      </w:pPr>
    </w:p>
    <w:p w:rsidR="000C4574" w:rsidRDefault="000C4574">
      <w:pPr>
        <w:pStyle w:val="2"/>
      </w:pPr>
      <w:r>
        <w:t>5.2. Информация о лицах, входящих в состав органов управления эмитента</w:t>
      </w:r>
    </w:p>
    <w:p w:rsidR="000C4574" w:rsidRDefault="000C4574">
      <w:pPr>
        <w:pStyle w:val="2"/>
      </w:pPr>
      <w:r>
        <w:t>5.2.1. Состав совета директоров (наблюдательного совета) эмитента</w:t>
      </w:r>
    </w:p>
    <w:p w:rsidR="000C4574" w:rsidRDefault="000C4574">
      <w:pPr>
        <w:ind w:left="200"/>
      </w:pPr>
      <w:r>
        <w:t>ФИО:</w:t>
      </w:r>
      <w:r>
        <w:rPr>
          <w:rStyle w:val="Subst"/>
          <w:bCs/>
          <w:iCs/>
        </w:rPr>
        <w:t xml:space="preserve"> Дронов Владимир  Викторович</w:t>
      </w:r>
    </w:p>
    <w:p w:rsidR="000C4574" w:rsidRDefault="000C4574">
      <w:pPr>
        <w:ind w:left="200"/>
      </w:pPr>
      <w:r>
        <w:rPr>
          <w:rStyle w:val="Subst"/>
          <w:bCs/>
          <w:iCs/>
        </w:rPr>
        <w:t>(председатель)</w:t>
      </w:r>
    </w:p>
    <w:p w:rsidR="000C4574" w:rsidRDefault="000C4574">
      <w:pPr>
        <w:ind w:left="200"/>
      </w:pPr>
      <w:r>
        <w:t>Год рождения:</w:t>
      </w:r>
      <w:r>
        <w:rPr>
          <w:rStyle w:val="Subst"/>
          <w:bCs/>
          <w:iCs/>
        </w:rPr>
        <w:t xml:space="preserve"> 1967</w:t>
      </w:r>
    </w:p>
    <w:p w:rsidR="000C4574" w:rsidRDefault="000C4574">
      <w:pPr>
        <w:pStyle w:val="ThinDelim"/>
      </w:pPr>
    </w:p>
    <w:p w:rsidR="000C4574" w:rsidRDefault="000C4574">
      <w:pPr>
        <w:ind w:left="200"/>
      </w:pPr>
      <w:r>
        <w:t>Образование:</w:t>
      </w:r>
      <w:r>
        <w:br/>
      </w:r>
      <w:r>
        <w:rPr>
          <w:rStyle w:val="Subst"/>
          <w:bCs/>
          <w:iCs/>
        </w:rPr>
        <w:t>Тюменский индустриальный институт им. Ленинского комсомола</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08.1991</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12.2003</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"Славнефть-Мегионнефтегаз"</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Бурильщик эксплуатационного и разведочного бурения скважин на нефть и газ 6-го разряда, помощник бурового мастера, технолог, ведущий технолог, инженер по бурению, буровой мастер, главный инженер экспедиции по бурению</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01.2004</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04.2008</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"Мегионское УБР"</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Заместитель начальника, начальник службы районной инженерно-технологической службы № 2 Центральной инженерно-технологической службы, заместитель начальника, начальник Центральной инженерно-технологической службы</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05.2008</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01.2010</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ООО "Технологии ВФТ"</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Руководитель проекта подразделения по бурению; заместитель директора - начальник цеха бурения № 1 аппарата управления буровым производством Нижневартовского филиала ООО "Технологии ВФТ"</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01.2010</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"Славнефть-Мегионнефтегазгеология"</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Заместитель генерального директора - директор по производству - член Правления Общества, временно исполняющий обязанности генерального директора Общества, генеральный директор Общества, генеральный директор ОАО "Славнефть-Мегионнефтегаз"</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03.2013</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по совместительству руководитель Блока бурения и капитального строительства</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 xml:space="preserve">Сведения о привлечении такого лица к административной ответственности за правонарушения в </w:t>
      </w:r>
      <w:r>
        <w:lastRenderedPageBreak/>
        <w:t>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t>ФИО:</w:t>
      </w:r>
      <w:r>
        <w:rPr>
          <w:rStyle w:val="Subst"/>
          <w:bCs/>
          <w:iCs/>
        </w:rPr>
        <w:t xml:space="preserve"> Савельев Виктор Алексеевич</w:t>
      </w:r>
    </w:p>
    <w:p w:rsidR="000C4574" w:rsidRDefault="000C4574">
      <w:pPr>
        <w:ind w:left="200"/>
      </w:pPr>
      <w:r>
        <w:t>Год рождения:</w:t>
      </w:r>
      <w:r>
        <w:rPr>
          <w:rStyle w:val="Subst"/>
          <w:bCs/>
          <w:iCs/>
        </w:rPr>
        <w:t xml:space="preserve"> 1963</w:t>
      </w:r>
    </w:p>
    <w:p w:rsidR="000C4574" w:rsidRDefault="000C4574">
      <w:pPr>
        <w:pStyle w:val="ThinDelim"/>
      </w:pPr>
    </w:p>
    <w:p w:rsidR="000C4574" w:rsidRDefault="000C4574">
      <w:pPr>
        <w:ind w:left="200"/>
      </w:pPr>
      <w:r>
        <w:t>Образование:</w:t>
      </w:r>
      <w:r>
        <w:br/>
      </w:r>
      <w:r>
        <w:rPr>
          <w:rStyle w:val="Subst"/>
          <w:bCs/>
          <w:iCs/>
        </w:rPr>
        <w:t>Казанский государственный университет им. В.И.Ульянова-Ленина, 1985 г. Институт геологии и разработки горючих ископаемых, доктор геолого-минералогических наук, профессор кафедры геологии нефти и газа.</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09.2006</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02.2008</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"Нефтегазовая компания "РуссНефть"</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Вице президент по геологии и разработке нефтяных месторождений</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03.2008</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02.2009</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ООО "Газпромнефть Научно-Технический центр"</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Генеральный директор</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02.2009</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04.2012</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"Газпромнефть"</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Директор по геологии и разработке; директор Дирекции по геологии и разработке; директор Дирекции по геологоразведочным работам и развитию ресурсной базы</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04.2012</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Вице президент по добычи нефти и геологии</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w:t>
      </w:r>
      <w:r>
        <w:lastRenderedPageBreak/>
        <w:t>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t>ФИО:</w:t>
      </w:r>
      <w:r>
        <w:rPr>
          <w:rStyle w:val="Subst"/>
          <w:bCs/>
          <w:iCs/>
        </w:rPr>
        <w:t xml:space="preserve"> Цурцумия Олег Витальевич</w:t>
      </w:r>
    </w:p>
    <w:p w:rsidR="000C4574" w:rsidRDefault="000C4574">
      <w:pPr>
        <w:ind w:left="200"/>
      </w:pPr>
      <w:r>
        <w:t>Год рождения:</w:t>
      </w:r>
      <w:r>
        <w:rPr>
          <w:rStyle w:val="Subst"/>
          <w:bCs/>
          <w:iCs/>
        </w:rPr>
        <w:t xml:space="preserve"> 1977</w:t>
      </w:r>
    </w:p>
    <w:p w:rsidR="000C4574" w:rsidRDefault="000C4574">
      <w:pPr>
        <w:pStyle w:val="ThinDelim"/>
      </w:pPr>
    </w:p>
    <w:p w:rsidR="000C4574" w:rsidRDefault="000C4574">
      <w:pPr>
        <w:ind w:left="200"/>
      </w:pPr>
      <w:r>
        <w:t>Образование:</w:t>
      </w:r>
      <w:r>
        <w:br/>
      </w:r>
      <w:r>
        <w:rPr>
          <w:rStyle w:val="Subst"/>
          <w:bCs/>
          <w:iCs/>
        </w:rPr>
        <w:t>Московский государственный технический университет гражданской авиации, квалификация - инженер.</w:t>
      </w:r>
      <w:r>
        <w:rPr>
          <w:rStyle w:val="Subst"/>
          <w:bCs/>
          <w:iCs/>
        </w:rPr>
        <w:br/>
        <w:t>Российский государственный университет нефти и газа им. И.М. Губкина, квалификация -  экономист-менеджер</w:t>
      </w:r>
      <w:r>
        <w:rPr>
          <w:rStyle w:val="Subst"/>
          <w:bCs/>
          <w:iCs/>
        </w:rPr>
        <w:br/>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05.1999</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Ведущий специалист; Заместиель начальника Департамента корпоративных отношений и управления имуществом;  начальник Департамента реструктуризации и совершентствования корпоративной структуры.</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t>ФИО:</w:t>
      </w:r>
      <w:r>
        <w:rPr>
          <w:rStyle w:val="Subst"/>
          <w:bCs/>
          <w:iCs/>
        </w:rPr>
        <w:t xml:space="preserve"> Ягуткин Владимир Анатольевич</w:t>
      </w:r>
    </w:p>
    <w:p w:rsidR="000C4574" w:rsidRDefault="000C4574">
      <w:pPr>
        <w:ind w:left="200"/>
      </w:pPr>
      <w:r>
        <w:t>Год рождения:</w:t>
      </w:r>
      <w:r>
        <w:rPr>
          <w:rStyle w:val="Subst"/>
          <w:bCs/>
          <w:iCs/>
        </w:rPr>
        <w:t xml:space="preserve"> 1973</w:t>
      </w:r>
    </w:p>
    <w:p w:rsidR="000C4574" w:rsidRDefault="000C4574">
      <w:pPr>
        <w:pStyle w:val="ThinDelim"/>
      </w:pPr>
    </w:p>
    <w:p w:rsidR="000C4574" w:rsidRDefault="000C4574">
      <w:pPr>
        <w:ind w:left="200"/>
      </w:pPr>
      <w:r>
        <w:t>Образование:</w:t>
      </w:r>
      <w:r>
        <w:br/>
      </w:r>
      <w:r>
        <w:rPr>
          <w:rStyle w:val="Subst"/>
          <w:bCs/>
          <w:iCs/>
        </w:rPr>
        <w:t>Московский физико-технический институт, квалификация – инженер-физик</w:t>
      </w:r>
      <w:r>
        <w:rPr>
          <w:rStyle w:val="Subst"/>
          <w:bCs/>
          <w:iCs/>
        </w:rPr>
        <w:br/>
      </w:r>
      <w:r>
        <w:rPr>
          <w:rStyle w:val="Subst"/>
          <w:bCs/>
          <w:iCs/>
        </w:rPr>
        <w:lastRenderedPageBreak/>
        <w:t>Финансовая академия при Правительстве Российской Федерации, квалификация - экономист</w:t>
      </w:r>
      <w:r>
        <w:rPr>
          <w:rStyle w:val="Subst"/>
          <w:bCs/>
          <w:iCs/>
        </w:rPr>
        <w:br/>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04.2003</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05.2007</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"ТНК ВР Менеджмент"</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Главный специалист внутреннег консультирования и анализа Аппарата Исполнительного директора; и.о. начальника отдела внутреннего консультирования и анализа Аппарата Исполнительного директора; Директор Департамента по проектам с ОАО "НГК "Славнефть" Управления корпоративного планирования и управления эффективностью деятельности</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05.2007</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Начальник департамета экономики, Руководитель Блока экономики</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t>ФИО:</w:t>
      </w:r>
      <w:r>
        <w:rPr>
          <w:rStyle w:val="Subst"/>
          <w:bCs/>
          <w:iCs/>
        </w:rPr>
        <w:t xml:space="preserve"> Шустров Андрей Анатольевич</w:t>
      </w:r>
    </w:p>
    <w:p w:rsidR="000C4574" w:rsidRDefault="000C4574">
      <w:pPr>
        <w:ind w:left="200"/>
      </w:pPr>
      <w:r>
        <w:t>Год рождения:</w:t>
      </w:r>
      <w:r>
        <w:rPr>
          <w:rStyle w:val="Subst"/>
          <w:bCs/>
          <w:iCs/>
        </w:rPr>
        <w:t xml:space="preserve"> 1970</w:t>
      </w:r>
    </w:p>
    <w:p w:rsidR="000C4574" w:rsidRDefault="000C4574">
      <w:pPr>
        <w:pStyle w:val="ThinDelim"/>
      </w:pPr>
    </w:p>
    <w:p w:rsidR="000C4574" w:rsidRDefault="000C4574">
      <w:pPr>
        <w:ind w:left="200"/>
      </w:pPr>
      <w:r>
        <w:t>Образование:</w:t>
      </w:r>
      <w:r>
        <w:br/>
      </w:r>
      <w:r>
        <w:rPr>
          <w:rStyle w:val="Subst"/>
          <w:bCs/>
          <w:iCs/>
        </w:rPr>
        <w:t>высшее, окончил саратовскую государственную академию права, 1995 год, специальность – юриспруденция, квалификация - юрист</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11.2001</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Главный юрисконсульт договорно-правовго отдела, главный специалист правовой поддержки специальных проектов, начальник отдела правовой поддержки специальных проектов, начальник юридического департамента</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t>ФИО:</w:t>
      </w:r>
      <w:r>
        <w:rPr>
          <w:rStyle w:val="Subst"/>
          <w:bCs/>
          <w:iCs/>
        </w:rPr>
        <w:t xml:space="preserve"> Трухачев Андрей Николаевич</w:t>
      </w:r>
    </w:p>
    <w:p w:rsidR="000C4574" w:rsidRDefault="000C4574">
      <w:pPr>
        <w:ind w:left="200"/>
      </w:pPr>
      <w:r>
        <w:t>Год рождения:</w:t>
      </w:r>
      <w:r>
        <w:rPr>
          <w:rStyle w:val="Subst"/>
          <w:bCs/>
          <w:iCs/>
        </w:rPr>
        <w:t xml:space="preserve"> 1964</w:t>
      </w:r>
    </w:p>
    <w:p w:rsidR="000C4574" w:rsidRDefault="000C4574">
      <w:pPr>
        <w:pStyle w:val="ThinDelim"/>
      </w:pPr>
    </w:p>
    <w:p w:rsidR="000C4574" w:rsidRDefault="000C4574">
      <w:pPr>
        <w:ind w:left="200"/>
      </w:pPr>
      <w:r>
        <w:t>Образование:</w:t>
      </w:r>
      <w:r>
        <w:br/>
      </w:r>
      <w:r>
        <w:rPr>
          <w:rStyle w:val="Subst"/>
          <w:bCs/>
          <w:iCs/>
        </w:rPr>
        <w:t>Московский институт нефтехимической и газовой промыленности им. И.М. Губкина, квалификация – горный инженер</w:t>
      </w:r>
      <w:r>
        <w:rPr>
          <w:rStyle w:val="Subst"/>
          <w:bCs/>
          <w:iCs/>
        </w:rPr>
        <w:br/>
        <w:t>Московский институт нефти и газа им. И.М. Губкина, квалификация - инженер-исследователь, кандидат технических наук</w:t>
      </w:r>
      <w:r>
        <w:rPr>
          <w:rStyle w:val="Subst"/>
          <w:bCs/>
          <w:iCs/>
        </w:rPr>
        <w:br/>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10.1997</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01.2007</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"Сибнефть"</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 xml:space="preserve">Начальник Департамента планирования и маркетинга, заместитель начальника Департамента маркетинга и оперативного планирования - начальник отдела развития, заместитель начальника Департамента региональных </w:t>
            </w:r>
            <w:r>
              <w:lastRenderedPageBreak/>
              <w:t>связей, заместитель начальника Департамента корпоративного управления - начальник отдела управления собственностью, заместитель начальника Управления корпоративной политики - начальник Департамента корпоративного управления</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lastRenderedPageBreak/>
              <w:t>01.2007</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Вице-президент по корпоративным отношениям</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t>ФИО:</w:t>
      </w:r>
      <w:r>
        <w:rPr>
          <w:rStyle w:val="Subst"/>
          <w:bCs/>
          <w:iCs/>
        </w:rPr>
        <w:t xml:space="preserve"> Черкасов Андрей Борисович</w:t>
      </w:r>
    </w:p>
    <w:p w:rsidR="000C4574" w:rsidRDefault="000C4574">
      <w:pPr>
        <w:ind w:left="200"/>
      </w:pPr>
      <w:r>
        <w:t>Год рождения:</w:t>
      </w:r>
      <w:r>
        <w:rPr>
          <w:rStyle w:val="Subst"/>
          <w:bCs/>
          <w:iCs/>
        </w:rPr>
        <w:t xml:space="preserve"> 1963</w:t>
      </w:r>
    </w:p>
    <w:p w:rsidR="000C4574" w:rsidRDefault="000C4574">
      <w:pPr>
        <w:pStyle w:val="ThinDelim"/>
      </w:pPr>
    </w:p>
    <w:p w:rsidR="000C4574" w:rsidRDefault="000C4574">
      <w:pPr>
        <w:ind w:left="200"/>
      </w:pPr>
      <w:r>
        <w:t>Образование:</w:t>
      </w:r>
      <w:r>
        <w:br/>
      </w:r>
      <w:r>
        <w:rPr>
          <w:rStyle w:val="Subst"/>
          <w:bCs/>
          <w:iCs/>
        </w:rPr>
        <w:t>Томский ордена Октябрьской Революции и ордена Трудового красного знамени политехнический институт им. С.М. Кирова, квалификация – горный инженер - геолог</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10.2005</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04.2006</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ЗАО "Машиностроительное НПО "Борец"</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Зам. генерального директора по нефтепромысловому бизнесу</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04.2006</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05.2007</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"Газпромнефть"</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Зам. начальника Департамента добычи нефти и газа Управления добычи нефти и газа</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05.2007</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 xml:space="preserve">по </w:t>
            </w:r>
            <w:r>
              <w:lastRenderedPageBreak/>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lastRenderedPageBreak/>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 xml:space="preserve">Руководитель Блока </w:t>
            </w:r>
            <w:r>
              <w:lastRenderedPageBreak/>
              <w:t>геологии</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pStyle w:val="2"/>
      </w:pPr>
      <w:r>
        <w:t>5.2.2. Информация о единоличном исполнительном органе эмитента</w:t>
      </w:r>
    </w:p>
    <w:p w:rsidR="000C4574" w:rsidRDefault="000C4574">
      <w:pPr>
        <w:ind w:left="200"/>
      </w:pPr>
    </w:p>
    <w:p w:rsidR="000C4574" w:rsidRDefault="000C4574">
      <w:pPr>
        <w:ind w:left="200"/>
      </w:pPr>
    </w:p>
    <w:p w:rsidR="000C4574" w:rsidRDefault="000C4574">
      <w:pPr>
        <w:ind w:left="200"/>
      </w:pPr>
      <w:r>
        <w:t>ФИО:</w:t>
      </w:r>
      <w:r>
        <w:rPr>
          <w:rStyle w:val="Subst"/>
          <w:bCs/>
          <w:iCs/>
        </w:rPr>
        <w:t xml:space="preserve"> Пирогов Олег  Викторович</w:t>
      </w:r>
    </w:p>
    <w:p w:rsidR="000C4574" w:rsidRDefault="000C4574">
      <w:pPr>
        <w:ind w:left="200"/>
      </w:pPr>
      <w:r>
        <w:t>Год рождения:</w:t>
      </w:r>
      <w:r>
        <w:rPr>
          <w:rStyle w:val="Subst"/>
          <w:bCs/>
          <w:iCs/>
        </w:rPr>
        <w:t xml:space="preserve"> 1966</w:t>
      </w:r>
    </w:p>
    <w:p w:rsidR="000C4574" w:rsidRDefault="000C4574">
      <w:pPr>
        <w:pStyle w:val="ThinDelim"/>
      </w:pPr>
    </w:p>
    <w:p w:rsidR="000C4574" w:rsidRDefault="000C4574">
      <w:pPr>
        <w:ind w:left="200"/>
      </w:pPr>
      <w:r>
        <w:t>Образование:</w:t>
      </w:r>
      <w:r>
        <w:br/>
      </w:r>
      <w:r>
        <w:rPr>
          <w:rStyle w:val="Subst"/>
          <w:bCs/>
          <w:iCs/>
        </w:rPr>
        <w:t>Тюменский индустриальный институт им. Ленинского комсомола</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05.2009</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ООО "СН-Нижневартовск"</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генеральный директор</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06.2006</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05.2009</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ТНК-ВР Менеджмент ОАО "Самотлорнефтегаз"</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Начальник базы по техническому обслуживанию, ремонту трубопроводов и ликвидации последствий аварии</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lastRenderedPageBreak/>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pStyle w:val="2"/>
      </w:pPr>
      <w:r>
        <w:t>5.2.3. Состав коллегиального исполнительного органа эмитента</w:t>
      </w:r>
    </w:p>
    <w:p w:rsidR="000C4574" w:rsidRDefault="000C4574">
      <w:pPr>
        <w:ind w:left="200"/>
      </w:pPr>
      <w:r>
        <w:t>ФИО:</w:t>
      </w:r>
      <w:r>
        <w:rPr>
          <w:rStyle w:val="Subst"/>
          <w:bCs/>
          <w:iCs/>
        </w:rPr>
        <w:t xml:space="preserve"> Пожарова Лина Николаевна</w:t>
      </w:r>
    </w:p>
    <w:p w:rsidR="000C4574" w:rsidRDefault="000C4574">
      <w:pPr>
        <w:ind w:left="200"/>
      </w:pPr>
      <w:r>
        <w:t>Год рождения:</w:t>
      </w:r>
      <w:r>
        <w:rPr>
          <w:rStyle w:val="Subst"/>
          <w:bCs/>
          <w:iCs/>
        </w:rPr>
        <w:t xml:space="preserve"> 1961</w:t>
      </w:r>
    </w:p>
    <w:p w:rsidR="000C4574" w:rsidRDefault="000C4574">
      <w:pPr>
        <w:pStyle w:val="ThinDelim"/>
      </w:pPr>
    </w:p>
    <w:p w:rsidR="000C4574" w:rsidRDefault="000C4574">
      <w:pPr>
        <w:ind w:left="200"/>
      </w:pPr>
      <w:r>
        <w:t>Образование:</w:t>
      </w:r>
      <w:r>
        <w:br/>
      </w:r>
      <w:r>
        <w:rPr>
          <w:rStyle w:val="Subst"/>
          <w:bCs/>
          <w:iCs/>
        </w:rPr>
        <w:t>высшее, Донецкий государственный университет</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11.2004</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09.2009</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"Интротест-Комплексные системы"</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главный бухгалтер</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09.2009</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"Обьнефтегазгеология"</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главный бухгалтер</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lastRenderedPageBreak/>
        <w:t>ФИО:</w:t>
      </w:r>
      <w:r>
        <w:rPr>
          <w:rStyle w:val="Subst"/>
          <w:bCs/>
          <w:iCs/>
        </w:rPr>
        <w:t xml:space="preserve"> Головнин Владимир Васильевич</w:t>
      </w:r>
    </w:p>
    <w:p w:rsidR="000C4574" w:rsidRDefault="000C4574">
      <w:pPr>
        <w:ind w:left="200"/>
      </w:pPr>
      <w:r>
        <w:t>Год рождения:</w:t>
      </w:r>
      <w:r>
        <w:rPr>
          <w:rStyle w:val="Subst"/>
          <w:bCs/>
          <w:iCs/>
        </w:rPr>
        <w:t xml:space="preserve"> 1961</w:t>
      </w:r>
    </w:p>
    <w:p w:rsidR="000C4574" w:rsidRDefault="000C4574">
      <w:pPr>
        <w:pStyle w:val="ThinDelim"/>
      </w:pPr>
    </w:p>
    <w:p w:rsidR="000C4574" w:rsidRDefault="000C4574">
      <w:pPr>
        <w:ind w:left="200"/>
      </w:pPr>
      <w:r>
        <w:t>Образование:</w:t>
      </w:r>
      <w:r>
        <w:br/>
      </w:r>
      <w:r>
        <w:rPr>
          <w:rStyle w:val="Subst"/>
          <w:bCs/>
          <w:iCs/>
        </w:rPr>
        <w:t>высшее. Московский институт нефтехимической и газовой промышленности им. Н.М.Губкина.</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10.2004</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12.2007</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ЗАО "Западносибирская промышленная компания"</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главный инженер</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01.2008</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06.2009</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ООО "Западно-Сибирская промышленная компания"</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главный инженер</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03.2010</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04.2010</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ООО "НАРС"</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заместитель начальника цеха</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04.2010</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05.2011</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ООО "Западно-Сибирская промышленная компания"</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начальник центральной инженерно-технологической службы</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05.2011</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07.2011</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ООО "Западно-Сибирская промышленная компания"</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заместитель генерального директора</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07.2011</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"Обьнефтегазгеология"</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заместитель генерального директора</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t>ФИО:</w:t>
      </w:r>
      <w:r>
        <w:rPr>
          <w:rStyle w:val="Subst"/>
          <w:bCs/>
          <w:iCs/>
        </w:rPr>
        <w:t xml:space="preserve"> Хвостова Лариса Михайловна</w:t>
      </w:r>
    </w:p>
    <w:p w:rsidR="000C4574" w:rsidRDefault="000C4574">
      <w:pPr>
        <w:ind w:left="200"/>
      </w:pPr>
      <w:r>
        <w:t>Год рождения:</w:t>
      </w:r>
      <w:r>
        <w:rPr>
          <w:rStyle w:val="Subst"/>
          <w:bCs/>
          <w:iCs/>
        </w:rPr>
        <w:t xml:space="preserve"> 1954</w:t>
      </w:r>
    </w:p>
    <w:p w:rsidR="000C4574" w:rsidRDefault="000C4574">
      <w:pPr>
        <w:pStyle w:val="ThinDelim"/>
      </w:pPr>
    </w:p>
    <w:p w:rsidR="000C4574" w:rsidRDefault="000C4574">
      <w:pPr>
        <w:ind w:left="200"/>
      </w:pPr>
      <w:r>
        <w:t>Образование:</w:t>
      </w:r>
      <w:r>
        <w:br/>
      </w:r>
      <w:r>
        <w:rPr>
          <w:rStyle w:val="Subst"/>
          <w:bCs/>
          <w:iCs/>
        </w:rPr>
        <w:t>высшее, Бирский государственный педагогический институт</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07.1979</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05.1996</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Сургутская нефтегазоразведочная экспедиция</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инженер по организации труда в ООТиЗ, заместитель главного экономиста по налогообложению, заместитель главного бухгалтера по финансам и налогам, главный бухгалтер</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05.1996</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09.2010</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"Обьнефтегазгеология"</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главный бухгалтер, заместитель генерального директора по экономике и финансам</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10.2010</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10.2012</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ООО "Обь геология"</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заместитель генерального директора по экономике и финансам</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11.2012</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02.2013</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ООО "Мегион геология"</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заместитель генерального директора по экономике и финансам</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02.2013</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"Обьнефтегазгеология"</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заместитель генерального директора по экономике и финансам</w:t>
            </w:r>
          </w:p>
        </w:tc>
      </w:tr>
    </w:tbl>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pStyle w:val="2"/>
      </w:pPr>
      <w:r>
        <w:t>5.3. Сведения о размере вознаграждения, льгот и/или компенсации расходов по каждому органу управления эмитента</w:t>
      </w:r>
    </w:p>
    <w:p w:rsidR="000C4574" w:rsidRDefault="000C4574">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0C4574" w:rsidRDefault="000C4574">
      <w:pPr>
        <w:pStyle w:val="SubHeading"/>
        <w:ind w:left="200"/>
      </w:pPr>
      <w:r>
        <w:t>Совет директоров</w:t>
      </w:r>
    </w:p>
    <w:p w:rsidR="000C4574" w:rsidRDefault="000C4574">
      <w:pPr>
        <w:ind w:left="400"/>
      </w:pPr>
      <w:r>
        <w:t>Единица измерения:</w:t>
      </w:r>
      <w:r>
        <w:rPr>
          <w:rStyle w:val="Subst"/>
          <w:bCs/>
          <w:iCs/>
        </w:rPr>
        <w:t xml:space="preserve"> тыс. руб.</w:t>
      </w:r>
    </w:p>
    <w:p w:rsidR="000C4574" w:rsidRDefault="000C4574">
      <w:pPr>
        <w:pStyle w:val="ThinDelim"/>
      </w:pPr>
    </w:p>
    <w:tbl>
      <w:tblPr>
        <w:tblW w:w="0" w:type="auto"/>
        <w:tblLayout w:type="fixed"/>
        <w:tblCellMar>
          <w:left w:w="72" w:type="dxa"/>
          <w:right w:w="72" w:type="dxa"/>
        </w:tblCellMar>
        <w:tblLook w:val="0000"/>
      </w:tblPr>
      <w:tblGrid>
        <w:gridCol w:w="6492"/>
        <w:gridCol w:w="1360"/>
        <w:gridCol w:w="1400"/>
      </w:tblGrid>
      <w:tr w:rsidR="000C457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0C4574" w:rsidRDefault="000C457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C4574" w:rsidRDefault="000C4574">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0C4574" w:rsidRDefault="000C4574">
            <w:pPr>
              <w:jc w:val="center"/>
            </w:pPr>
            <w:r>
              <w:t>2014, 3 мес.</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lastRenderedPageBreak/>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Премии</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Комиссионные</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Льготы</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0C4574" w:rsidRDefault="000C4574">
            <w:r>
              <w:t>ИТОГО</w:t>
            </w:r>
          </w:p>
        </w:tc>
        <w:tc>
          <w:tcPr>
            <w:tcW w:w="1360" w:type="dxa"/>
            <w:tcBorders>
              <w:top w:val="single" w:sz="6" w:space="0" w:color="auto"/>
              <w:left w:val="single" w:sz="6" w:space="0" w:color="auto"/>
              <w:bottom w:val="doub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0C4574" w:rsidRDefault="000C4574">
            <w:pPr>
              <w:jc w:val="right"/>
            </w:pPr>
            <w:r>
              <w:t>0</w:t>
            </w:r>
          </w:p>
        </w:tc>
      </w:tr>
    </w:tbl>
    <w:p w:rsidR="000C4574" w:rsidRDefault="000C4574"/>
    <w:p w:rsidR="000C4574" w:rsidRDefault="000C4574">
      <w:pPr>
        <w:ind w:left="400"/>
      </w:pPr>
      <w:r>
        <w:t>Cведения о существующих соглашениях относительно таких выплат в текущем финансовом году:</w:t>
      </w:r>
      <w:r>
        <w:br/>
      </w:r>
    </w:p>
    <w:p w:rsidR="000C4574" w:rsidRDefault="000C4574">
      <w:pPr>
        <w:pStyle w:val="ThinDelim"/>
      </w:pPr>
    </w:p>
    <w:p w:rsidR="000C4574" w:rsidRDefault="000C4574">
      <w:pPr>
        <w:pStyle w:val="SubHeading"/>
        <w:ind w:left="200"/>
      </w:pPr>
      <w:r>
        <w:t>Коллегиальный исполнительный орган</w:t>
      </w:r>
    </w:p>
    <w:p w:rsidR="000C4574" w:rsidRDefault="000C4574">
      <w:pPr>
        <w:ind w:left="400"/>
      </w:pPr>
      <w:r>
        <w:t>Единица измерения:</w:t>
      </w:r>
      <w:r>
        <w:rPr>
          <w:rStyle w:val="Subst"/>
          <w:bCs/>
          <w:iCs/>
        </w:rPr>
        <w:t xml:space="preserve"> тыс. руб.</w:t>
      </w:r>
    </w:p>
    <w:p w:rsidR="000C4574" w:rsidRDefault="000C4574">
      <w:pPr>
        <w:pStyle w:val="ThinDelim"/>
      </w:pPr>
    </w:p>
    <w:tbl>
      <w:tblPr>
        <w:tblW w:w="0" w:type="auto"/>
        <w:tblLayout w:type="fixed"/>
        <w:tblCellMar>
          <w:left w:w="72" w:type="dxa"/>
          <w:right w:w="72" w:type="dxa"/>
        </w:tblCellMar>
        <w:tblLook w:val="0000"/>
      </w:tblPr>
      <w:tblGrid>
        <w:gridCol w:w="6492"/>
        <w:gridCol w:w="1360"/>
        <w:gridCol w:w="1400"/>
      </w:tblGrid>
      <w:tr w:rsidR="000C457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0C4574" w:rsidRDefault="000C457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C4574" w:rsidRDefault="000C4574">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0C4574" w:rsidRDefault="000C4574">
            <w:pPr>
              <w:jc w:val="center"/>
            </w:pPr>
            <w:r>
              <w:t>2014, 3 мес.</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7 973</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1 512</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Премии</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Комиссионные</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Льготы</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420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105</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0C4574" w:rsidRDefault="000C4574">
            <w:r>
              <w:t>ИТОГО</w:t>
            </w:r>
          </w:p>
        </w:tc>
        <w:tc>
          <w:tcPr>
            <w:tcW w:w="1360" w:type="dxa"/>
            <w:tcBorders>
              <w:top w:val="single" w:sz="6" w:space="0" w:color="auto"/>
              <w:left w:val="single" w:sz="6" w:space="0" w:color="auto"/>
              <w:bottom w:val="double" w:sz="6" w:space="0" w:color="auto"/>
              <w:right w:val="single" w:sz="6" w:space="0" w:color="auto"/>
            </w:tcBorders>
          </w:tcPr>
          <w:p w:rsidR="000C4574" w:rsidRDefault="000C4574">
            <w:pPr>
              <w:jc w:val="right"/>
            </w:pPr>
            <w:r>
              <w:t>8 393</w:t>
            </w:r>
          </w:p>
        </w:tc>
        <w:tc>
          <w:tcPr>
            <w:tcW w:w="1400" w:type="dxa"/>
            <w:tcBorders>
              <w:top w:val="single" w:sz="6" w:space="0" w:color="auto"/>
              <w:left w:val="single" w:sz="6" w:space="0" w:color="auto"/>
              <w:bottom w:val="double" w:sz="6" w:space="0" w:color="auto"/>
              <w:right w:val="double" w:sz="6" w:space="0" w:color="auto"/>
            </w:tcBorders>
          </w:tcPr>
          <w:p w:rsidR="000C4574" w:rsidRDefault="000C4574">
            <w:pPr>
              <w:jc w:val="right"/>
            </w:pPr>
            <w:r>
              <w:t>1 617</w:t>
            </w:r>
          </w:p>
        </w:tc>
      </w:tr>
    </w:tbl>
    <w:p w:rsidR="000C4574" w:rsidRDefault="000C4574"/>
    <w:p w:rsidR="000C4574" w:rsidRDefault="000C4574">
      <w:pPr>
        <w:ind w:left="400"/>
      </w:pPr>
      <w:r>
        <w:t>Cведения о существующих соглашениях относительно таких выплат в текущем финансовом году:</w:t>
      </w:r>
      <w:r>
        <w:br/>
      </w:r>
      <w:r>
        <w:rPr>
          <w:rStyle w:val="Subst"/>
          <w:bCs/>
          <w:iCs/>
        </w:rPr>
        <w:t>Указанных фактов не было</w:t>
      </w:r>
    </w:p>
    <w:p w:rsidR="000C4574" w:rsidRDefault="000C4574">
      <w:pPr>
        <w:pStyle w:val="ThinDelim"/>
      </w:pPr>
    </w:p>
    <w:p w:rsidR="000C4574" w:rsidRDefault="000C4574">
      <w:pPr>
        <w:pStyle w:val="2"/>
      </w:pPr>
      <w:r>
        <w:t>5.4. Сведения о структуре и компетенции органов контроля за финансово-хозяйственной деятельностью эмитента</w:t>
      </w:r>
    </w:p>
    <w:p w:rsidR="000C4574" w:rsidRDefault="000C4574">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bCs/>
          <w:iCs/>
        </w:rPr>
        <w:t>Орган контроля за финансово-хозяйственной деятельностью эмитента - ревизионная комиссия.</w:t>
      </w:r>
      <w:r>
        <w:rPr>
          <w:rStyle w:val="Subst"/>
          <w:bCs/>
          <w:iCs/>
        </w:rPr>
        <w:br/>
        <w:t>1. Члены Ревизионной комиссии в количестве не менее  трех человек избираются Собранием акционеров Общества.</w:t>
      </w:r>
      <w:r>
        <w:rPr>
          <w:rStyle w:val="Subst"/>
          <w:bCs/>
          <w:iCs/>
        </w:rPr>
        <w:br/>
        <w:t>В период, когда число акционеров - владельцев обыкновенных акций Общества более одной тысячи, избрание членов Ревизионной комиссии производится кумулятивным голосованием в порядке, предусмотренном пунктом 8.6. настоящего устава. В период, когда число акционеров - владельцев обыкновенных акций Общества менее одной тысячи, избрание членов  Ревизионной комиссии по решению Собрания  акционеров может осуществляться как кумулятивным голосованием, так и простым большинством голосов от числа присутствующих  акционеров.</w:t>
      </w:r>
      <w:r>
        <w:rPr>
          <w:rStyle w:val="Subst"/>
          <w:bCs/>
          <w:iCs/>
        </w:rPr>
        <w:br/>
        <w:t>Акции, принадлежащие членам Совета директоров, Правления Общества или Генеральному директору, не могут участвовать в голосовании при избрании членов Ревизионной комиссии.</w:t>
      </w:r>
      <w:r>
        <w:rPr>
          <w:rStyle w:val="Subst"/>
          <w:bCs/>
          <w:iCs/>
        </w:rPr>
        <w:br/>
        <w:t>Ревизионная комиссия самостоятельно  избирает своего Председателя.</w:t>
      </w:r>
      <w:r>
        <w:rPr>
          <w:rStyle w:val="Subst"/>
          <w:bCs/>
          <w:iCs/>
        </w:rPr>
        <w:br/>
        <w:t>2. Порядок деятельности Ревизионной комиссии устанавливается Положением о Ревизионной комиссии, утверждаемым Собранием акционеров.</w:t>
      </w:r>
      <w:r>
        <w:rPr>
          <w:rStyle w:val="Subst"/>
          <w:bCs/>
          <w:iCs/>
        </w:rPr>
        <w:br/>
        <w:t>3. Члены Ревизионной комиссии не могут являться членами Совета директоров, Правления Общества, Генеральным директором.</w:t>
      </w:r>
      <w:r>
        <w:rPr>
          <w:rStyle w:val="Subst"/>
          <w:bCs/>
          <w:iCs/>
        </w:rPr>
        <w:br/>
        <w:t>4. Проверка финансово-хозяйственной деятельности Общества Ревизионная комиссия осуществляет по итогам деятельности Общества за год, а также во всякое время по решению  Собрания акционеров, Совета директоров, по собственной инициативе или по требованию акционеров Общества, владеющих в совокупности не менее чем 10 процентами голосующих акций Общества.</w:t>
      </w:r>
      <w:r>
        <w:rPr>
          <w:rStyle w:val="Subst"/>
          <w:bCs/>
          <w:iCs/>
        </w:rPr>
        <w:br/>
        <w:t xml:space="preserve">Ревизионная комиссия представляет результаты проверки Собранию акционеров и Совету </w:t>
      </w:r>
      <w:r>
        <w:rPr>
          <w:rStyle w:val="Subst"/>
          <w:bCs/>
          <w:iCs/>
        </w:rPr>
        <w:lastRenderedPageBreak/>
        <w:t>директоров. Собранию акционеров Ревизионной комиссией представляется  исключительно заключение о достоверности данных годового отчета, годовой бухгалтерской отчетности, наличии или отсутствии фактов нарушения установленного порядка ведения бухгалтерского учета, а также правовых актов Российской Федерации. Кроме заключения, Ревизионная комиссия представляет Совету директоров отчет о результатах проверки, содержащий конкретные выводы и материалы проверки, рекомендации по устранению нарушений и улучшению бухгалтерского учета.</w:t>
      </w:r>
      <w:r>
        <w:rPr>
          <w:rStyle w:val="Subst"/>
          <w:bCs/>
          <w:iCs/>
        </w:rPr>
        <w:br/>
        <w:t>Отчет по результатам годовой проверки Ревизионная комиссия представляет Совету директоров не позднее, чем за три дня до рассмотрения Советом директоров на годовом заседании годового отчета Общества, годовой бухгалтерской отчетности, распределения прибылей и убытков.</w:t>
      </w:r>
      <w:r>
        <w:rPr>
          <w:rStyle w:val="Subst"/>
          <w:bCs/>
          <w:iCs/>
        </w:rPr>
        <w:br/>
        <w:t>5. Ревизионная комиссия вправе потребовать  созыва внеочередного Собрания акционеров, если возникла серьезная угроза интересам Общества.</w:t>
      </w:r>
      <w:r>
        <w:rPr>
          <w:rStyle w:val="Subst"/>
          <w:bCs/>
          <w:iCs/>
        </w:rPr>
        <w:br/>
        <w:t>6. Ревизионная комиссия вправе потребовать проведения независимой аудиторской проверки работы Общества и сохранности принадлежащего Обществу имущества.</w:t>
      </w:r>
      <w:r>
        <w:rPr>
          <w:rStyle w:val="Subst"/>
          <w:bCs/>
          <w:iCs/>
        </w:rPr>
        <w:br/>
        <w:t>7.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bCs/>
          <w:iCs/>
        </w:rPr>
        <w:br/>
        <w:t>8. Члены Ревизионной комиссии несут личную ответственность перед Обществом за ущерб,  причиненный в результате разглашения ими сведений, составляющих предмет коммерческой тайны Общества.</w:t>
      </w:r>
      <w:r>
        <w:rPr>
          <w:rStyle w:val="Subst"/>
          <w:bCs/>
          <w:iCs/>
        </w:rPr>
        <w:br/>
        <w:t>9. Членам Ревизионной комиссии в период исполнения ими своих обязанностей по решению Собрания акционеров на основании рекомендации Совета директоров могут выплачиваться вознаграждение и (или) компенсироваться расходы, связанные с осуществлением ими своих обязанностей.</w:t>
      </w:r>
      <w:r>
        <w:rPr>
          <w:rStyle w:val="Subst"/>
          <w:bCs/>
          <w:iCs/>
        </w:rPr>
        <w:br/>
        <w:t>10. Для проведения проверки финансово-хозяйственной деятельности и подтверждения достоверности бухгалтерской отчетности Общество может привлекать внешних аудиторов из числа специализированных фирм, обладающих правом осуществления такой деятельности в соответствии с  действующим законодательством Российской Федерации.</w:t>
      </w:r>
      <w:r>
        <w:rPr>
          <w:rStyle w:val="Subst"/>
          <w:bCs/>
          <w:iCs/>
        </w:rPr>
        <w:br/>
        <w:t>Аудитор Общества утверждается решением  Собрания акционеров. Размер оплаты его услуг определяется Советом директоров.</w:t>
      </w:r>
      <w:r>
        <w:rPr>
          <w:rStyle w:val="Subst"/>
          <w:bCs/>
          <w:iCs/>
        </w:rPr>
        <w:br/>
        <w:t>Совет директоров рассматривает отчет об итогах аудиторской проверки бухгалтерской отчетности Общества на годовом заседании Совета директоров,  одновременно с рассмотрением годового отчета Общества, бухгалтерского баланса, отчета о прибылях и убытках, распределения прибылей и убытков. По решению Совета директоров могут производиться внеплановые аудиторские проверки.</w:t>
      </w:r>
      <w:r>
        <w:rPr>
          <w:rStyle w:val="Subst"/>
          <w:bCs/>
          <w:iCs/>
        </w:rPr>
        <w:br/>
        <w:t>11. Проверка финансово-хозяйственной деятельности Общества внешним аудитором должна быть осуществлена по требованию любых акционеров,  владеющих в совокупности не менее  чем  10 процентами акций Общества, в последнем случае услуги аудитора оплачиваются акционерами, потребовавшими такой проверки</w:t>
      </w:r>
      <w:r>
        <w:rPr>
          <w:rStyle w:val="Subst"/>
          <w:bCs/>
          <w:iCs/>
        </w:rPr>
        <w:br/>
      </w:r>
    </w:p>
    <w:p w:rsidR="000C4574" w:rsidRDefault="000C4574">
      <w:pPr>
        <w:pStyle w:val="2"/>
      </w:pPr>
      <w:r>
        <w:t>5.5. Информация о лицах, входящих в состав органов контроля за финансово-хозяйственной деятельностью эмитента</w:t>
      </w:r>
    </w:p>
    <w:p w:rsidR="000C4574" w:rsidRDefault="000C4574">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0C4574" w:rsidRDefault="000C4574">
      <w:pPr>
        <w:ind w:left="200"/>
      </w:pPr>
      <w:r>
        <w:t>ФИО:</w:t>
      </w:r>
      <w:r>
        <w:rPr>
          <w:rStyle w:val="Subst"/>
          <w:bCs/>
          <w:iCs/>
        </w:rPr>
        <w:t xml:space="preserve"> Виноградов Александр Александрович</w:t>
      </w:r>
    </w:p>
    <w:p w:rsidR="000C4574" w:rsidRDefault="000C4574">
      <w:pPr>
        <w:ind w:left="200"/>
      </w:pPr>
      <w:r>
        <w:t>Год рождения:</w:t>
      </w:r>
      <w:r>
        <w:rPr>
          <w:rStyle w:val="Subst"/>
          <w:bCs/>
          <w:iCs/>
        </w:rPr>
        <w:t xml:space="preserve"> 1981</w:t>
      </w:r>
    </w:p>
    <w:p w:rsidR="000C4574" w:rsidRDefault="000C4574">
      <w:pPr>
        <w:pStyle w:val="ThinDelim"/>
      </w:pPr>
    </w:p>
    <w:p w:rsidR="000C4574" w:rsidRDefault="000C4574">
      <w:pPr>
        <w:ind w:left="200"/>
      </w:pPr>
      <w:r>
        <w:t>Образование:</w:t>
      </w:r>
      <w:r>
        <w:br/>
      </w:r>
      <w:r>
        <w:rPr>
          <w:rStyle w:val="Subst"/>
          <w:bCs/>
          <w:iCs/>
        </w:rPr>
        <w:t>Ярославское высшее военное финансовое ордена Красной Звезды училище им. генерала армии А.В. Хрулева</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07.1991</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11.1991</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Ярославская дистанция сигнализации и связи Северной ж.д.</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Электромонтер СЦБ 2 разряда</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07.1992</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02.2000</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Прохождение службы в армии МО РФ</w:t>
            </w:r>
          </w:p>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lastRenderedPageBreak/>
              <w:t>04.2000</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11.2006</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ОАО "Славнефть-Ярославский нефтеперерабатывающий завод" им. Д.И. Менделеева</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Экономист финансового отдела, начальник финансового отдела заводоуправления</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r>
              <w:t>11.2006</w:t>
            </w:r>
          </w:p>
        </w:tc>
        <w:tc>
          <w:tcPr>
            <w:tcW w:w="1260" w:type="dxa"/>
            <w:tcBorders>
              <w:top w:val="single" w:sz="6" w:space="0" w:color="auto"/>
              <w:left w:val="single" w:sz="6" w:space="0" w:color="auto"/>
              <w:bottom w:val="single" w:sz="6" w:space="0" w:color="auto"/>
              <w:right w:val="single" w:sz="6" w:space="0" w:color="auto"/>
            </w:tcBorders>
          </w:tcPr>
          <w:p w:rsidR="000C4574" w:rsidRDefault="000C4574">
            <w:r>
              <w:t>04.2007</w:t>
            </w:r>
          </w:p>
        </w:tc>
        <w:tc>
          <w:tcPr>
            <w:tcW w:w="3980" w:type="dxa"/>
            <w:tcBorders>
              <w:top w:val="single" w:sz="6" w:space="0" w:color="auto"/>
              <w:left w:val="single" w:sz="6" w:space="0" w:color="auto"/>
              <w:bottom w:val="single" w:sz="6" w:space="0" w:color="auto"/>
              <w:right w:val="single" w:sz="6" w:space="0" w:color="auto"/>
            </w:tcBorders>
          </w:tcPr>
          <w:p w:rsidR="000C4574" w:rsidRDefault="000C4574">
            <w:r>
              <w:t>ЗАО "Строительное Управление № 5"</w:t>
            </w:r>
          </w:p>
        </w:tc>
        <w:tc>
          <w:tcPr>
            <w:tcW w:w="2680" w:type="dxa"/>
            <w:tcBorders>
              <w:top w:val="single" w:sz="6" w:space="0" w:color="auto"/>
              <w:left w:val="single" w:sz="6" w:space="0" w:color="auto"/>
              <w:bottom w:val="single" w:sz="6" w:space="0" w:color="auto"/>
              <w:right w:val="double" w:sz="6" w:space="0" w:color="auto"/>
            </w:tcBorders>
          </w:tcPr>
          <w:p w:rsidR="000C4574" w:rsidRDefault="000C4574">
            <w:r>
              <w:t>Заместитель генерального директора по финансовым вопросам</w:t>
            </w:r>
          </w:p>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04.2007</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Начальник отдела производства и сбыта нефтепродуктов Департамента экономики Блока экономики</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t>ФИО:</w:t>
      </w:r>
      <w:r>
        <w:rPr>
          <w:rStyle w:val="Subst"/>
          <w:bCs/>
          <w:iCs/>
        </w:rPr>
        <w:t xml:space="preserve"> Румянцева Татьяна Алексеевна</w:t>
      </w:r>
    </w:p>
    <w:p w:rsidR="000C4574" w:rsidRDefault="000C4574">
      <w:pPr>
        <w:ind w:left="200"/>
      </w:pPr>
      <w:r>
        <w:rPr>
          <w:rStyle w:val="Subst"/>
          <w:bCs/>
          <w:iCs/>
        </w:rPr>
        <w:t>(председатель)</w:t>
      </w:r>
    </w:p>
    <w:p w:rsidR="000C4574" w:rsidRDefault="000C4574">
      <w:pPr>
        <w:ind w:left="200"/>
      </w:pPr>
      <w:r>
        <w:t>Год рождения:</w:t>
      </w:r>
      <w:r>
        <w:rPr>
          <w:rStyle w:val="Subst"/>
          <w:bCs/>
          <w:iCs/>
        </w:rPr>
        <w:t xml:space="preserve"> 1975</w:t>
      </w:r>
    </w:p>
    <w:p w:rsidR="000C4574" w:rsidRDefault="000C4574">
      <w:pPr>
        <w:pStyle w:val="ThinDelim"/>
      </w:pPr>
    </w:p>
    <w:p w:rsidR="000C4574" w:rsidRDefault="000C4574">
      <w:pPr>
        <w:ind w:left="200"/>
      </w:pPr>
      <w:r>
        <w:t>Образование:</w:t>
      </w:r>
      <w:r>
        <w:br/>
      </w:r>
      <w:r>
        <w:rPr>
          <w:rStyle w:val="Subst"/>
          <w:bCs/>
          <w:iCs/>
        </w:rPr>
        <w:t>высшее, окончила Финансовую академию при Правительстве РФ</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06.1999</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"НГК Славнефть"</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Начальник Департамента, Заместитель начальника Департамента,, начальник отдела, главный специалист, ведущий специалист</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SubHeading"/>
        <w:ind w:left="200"/>
      </w:pPr>
      <w:r>
        <w:lastRenderedPageBreak/>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r>
        <w:t>ФИО:</w:t>
      </w:r>
      <w:r>
        <w:rPr>
          <w:rStyle w:val="Subst"/>
          <w:bCs/>
          <w:iCs/>
        </w:rPr>
        <w:t xml:space="preserve"> Блажко Надия Закировна</w:t>
      </w:r>
    </w:p>
    <w:p w:rsidR="000C4574" w:rsidRDefault="000C4574">
      <w:pPr>
        <w:ind w:left="200"/>
      </w:pPr>
      <w:r>
        <w:t>Год рождения:</w:t>
      </w:r>
      <w:r>
        <w:rPr>
          <w:rStyle w:val="Subst"/>
          <w:bCs/>
          <w:iCs/>
        </w:rPr>
        <w:t xml:space="preserve"> 1955</w:t>
      </w:r>
    </w:p>
    <w:p w:rsidR="000C4574" w:rsidRDefault="000C4574">
      <w:pPr>
        <w:pStyle w:val="ThinDelim"/>
      </w:pPr>
    </w:p>
    <w:p w:rsidR="000C4574" w:rsidRDefault="000C4574">
      <w:pPr>
        <w:ind w:left="200"/>
      </w:pPr>
      <w:r>
        <w:t>Образование:</w:t>
      </w:r>
      <w:r>
        <w:br/>
      </w:r>
      <w:r>
        <w:rPr>
          <w:rStyle w:val="Subst"/>
          <w:bCs/>
          <w:iCs/>
        </w:rPr>
        <w:t>Маргиланский планово-экономический техникум им. Ленинского комсомола, квалификация - бухгалтер</w:t>
      </w:r>
    </w:p>
    <w:p w:rsidR="000C4574" w:rsidRDefault="000C4574">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C4574" w:rsidRDefault="000C4574">
      <w:pPr>
        <w:pStyle w:val="ThinDelim"/>
      </w:pPr>
    </w:p>
    <w:tbl>
      <w:tblPr>
        <w:tblW w:w="0" w:type="auto"/>
        <w:tblLayout w:type="fixed"/>
        <w:tblCellMar>
          <w:left w:w="72" w:type="dxa"/>
          <w:right w:w="72" w:type="dxa"/>
        </w:tblCellMar>
        <w:tblLook w:val="0000"/>
      </w:tblPr>
      <w:tblGrid>
        <w:gridCol w:w="1332"/>
        <w:gridCol w:w="1260"/>
        <w:gridCol w:w="3980"/>
        <w:gridCol w:w="2680"/>
      </w:tblGrid>
      <w:tr w:rsidR="000C4574">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0C4574" w:rsidRDefault="000C4574">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C4574" w:rsidRDefault="000C4574">
            <w:pPr>
              <w:jc w:val="center"/>
            </w:pPr>
            <w:r>
              <w:t>Должность</w:t>
            </w:r>
          </w:p>
        </w:tc>
      </w:tr>
      <w:tr w:rsidR="000C4574">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0C4574" w:rsidRDefault="000C4574">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C4574" w:rsidRDefault="000C4574">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C4574" w:rsidRDefault="000C4574"/>
        </w:tc>
        <w:tc>
          <w:tcPr>
            <w:tcW w:w="26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0C4574" w:rsidRDefault="000C4574">
            <w:r>
              <w:t>02.2003</w:t>
            </w:r>
          </w:p>
        </w:tc>
        <w:tc>
          <w:tcPr>
            <w:tcW w:w="1260" w:type="dxa"/>
            <w:tcBorders>
              <w:top w:val="single" w:sz="6" w:space="0" w:color="auto"/>
              <w:left w:val="single" w:sz="6" w:space="0" w:color="auto"/>
              <w:bottom w:val="double" w:sz="6" w:space="0" w:color="auto"/>
              <w:right w:val="single" w:sz="6" w:space="0" w:color="auto"/>
            </w:tcBorders>
          </w:tcPr>
          <w:p w:rsidR="000C4574" w:rsidRDefault="000C4574">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0C4574" w:rsidRDefault="000C4574">
            <w:r>
              <w:t>ОАО "Обьнефтегазгеология"</w:t>
            </w:r>
          </w:p>
        </w:tc>
        <w:tc>
          <w:tcPr>
            <w:tcW w:w="2680" w:type="dxa"/>
            <w:tcBorders>
              <w:top w:val="single" w:sz="6" w:space="0" w:color="auto"/>
              <w:left w:val="single" w:sz="6" w:space="0" w:color="auto"/>
              <w:bottom w:val="double" w:sz="6" w:space="0" w:color="auto"/>
              <w:right w:val="double" w:sz="6" w:space="0" w:color="auto"/>
            </w:tcBorders>
          </w:tcPr>
          <w:p w:rsidR="000C4574" w:rsidRDefault="000C4574">
            <w:r>
              <w:t>ведущий бухгалтер, и.о. главного бухгалтера, заместитель главного бухгалтера</w:t>
            </w:r>
          </w:p>
        </w:tc>
      </w:tr>
    </w:tbl>
    <w:p w:rsidR="000C4574" w:rsidRDefault="000C4574"/>
    <w:p w:rsidR="000C4574" w:rsidRDefault="000C4574">
      <w:pPr>
        <w:pStyle w:val="ThinDelim"/>
      </w:pPr>
    </w:p>
    <w:p w:rsidR="000C4574" w:rsidRDefault="000C4574">
      <w:pPr>
        <w:ind w:left="200"/>
      </w:pPr>
      <w:r>
        <w:rPr>
          <w:rStyle w:val="Subst"/>
          <w:bCs/>
          <w:iCs/>
        </w:rPr>
        <w:t>Доли участия в уставном капитале эмитента/обыкновенных акций не имеет</w:t>
      </w:r>
    </w:p>
    <w:p w:rsidR="000C4574" w:rsidRDefault="000C4574">
      <w:pPr>
        <w:pStyle w:val="ThinDelim"/>
      </w:pPr>
    </w:p>
    <w:p w:rsidR="000C4574" w:rsidRDefault="000C4574">
      <w:pPr>
        <w:pStyle w:val="SubHeading"/>
        <w:ind w:left="200"/>
      </w:pPr>
      <w:r>
        <w:t>Доли участия лица в уставном (складочном) капитале (паевом фонде) дочерних и зависимых обществ эмитента</w:t>
      </w:r>
    </w:p>
    <w:p w:rsidR="000C4574" w:rsidRDefault="000C4574">
      <w:pPr>
        <w:ind w:left="400"/>
      </w:pPr>
      <w:r>
        <w:rPr>
          <w:rStyle w:val="Subst"/>
          <w:bCs/>
          <w:iCs/>
        </w:rPr>
        <w:t>Лицо указанных долей не имеет</w:t>
      </w:r>
    </w:p>
    <w:p w:rsidR="000C4574" w:rsidRDefault="000C4574">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C4574" w:rsidRDefault="000C4574">
      <w:pPr>
        <w:ind w:left="400"/>
      </w:pPr>
      <w:r>
        <w:rPr>
          <w:rStyle w:val="Subst"/>
          <w:bCs/>
          <w:iCs/>
        </w:rPr>
        <w:t>Указанных родственных связей нет</w:t>
      </w:r>
    </w:p>
    <w:p w:rsidR="000C4574" w:rsidRDefault="000C4574">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C4574" w:rsidRDefault="000C4574">
      <w:pPr>
        <w:ind w:left="400"/>
      </w:pPr>
      <w:r>
        <w:rPr>
          <w:rStyle w:val="Subst"/>
          <w:bCs/>
          <w:iCs/>
        </w:rPr>
        <w:t>Лицо к указанным видам ответственности не привлекалось</w:t>
      </w:r>
    </w:p>
    <w:p w:rsidR="000C4574" w:rsidRDefault="000C4574">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C4574" w:rsidRDefault="000C4574">
      <w:pPr>
        <w:ind w:left="400"/>
      </w:pPr>
      <w:r>
        <w:rPr>
          <w:rStyle w:val="Subst"/>
          <w:bCs/>
          <w:iCs/>
        </w:rPr>
        <w:t>Лицо указанных должностей не занимало</w:t>
      </w:r>
    </w:p>
    <w:p w:rsidR="000C4574" w:rsidRDefault="000C4574">
      <w:pPr>
        <w:ind w:left="200"/>
      </w:pPr>
    </w:p>
    <w:p w:rsidR="000C4574" w:rsidRDefault="000C4574">
      <w:pPr>
        <w:ind w:left="200"/>
      </w:pPr>
    </w:p>
    <w:p w:rsidR="000C4574" w:rsidRDefault="000C4574">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0C4574" w:rsidRDefault="000C4574">
      <w:pPr>
        <w:pStyle w:val="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0C4574" w:rsidRDefault="000C4574">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0C4574" w:rsidRDefault="000C4574">
      <w:pPr>
        <w:ind w:left="200"/>
      </w:pPr>
      <w:r>
        <w:t>Единица измерения:</w:t>
      </w:r>
      <w:r>
        <w:rPr>
          <w:rStyle w:val="Subst"/>
          <w:bCs/>
          <w:iCs/>
        </w:rPr>
        <w:t xml:space="preserve"> тыс. руб.</w:t>
      </w:r>
    </w:p>
    <w:p w:rsidR="000C4574" w:rsidRDefault="000C4574">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0C4574" w:rsidRDefault="000C4574">
      <w:pPr>
        <w:pStyle w:val="SubHeading"/>
        <w:ind w:left="200"/>
      </w:pPr>
      <w:r>
        <w:t>Вознаграждение за участие в работе органа контроля</w:t>
      </w:r>
    </w:p>
    <w:p w:rsidR="000C4574" w:rsidRDefault="000C4574">
      <w:pPr>
        <w:ind w:left="400"/>
      </w:pPr>
      <w:r>
        <w:t>Единица измерения:</w:t>
      </w:r>
      <w:r>
        <w:rPr>
          <w:rStyle w:val="Subst"/>
          <w:bCs/>
          <w:iCs/>
        </w:rPr>
        <w:t xml:space="preserve"> тыс. руб.</w:t>
      </w:r>
    </w:p>
    <w:p w:rsidR="000C4574" w:rsidRDefault="000C4574">
      <w:pPr>
        <w:pStyle w:val="ThinDelim"/>
      </w:pPr>
    </w:p>
    <w:tbl>
      <w:tblPr>
        <w:tblW w:w="0" w:type="auto"/>
        <w:tblLayout w:type="fixed"/>
        <w:tblCellMar>
          <w:left w:w="72" w:type="dxa"/>
          <w:right w:w="72" w:type="dxa"/>
        </w:tblCellMar>
        <w:tblLook w:val="0000"/>
      </w:tblPr>
      <w:tblGrid>
        <w:gridCol w:w="6492"/>
        <w:gridCol w:w="1360"/>
        <w:gridCol w:w="1400"/>
      </w:tblGrid>
      <w:tr w:rsidR="000C457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0C4574" w:rsidRDefault="000C457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C4574" w:rsidRDefault="000C4574">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0C4574" w:rsidRDefault="000C4574">
            <w:pPr>
              <w:jc w:val="center"/>
            </w:pPr>
            <w:r>
              <w:t>2014, 3 мес.</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Премии</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Комиссионные</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Льготы</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0C4574" w:rsidRDefault="000C4574">
            <w:r>
              <w:t>ИТОГО</w:t>
            </w:r>
          </w:p>
        </w:tc>
        <w:tc>
          <w:tcPr>
            <w:tcW w:w="1360" w:type="dxa"/>
            <w:tcBorders>
              <w:top w:val="single" w:sz="6" w:space="0" w:color="auto"/>
              <w:left w:val="single" w:sz="6" w:space="0" w:color="auto"/>
              <w:bottom w:val="doub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0C4574" w:rsidRDefault="000C4574">
            <w:pPr>
              <w:jc w:val="right"/>
            </w:pPr>
            <w:r>
              <w:t>0</w:t>
            </w:r>
          </w:p>
        </w:tc>
      </w:tr>
    </w:tbl>
    <w:p w:rsidR="000C4574" w:rsidRDefault="000C4574"/>
    <w:p w:rsidR="000C4574" w:rsidRDefault="000C4574">
      <w:pPr>
        <w:ind w:left="400"/>
      </w:pPr>
      <w:r>
        <w:t>Cведения о существующих соглашениях относительно таких выплат в текущем финансовом году:</w:t>
      </w:r>
      <w:r>
        <w:br/>
      </w:r>
      <w:r>
        <w:rPr>
          <w:rStyle w:val="Subst"/>
          <w:bCs/>
          <w:iCs/>
        </w:rPr>
        <w:t>Нет</w:t>
      </w:r>
    </w:p>
    <w:p w:rsidR="000C4574" w:rsidRDefault="000C4574">
      <w:pPr>
        <w:pStyle w:val="ThinDelim"/>
      </w:pPr>
    </w:p>
    <w:p w:rsidR="000C4574" w:rsidRDefault="000C4574">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0C4574" w:rsidRDefault="000C4574">
      <w:pPr>
        <w:ind w:left="200"/>
      </w:pPr>
      <w:r>
        <w:t>Единица измерения:</w:t>
      </w:r>
      <w:r>
        <w:rPr>
          <w:rStyle w:val="Subst"/>
          <w:bCs/>
          <w:iCs/>
        </w:rPr>
        <w:t xml:space="preserve"> тыс. руб.</w:t>
      </w:r>
    </w:p>
    <w:p w:rsidR="000C4574" w:rsidRDefault="000C4574">
      <w:pPr>
        <w:pStyle w:val="ThinDelim"/>
      </w:pPr>
    </w:p>
    <w:tbl>
      <w:tblPr>
        <w:tblW w:w="0" w:type="auto"/>
        <w:tblLayout w:type="fixed"/>
        <w:tblCellMar>
          <w:left w:w="72" w:type="dxa"/>
          <w:right w:w="72" w:type="dxa"/>
        </w:tblCellMar>
        <w:tblLook w:val="0000"/>
      </w:tblPr>
      <w:tblGrid>
        <w:gridCol w:w="6492"/>
        <w:gridCol w:w="1360"/>
        <w:gridCol w:w="1400"/>
      </w:tblGrid>
      <w:tr w:rsidR="000C4574">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0C4574" w:rsidRDefault="000C4574">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C4574" w:rsidRDefault="000C4574">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0C4574" w:rsidRDefault="000C4574">
            <w:pPr>
              <w:jc w:val="center"/>
            </w:pPr>
            <w:r>
              <w:t>2014, 3 мес.</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26</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25</w:t>
            </w:r>
          </w:p>
        </w:tc>
      </w:tr>
      <w:tr w:rsidR="000C4574">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0C4574" w:rsidRDefault="000C4574">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16 841</w:t>
            </w:r>
          </w:p>
        </w:tc>
        <w:tc>
          <w:tcPr>
            <w:tcW w:w="1400" w:type="dxa"/>
            <w:tcBorders>
              <w:top w:val="single" w:sz="6" w:space="0" w:color="auto"/>
              <w:left w:val="single" w:sz="6" w:space="0" w:color="auto"/>
              <w:bottom w:val="single" w:sz="6" w:space="0" w:color="auto"/>
              <w:right w:val="double" w:sz="6" w:space="0" w:color="auto"/>
            </w:tcBorders>
          </w:tcPr>
          <w:p w:rsidR="000C4574" w:rsidRDefault="000C4574" w:rsidP="00810DC3">
            <w:pPr>
              <w:jc w:val="right"/>
            </w:pPr>
            <w:r>
              <w:t>4 66</w:t>
            </w:r>
            <w:r w:rsidR="00810DC3">
              <w:t>5</w:t>
            </w:r>
          </w:p>
        </w:tc>
      </w:tr>
      <w:tr w:rsidR="000C4574">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0C4574" w:rsidRDefault="000C4574">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0C4574" w:rsidRDefault="000C4574">
            <w:pPr>
              <w:jc w:val="right"/>
            </w:pPr>
            <w:r>
              <w:t>4 005</w:t>
            </w:r>
          </w:p>
        </w:tc>
        <w:tc>
          <w:tcPr>
            <w:tcW w:w="1400" w:type="dxa"/>
            <w:tcBorders>
              <w:top w:val="single" w:sz="6" w:space="0" w:color="auto"/>
              <w:left w:val="single" w:sz="6" w:space="0" w:color="auto"/>
              <w:bottom w:val="double" w:sz="6" w:space="0" w:color="auto"/>
              <w:right w:val="double" w:sz="6" w:space="0" w:color="auto"/>
            </w:tcBorders>
          </w:tcPr>
          <w:p w:rsidR="000C4574" w:rsidRDefault="00810DC3" w:rsidP="00810DC3">
            <w:pPr>
              <w:jc w:val="right"/>
            </w:pPr>
            <w:r>
              <w:t>68</w:t>
            </w:r>
          </w:p>
        </w:tc>
      </w:tr>
    </w:tbl>
    <w:p w:rsidR="000C4574" w:rsidRDefault="000C4574"/>
    <w:p w:rsidR="000C4574" w:rsidRDefault="000C4574">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C4574" w:rsidRDefault="000C4574">
      <w:pPr>
        <w:ind w:left="200"/>
      </w:pPr>
      <w:r>
        <w:rPr>
          <w:rStyle w:val="Subst"/>
          <w:bCs/>
          <w:iCs/>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0C4574" w:rsidRDefault="000C4574">
      <w:pPr>
        <w:pStyle w:val="1"/>
      </w:pPr>
      <w:r>
        <w:lastRenderedPageBreak/>
        <w:t>VI. Сведения об участниках (акционерах) эмитента и о совершенных эмитентом сделках, в совершении которых имелась заинтересованность</w:t>
      </w:r>
    </w:p>
    <w:p w:rsidR="000C4574" w:rsidRDefault="000C4574">
      <w:pPr>
        <w:pStyle w:val="2"/>
      </w:pPr>
      <w:r>
        <w:t>6.1. Сведения об общем количестве акционеров (участников) эмитента</w:t>
      </w:r>
    </w:p>
    <w:p w:rsidR="000C4574" w:rsidRDefault="000C4574">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1 591</w:t>
      </w:r>
    </w:p>
    <w:p w:rsidR="000C4574" w:rsidRDefault="000C4574">
      <w:r>
        <w:t>Общее количество номинальных держателей акций эмитента:</w:t>
      </w:r>
      <w:r>
        <w:rPr>
          <w:rStyle w:val="Subst"/>
          <w:bCs/>
          <w:iCs/>
        </w:rPr>
        <w:t xml:space="preserve"> 3</w:t>
      </w:r>
    </w:p>
    <w:p w:rsidR="000C4574" w:rsidRDefault="000C4574">
      <w:pPr>
        <w:pStyle w:val="ThinDelim"/>
      </w:pPr>
    </w:p>
    <w:p w:rsidR="000C4574" w:rsidRDefault="000C4574">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1 668</w:t>
      </w:r>
    </w:p>
    <w:p w:rsidR="000C4574" w:rsidRDefault="000C4574">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02.05.2013</w:t>
      </w:r>
    </w:p>
    <w:p w:rsidR="000C4574" w:rsidRDefault="000C4574">
      <w:r>
        <w:t>Владельцы обыкновенных акций эмитента, которые подлежали включению в такой список:</w:t>
      </w:r>
      <w:r>
        <w:rPr>
          <w:rStyle w:val="Subst"/>
          <w:bCs/>
          <w:iCs/>
        </w:rPr>
        <w:t xml:space="preserve"> 1 668</w:t>
      </w:r>
    </w:p>
    <w:p w:rsidR="000C4574" w:rsidRDefault="000C4574">
      <w:r>
        <w:t>Владельцы привилегированных акций эмитента, которые подлежали включению в такой список:</w:t>
      </w:r>
      <w:r>
        <w:rPr>
          <w:rStyle w:val="Subst"/>
          <w:bCs/>
          <w:iCs/>
        </w:rPr>
        <w:t xml:space="preserve"> 268</w:t>
      </w:r>
    </w:p>
    <w:p w:rsidR="000C4574" w:rsidRDefault="000C4574">
      <w:pPr>
        <w:pStyle w:val="2"/>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0C4574" w:rsidRDefault="000C4574">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0C4574" w:rsidRDefault="000C4574">
      <w:pPr>
        <w:ind w:left="200"/>
      </w:pPr>
      <w:r>
        <w:rPr>
          <w:rStyle w:val="Subst"/>
          <w:bCs/>
          <w:iCs/>
        </w:rPr>
        <w:t>1.</w:t>
      </w:r>
    </w:p>
    <w:p w:rsidR="000C4574" w:rsidRDefault="000C4574">
      <w:pPr>
        <w:ind w:left="200"/>
      </w:pPr>
    </w:p>
    <w:p w:rsidR="000C4574" w:rsidRDefault="000C4574">
      <w:pPr>
        <w:ind w:left="200"/>
      </w:pPr>
      <w:r>
        <w:t>Полное фирменное наименование:</w:t>
      </w:r>
      <w:r>
        <w:rPr>
          <w:rStyle w:val="Subst"/>
          <w:bCs/>
          <w:iCs/>
        </w:rPr>
        <w:t xml:space="preserve"> Открытое акционерное общество "Нефтегазовая компания "Славнефть"</w:t>
      </w:r>
    </w:p>
    <w:p w:rsidR="000C4574" w:rsidRDefault="000C4574">
      <w:pPr>
        <w:ind w:left="200"/>
      </w:pPr>
      <w:r>
        <w:t>Сокращенное фирменное наименование:</w:t>
      </w:r>
      <w:r>
        <w:rPr>
          <w:rStyle w:val="Subst"/>
          <w:bCs/>
          <w:iCs/>
        </w:rPr>
        <w:t xml:space="preserve"> ОАО "НГК Славнефть"</w:t>
      </w:r>
    </w:p>
    <w:p w:rsidR="000C4574" w:rsidRDefault="000C4574">
      <w:pPr>
        <w:pStyle w:val="SubHeading"/>
        <w:ind w:left="200"/>
      </w:pPr>
      <w:r>
        <w:t>Место нахождения</w:t>
      </w:r>
    </w:p>
    <w:p w:rsidR="000C4574" w:rsidRDefault="000C4574">
      <w:pPr>
        <w:ind w:left="400"/>
      </w:pPr>
      <w:r>
        <w:rPr>
          <w:rStyle w:val="Subst"/>
          <w:bCs/>
          <w:iCs/>
        </w:rPr>
        <w:t>117526 Россия, Москва, 4-й Лесной переулок 4</w:t>
      </w:r>
    </w:p>
    <w:p w:rsidR="000C4574" w:rsidRDefault="000C4574">
      <w:pPr>
        <w:ind w:left="200"/>
      </w:pPr>
      <w:r>
        <w:t>ИНН:</w:t>
      </w:r>
      <w:r>
        <w:rPr>
          <w:rStyle w:val="Subst"/>
          <w:bCs/>
          <w:iCs/>
        </w:rPr>
        <w:t xml:space="preserve"> 7707017509</w:t>
      </w:r>
    </w:p>
    <w:p w:rsidR="000C4574" w:rsidRDefault="000C4574">
      <w:pPr>
        <w:ind w:left="200"/>
      </w:pPr>
      <w:r>
        <w:t>ОГРН:</w:t>
      </w:r>
      <w:r>
        <w:rPr>
          <w:rStyle w:val="Subst"/>
          <w:bCs/>
          <w:iCs/>
        </w:rPr>
        <w:t xml:space="preserve"> 1027739026270</w:t>
      </w:r>
    </w:p>
    <w:p w:rsidR="000C4574" w:rsidRDefault="000C4574">
      <w:pPr>
        <w:ind w:left="200"/>
      </w:pPr>
      <w:r>
        <w:t>Доля участия лица в уставном капитале эмитента:</w:t>
      </w:r>
      <w:r>
        <w:rPr>
          <w:rStyle w:val="Subst"/>
          <w:bCs/>
          <w:iCs/>
        </w:rPr>
        <w:t xml:space="preserve"> 79.66%</w:t>
      </w:r>
    </w:p>
    <w:p w:rsidR="000C4574" w:rsidRDefault="000C4574">
      <w:pPr>
        <w:ind w:left="200"/>
      </w:pPr>
      <w:r>
        <w:t>Доля принадлежащих лицу обыкновенных акций эмитента:</w:t>
      </w:r>
      <w:r>
        <w:rPr>
          <w:rStyle w:val="Subst"/>
          <w:bCs/>
          <w:iCs/>
        </w:rPr>
        <w:t xml:space="preserve"> 91.74%</w:t>
      </w:r>
    </w:p>
    <w:p w:rsidR="000C4574" w:rsidRDefault="000C4574">
      <w:pPr>
        <w:pStyle w:val="ThinDelim"/>
      </w:pPr>
    </w:p>
    <w:p w:rsidR="000C4574" w:rsidRDefault="000C4574">
      <w:pPr>
        <w:ind w:left="200"/>
      </w:pPr>
      <w:r>
        <w:t>Лица, контролирующие участника (акционера) эмитента</w:t>
      </w:r>
    </w:p>
    <w:p w:rsidR="000C4574" w:rsidRDefault="000C4574">
      <w:pPr>
        <w:ind w:left="200"/>
      </w:pPr>
    </w:p>
    <w:p w:rsidR="000C4574" w:rsidRDefault="000C4574">
      <w:pPr>
        <w:ind w:left="200"/>
      </w:pPr>
      <w:r>
        <w:rPr>
          <w:rStyle w:val="Subst"/>
          <w:bCs/>
          <w:iCs/>
        </w:rPr>
        <w:t>Информация об указанных лицах эмитенту не предоставлена (отсутствует)</w:t>
      </w:r>
    </w:p>
    <w:p w:rsidR="000C4574" w:rsidRDefault="000C4574">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0C4574" w:rsidRDefault="000C4574">
      <w:pPr>
        <w:ind w:left="400"/>
      </w:pPr>
      <w:r>
        <w:rPr>
          <w:rStyle w:val="Subst"/>
          <w:bCs/>
          <w:iCs/>
        </w:rPr>
        <w:t>Информация об указанных лицах эмитенту не предоставлена (отсутствует)</w:t>
      </w:r>
    </w:p>
    <w:p w:rsidR="000C4574" w:rsidRDefault="000C4574">
      <w:pPr>
        <w:ind w:left="200"/>
      </w:pPr>
      <w:r>
        <w:t>Иные сведения, указываемые эмитентом по собственному усмотрению:</w:t>
      </w:r>
      <w:r>
        <w:br/>
      </w:r>
    </w:p>
    <w:p w:rsidR="000C4574" w:rsidRDefault="000C4574">
      <w:pPr>
        <w:ind w:left="200"/>
      </w:pPr>
    </w:p>
    <w:p w:rsidR="000C4574" w:rsidRDefault="000C4574">
      <w:pPr>
        <w:ind w:left="200"/>
      </w:pPr>
      <w:r>
        <w:rPr>
          <w:rStyle w:val="Subst"/>
          <w:bCs/>
          <w:iCs/>
        </w:rPr>
        <w:t>2.Номинальный держатель</w:t>
      </w:r>
    </w:p>
    <w:p w:rsidR="000C4574" w:rsidRDefault="000C4574">
      <w:pPr>
        <w:ind w:left="200"/>
      </w:pPr>
      <w:r>
        <w:lastRenderedPageBreak/>
        <w:t>Информация о номинальном держателе:</w:t>
      </w:r>
    </w:p>
    <w:p w:rsidR="000C4574" w:rsidRDefault="000C4574">
      <w:pPr>
        <w:ind w:left="200"/>
      </w:pPr>
      <w:r>
        <w:t>Полное фирменное наименование:</w:t>
      </w:r>
      <w:r>
        <w:rPr>
          <w:rStyle w:val="Subst"/>
          <w:bCs/>
          <w:iCs/>
        </w:rPr>
        <w:t xml:space="preserve"> Общество с ограниченной ответственностью "ДИНК-ИНВЕСТ"</w:t>
      </w:r>
    </w:p>
    <w:p w:rsidR="000C4574" w:rsidRDefault="000C4574">
      <w:pPr>
        <w:ind w:left="200"/>
      </w:pPr>
      <w:r>
        <w:t>Сокращенное фирменное наименование:</w:t>
      </w:r>
      <w:r>
        <w:rPr>
          <w:rStyle w:val="Subst"/>
          <w:bCs/>
          <w:iCs/>
        </w:rPr>
        <w:t xml:space="preserve"> ЗАО "ДИНК-ИНВЕСТ"</w:t>
      </w:r>
    </w:p>
    <w:p w:rsidR="000C4574" w:rsidRDefault="000C4574">
      <w:pPr>
        <w:pStyle w:val="SubHeading"/>
        <w:ind w:left="200"/>
      </w:pPr>
      <w:r>
        <w:t>Место нахождения</w:t>
      </w:r>
    </w:p>
    <w:p w:rsidR="000C4574" w:rsidRDefault="000C4574">
      <w:pPr>
        <w:ind w:left="400"/>
      </w:pPr>
      <w:r>
        <w:rPr>
          <w:rStyle w:val="Subst"/>
          <w:bCs/>
          <w:iCs/>
        </w:rPr>
        <w:t>125284 Россия, г. Москва, Беговая 3 стр. 1</w:t>
      </w:r>
    </w:p>
    <w:p w:rsidR="000C4574" w:rsidRDefault="000C4574">
      <w:pPr>
        <w:ind w:left="200"/>
      </w:pPr>
      <w:r>
        <w:t>ИНН:</w:t>
      </w:r>
      <w:r>
        <w:rPr>
          <w:rStyle w:val="Subst"/>
          <w:bCs/>
          <w:iCs/>
        </w:rPr>
        <w:t xml:space="preserve"> 7730125647</w:t>
      </w:r>
    </w:p>
    <w:p w:rsidR="000C4574" w:rsidRDefault="000C4574">
      <w:pPr>
        <w:ind w:left="200"/>
      </w:pPr>
      <w:r>
        <w:t>ОГРН:</w:t>
      </w:r>
      <w:r>
        <w:rPr>
          <w:rStyle w:val="Subst"/>
          <w:bCs/>
          <w:iCs/>
        </w:rPr>
        <w:t xml:space="preserve"> 1027739462630</w:t>
      </w:r>
    </w:p>
    <w:p w:rsidR="000C4574" w:rsidRDefault="000C4574">
      <w:pPr>
        <w:ind w:left="200"/>
      </w:pPr>
      <w:r>
        <w:t>Телефон:</w:t>
      </w:r>
      <w:r>
        <w:rPr>
          <w:rStyle w:val="Subst"/>
          <w:bCs/>
          <w:iCs/>
        </w:rPr>
        <w:t xml:space="preserve"> (495) 363-6091</w:t>
      </w:r>
    </w:p>
    <w:p w:rsidR="000C4574" w:rsidRDefault="000C4574">
      <w:pPr>
        <w:ind w:left="200"/>
      </w:pPr>
      <w:r>
        <w:t>Факс:</w:t>
      </w:r>
      <w:r>
        <w:rPr>
          <w:rStyle w:val="Subst"/>
          <w:bCs/>
          <w:iCs/>
        </w:rPr>
        <w:t xml:space="preserve"> (495) 363-6091</w:t>
      </w:r>
    </w:p>
    <w:p w:rsidR="000C4574" w:rsidRDefault="000C4574">
      <w:pPr>
        <w:ind w:left="200"/>
      </w:pPr>
      <w:r>
        <w:t>Адрес электронной почты:</w:t>
      </w:r>
      <w:r>
        <w:rPr>
          <w:rStyle w:val="Subst"/>
          <w:bCs/>
          <w:iCs/>
        </w:rPr>
        <w:t xml:space="preserve"> www.dinc.ru</w:t>
      </w:r>
    </w:p>
    <w:p w:rsidR="000C4574" w:rsidRDefault="000C4574">
      <w:pPr>
        <w:ind w:left="200"/>
      </w:pPr>
    </w:p>
    <w:p w:rsidR="000C4574" w:rsidRDefault="000C4574">
      <w:pPr>
        <w:pStyle w:val="SubHeading"/>
        <w:ind w:left="200"/>
      </w:pPr>
      <w:r>
        <w:t>Сведения о лицензии профессионального участника рынка ценных бумаг</w:t>
      </w:r>
    </w:p>
    <w:p w:rsidR="000C4574" w:rsidRDefault="000C4574">
      <w:pPr>
        <w:ind w:left="400"/>
      </w:pPr>
      <w:r>
        <w:t>Номер:</w:t>
      </w:r>
      <w:r>
        <w:rPr>
          <w:rStyle w:val="Subst"/>
          <w:bCs/>
          <w:iCs/>
        </w:rPr>
        <w:t xml:space="preserve"> 177-08443-000100</w:t>
      </w:r>
    </w:p>
    <w:p w:rsidR="000C4574" w:rsidRDefault="000C4574">
      <w:pPr>
        <w:ind w:left="400"/>
      </w:pPr>
      <w:r>
        <w:t>Дата выдачи:</w:t>
      </w:r>
      <w:r>
        <w:rPr>
          <w:rStyle w:val="Subst"/>
          <w:bCs/>
          <w:iCs/>
        </w:rPr>
        <w:t xml:space="preserve"> 12.05.2005</w:t>
      </w:r>
    </w:p>
    <w:p w:rsidR="000C4574" w:rsidRDefault="000C4574">
      <w:pPr>
        <w:ind w:left="400"/>
      </w:pPr>
      <w:r>
        <w:t>Дата окончания действия:</w:t>
      </w:r>
    </w:p>
    <w:p w:rsidR="000C4574" w:rsidRDefault="000C4574">
      <w:pPr>
        <w:ind w:left="600"/>
      </w:pPr>
      <w:r>
        <w:rPr>
          <w:rStyle w:val="Subst"/>
          <w:bCs/>
          <w:iCs/>
        </w:rPr>
        <w:t>Бессрочная</w:t>
      </w:r>
    </w:p>
    <w:p w:rsidR="000C4574" w:rsidRDefault="000C4574">
      <w:pPr>
        <w:ind w:left="400"/>
      </w:pPr>
      <w:r>
        <w:t>Наименование органа, выдавшего лицензию:</w:t>
      </w:r>
      <w:r>
        <w:rPr>
          <w:rStyle w:val="Subst"/>
          <w:bCs/>
          <w:iCs/>
        </w:rPr>
        <w:t xml:space="preserve"> ФКЦБ (ФСФР) России</w:t>
      </w:r>
    </w:p>
    <w:p w:rsidR="000C4574" w:rsidRDefault="000C4574">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92 359</w:t>
      </w:r>
    </w:p>
    <w:p w:rsidR="000C4574" w:rsidRDefault="000C4574">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214 963</w:t>
      </w:r>
    </w:p>
    <w:p w:rsidR="000C4574" w:rsidRDefault="000C4574">
      <w:pPr>
        <w:pStyle w:val="ThinDelim"/>
      </w:pPr>
    </w:p>
    <w:p w:rsidR="000C4574" w:rsidRDefault="000C4574">
      <w:pPr>
        <w:ind w:left="200"/>
      </w:pPr>
      <w:r>
        <w:t>Иные сведения, указываемые эмитентом по собственному усмотрению:</w:t>
      </w:r>
      <w:r>
        <w:br/>
      </w:r>
    </w:p>
    <w:p w:rsidR="000C4574" w:rsidRDefault="000C4574">
      <w:pPr>
        <w:ind w:left="200"/>
      </w:pPr>
    </w:p>
    <w:p w:rsidR="000C4574" w:rsidRDefault="000C4574">
      <w:pPr>
        <w:ind w:left="200"/>
      </w:pPr>
      <w:r>
        <w:rPr>
          <w:rStyle w:val="Subst"/>
          <w:bCs/>
          <w:iCs/>
        </w:rPr>
        <w:t>3.</w:t>
      </w:r>
      <w:r>
        <w:t>Полное фирменное наименование:</w:t>
      </w:r>
      <w:r>
        <w:rPr>
          <w:rStyle w:val="Subst"/>
          <w:bCs/>
          <w:iCs/>
        </w:rPr>
        <w:t xml:space="preserve"> Небанковская кредитная организация закрытое акционерное общество "Национальный расчетный депозитарий"</w:t>
      </w:r>
    </w:p>
    <w:p w:rsidR="000C4574" w:rsidRDefault="000C4574">
      <w:pPr>
        <w:ind w:left="200"/>
      </w:pPr>
      <w:r>
        <w:t>Сокращенное фирменное наименование:</w:t>
      </w:r>
      <w:r>
        <w:rPr>
          <w:rStyle w:val="Subst"/>
          <w:bCs/>
          <w:iCs/>
        </w:rPr>
        <w:t xml:space="preserve"> НКО ЗАО "НРД"</w:t>
      </w:r>
    </w:p>
    <w:p w:rsidR="000C4574" w:rsidRDefault="000C4574">
      <w:pPr>
        <w:pStyle w:val="SubHeading"/>
        <w:ind w:left="200"/>
      </w:pPr>
      <w:r>
        <w:t>Место нахождения</w:t>
      </w:r>
    </w:p>
    <w:p w:rsidR="000C4574" w:rsidRDefault="000C4574">
      <w:pPr>
        <w:ind w:left="400"/>
      </w:pPr>
      <w:r>
        <w:rPr>
          <w:rStyle w:val="Subst"/>
          <w:bCs/>
          <w:iCs/>
        </w:rPr>
        <w:t>107066 Россия, Москва, ул. Спартаковская 12</w:t>
      </w:r>
    </w:p>
    <w:p w:rsidR="000C4574" w:rsidRDefault="000C4574">
      <w:pPr>
        <w:ind w:left="200"/>
      </w:pPr>
      <w:r>
        <w:t>ИНН:</w:t>
      </w:r>
      <w:r>
        <w:rPr>
          <w:rStyle w:val="Subst"/>
          <w:bCs/>
          <w:iCs/>
        </w:rPr>
        <w:t xml:space="preserve"> 7702165310</w:t>
      </w:r>
    </w:p>
    <w:p w:rsidR="000C4574" w:rsidRDefault="000C4574">
      <w:pPr>
        <w:ind w:left="200"/>
      </w:pPr>
      <w:r>
        <w:t>ОГРН:</w:t>
      </w:r>
      <w:r>
        <w:rPr>
          <w:rStyle w:val="Subst"/>
          <w:bCs/>
          <w:iCs/>
        </w:rPr>
        <w:t xml:space="preserve"> 1027739132563</w:t>
      </w:r>
    </w:p>
    <w:p w:rsidR="000C4574" w:rsidRDefault="000C4574">
      <w:pPr>
        <w:ind w:left="200"/>
      </w:pPr>
      <w:r>
        <w:t>Доля участия лица в уставном капитале эмитента:</w:t>
      </w:r>
      <w:r>
        <w:rPr>
          <w:rStyle w:val="Subst"/>
          <w:bCs/>
          <w:iCs/>
        </w:rPr>
        <w:t xml:space="preserve"> 5.6598%</w:t>
      </w:r>
    </w:p>
    <w:p w:rsidR="000C4574" w:rsidRDefault="000C4574">
      <w:pPr>
        <w:ind w:left="200"/>
      </w:pPr>
      <w:r>
        <w:t>Доля принадлежащих лицу обыкновенных акций эмитента:</w:t>
      </w:r>
      <w:r>
        <w:rPr>
          <w:rStyle w:val="Subst"/>
          <w:bCs/>
          <w:iCs/>
        </w:rPr>
        <w:t xml:space="preserve"> 3.2367%</w:t>
      </w:r>
    </w:p>
    <w:p w:rsidR="000C4574" w:rsidRDefault="000C4574">
      <w:pPr>
        <w:pStyle w:val="ThinDelim"/>
      </w:pPr>
    </w:p>
    <w:p w:rsidR="000C4574" w:rsidRDefault="000C4574">
      <w:pPr>
        <w:ind w:left="200"/>
      </w:pPr>
      <w:r>
        <w:t>Лица, контролирующие участника (акционера) эмитента</w:t>
      </w:r>
    </w:p>
    <w:p w:rsidR="000C4574" w:rsidRDefault="000C4574">
      <w:pPr>
        <w:ind w:left="200"/>
      </w:pPr>
    </w:p>
    <w:p w:rsidR="000C4574" w:rsidRDefault="000C4574">
      <w:pPr>
        <w:ind w:left="200"/>
      </w:pPr>
      <w:r>
        <w:rPr>
          <w:rStyle w:val="Subst"/>
          <w:bCs/>
          <w:iCs/>
        </w:rPr>
        <w:t>Информация об указанных лицах эмитенту не предоставлена (отсутствует)</w:t>
      </w:r>
    </w:p>
    <w:p w:rsidR="000C4574" w:rsidRDefault="000C4574">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0C4574" w:rsidRDefault="000C4574">
      <w:pPr>
        <w:ind w:left="400"/>
      </w:pPr>
      <w:r>
        <w:rPr>
          <w:rStyle w:val="Subst"/>
          <w:bCs/>
          <w:iCs/>
        </w:rPr>
        <w:t>Информация об указанных лицах эмитенту не предоставлена (отсутствует)</w:t>
      </w:r>
    </w:p>
    <w:p w:rsidR="000C4574" w:rsidRDefault="000C4574">
      <w:pPr>
        <w:ind w:left="200"/>
      </w:pPr>
      <w:r>
        <w:t>Иные сведения, указываемые эмитентом по собственному усмотрению:</w:t>
      </w:r>
      <w:r>
        <w:br/>
      </w:r>
    </w:p>
    <w:p w:rsidR="000C4574" w:rsidRDefault="000C4574">
      <w:pPr>
        <w:ind w:left="200"/>
      </w:pPr>
    </w:p>
    <w:p w:rsidR="000C4574" w:rsidRDefault="000C4574">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0C4574" w:rsidRDefault="000C4574">
      <w:pPr>
        <w:pStyle w:val="SubHeading"/>
        <w:ind w:left="200"/>
      </w:pPr>
      <w:r>
        <w:lastRenderedPageBreak/>
        <w:t>Сведения об управляющих государственными, муниципальными пакетами акций</w:t>
      </w:r>
    </w:p>
    <w:p w:rsidR="000C4574" w:rsidRDefault="000C4574">
      <w:pPr>
        <w:ind w:left="400"/>
      </w:pPr>
      <w:r>
        <w:rPr>
          <w:rStyle w:val="Subst"/>
          <w:bCs/>
          <w:iCs/>
        </w:rPr>
        <w:t>Указанных лиц нет</w:t>
      </w:r>
    </w:p>
    <w:p w:rsidR="000C4574" w:rsidRDefault="000C4574">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C4574" w:rsidRDefault="000C4574">
      <w:pPr>
        <w:ind w:left="400"/>
      </w:pPr>
      <w:r>
        <w:rPr>
          <w:rStyle w:val="Subst"/>
          <w:bCs/>
          <w:iCs/>
        </w:rPr>
        <w:t>Указанных лиц нет</w:t>
      </w:r>
    </w:p>
    <w:p w:rsidR="000C4574" w:rsidRDefault="000C4574">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C4574" w:rsidRDefault="000C4574">
      <w:pPr>
        <w:ind w:left="400"/>
      </w:pPr>
      <w:r>
        <w:rPr>
          <w:rStyle w:val="Subst"/>
          <w:bCs/>
          <w:iCs/>
        </w:rPr>
        <w:t>Указанное право не предусмотрено</w:t>
      </w:r>
    </w:p>
    <w:p w:rsidR="000C4574" w:rsidRDefault="000C4574">
      <w:pPr>
        <w:pStyle w:val="2"/>
      </w:pPr>
      <w:r>
        <w:t>6.4. Сведения об ограничениях на участие в уставном (складочном) капитале (паевом фонде) эмитента</w:t>
      </w:r>
    </w:p>
    <w:p w:rsidR="000C4574" w:rsidRDefault="000C4574">
      <w:pPr>
        <w:ind w:left="200"/>
      </w:pPr>
      <w:r>
        <w:rPr>
          <w:rStyle w:val="Subst"/>
          <w:bCs/>
          <w:iCs/>
        </w:rPr>
        <w:t>Ограничений на участие в уставном (складочном) капитале эмитента нет</w:t>
      </w:r>
    </w:p>
    <w:p w:rsidR="000C4574" w:rsidRDefault="000C4574">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0C4574" w:rsidRDefault="000C4574">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0C4574" w:rsidRDefault="000C4574">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06.05.2013</w:t>
      </w:r>
    </w:p>
    <w:p w:rsidR="000C4574" w:rsidRDefault="000C4574">
      <w:pPr>
        <w:pStyle w:val="SubHeading"/>
        <w:ind w:left="200"/>
      </w:pPr>
      <w:r>
        <w:t>Список акционеров (участников)</w:t>
      </w:r>
    </w:p>
    <w:p w:rsidR="000C4574" w:rsidRDefault="000C4574">
      <w:pPr>
        <w:ind w:left="400"/>
      </w:pPr>
      <w:r>
        <w:t>Полное фирменное наименование:</w:t>
      </w:r>
      <w:r>
        <w:rPr>
          <w:rStyle w:val="Subst"/>
          <w:bCs/>
          <w:iCs/>
        </w:rPr>
        <w:t xml:space="preserve"> Открытое акционерное общество "Нефтегазовая компания "Славнефть"</w:t>
      </w:r>
    </w:p>
    <w:p w:rsidR="000C4574" w:rsidRDefault="000C4574">
      <w:pPr>
        <w:ind w:left="400"/>
      </w:pPr>
      <w:r>
        <w:t>Сокращенное фирменное наименование:</w:t>
      </w:r>
      <w:r>
        <w:rPr>
          <w:rStyle w:val="Subst"/>
          <w:bCs/>
          <w:iCs/>
        </w:rPr>
        <w:t xml:space="preserve"> ОАО "НГК "Славнефть"</w:t>
      </w:r>
    </w:p>
    <w:p w:rsidR="000C4574" w:rsidRDefault="000C4574">
      <w:pPr>
        <w:ind w:left="400"/>
      </w:pPr>
      <w:r>
        <w:t>Место нахождения:</w:t>
      </w:r>
      <w:r>
        <w:rPr>
          <w:rStyle w:val="Subst"/>
          <w:bCs/>
          <w:iCs/>
        </w:rPr>
        <w:t xml:space="preserve"> 117526 Россия, Москва, 4-й Лесной переулок 4</w:t>
      </w:r>
    </w:p>
    <w:p w:rsidR="000C4574" w:rsidRDefault="000C4574">
      <w:pPr>
        <w:ind w:left="400"/>
      </w:pPr>
      <w:r>
        <w:t>ИНН:</w:t>
      </w:r>
      <w:r>
        <w:rPr>
          <w:rStyle w:val="Subst"/>
          <w:bCs/>
          <w:iCs/>
        </w:rPr>
        <w:t xml:space="preserve"> 7707017509</w:t>
      </w:r>
    </w:p>
    <w:p w:rsidR="000C4574" w:rsidRDefault="000C4574">
      <w:pPr>
        <w:ind w:left="400"/>
      </w:pPr>
      <w:r>
        <w:t>ОГРН:</w:t>
      </w:r>
      <w:r>
        <w:rPr>
          <w:rStyle w:val="Subst"/>
          <w:bCs/>
          <w:iCs/>
        </w:rPr>
        <w:t xml:space="preserve"> 1027739026270</w:t>
      </w:r>
    </w:p>
    <w:p w:rsidR="000C4574" w:rsidRDefault="000C4574">
      <w:pPr>
        <w:ind w:left="400"/>
      </w:pPr>
    </w:p>
    <w:p w:rsidR="000C4574" w:rsidRDefault="000C4574">
      <w:pPr>
        <w:ind w:left="400"/>
      </w:pPr>
      <w:r>
        <w:t>Доля участия лица в уставном капитале эмитента, %:</w:t>
      </w:r>
      <w:r>
        <w:rPr>
          <w:rStyle w:val="Subst"/>
          <w:bCs/>
          <w:iCs/>
        </w:rPr>
        <w:t xml:space="preserve"> 79.6674</w:t>
      </w:r>
    </w:p>
    <w:p w:rsidR="000C4574" w:rsidRDefault="000C4574">
      <w:pPr>
        <w:ind w:left="400"/>
      </w:pPr>
      <w:r>
        <w:t>Доля принадлежавших лицу обыкновенных акций эмитента, %:</w:t>
      </w:r>
      <w:r>
        <w:rPr>
          <w:rStyle w:val="Subst"/>
          <w:bCs/>
          <w:iCs/>
        </w:rPr>
        <w:t xml:space="preserve"> 91.7413</w:t>
      </w:r>
    </w:p>
    <w:p w:rsidR="000C4574" w:rsidRDefault="000C4574">
      <w:pPr>
        <w:ind w:left="400"/>
      </w:pPr>
    </w:p>
    <w:p w:rsidR="000C4574" w:rsidRDefault="000C4574">
      <w:pPr>
        <w:ind w:left="400"/>
      </w:pPr>
      <w:r>
        <w:t>Полное фирменное наименование:</w:t>
      </w:r>
      <w:r>
        <w:rPr>
          <w:rStyle w:val="Subst"/>
          <w:bCs/>
          <w:iCs/>
        </w:rPr>
        <w:t xml:space="preserve"> Общество с ограниченной ответственностью "ДИНК-ИНВЕСТ"</w:t>
      </w:r>
    </w:p>
    <w:p w:rsidR="000C4574" w:rsidRDefault="000C4574">
      <w:pPr>
        <w:ind w:left="400"/>
      </w:pPr>
      <w:r>
        <w:t>Сокращенное фирменное наименование:</w:t>
      </w:r>
      <w:r>
        <w:rPr>
          <w:rStyle w:val="Subst"/>
          <w:bCs/>
          <w:iCs/>
        </w:rPr>
        <w:t xml:space="preserve"> ООО "ДИНК-ИНВЕСТ"</w:t>
      </w:r>
    </w:p>
    <w:p w:rsidR="000C4574" w:rsidRDefault="000C4574">
      <w:pPr>
        <w:ind w:left="400"/>
      </w:pPr>
      <w:r>
        <w:t>Место нахождения:</w:t>
      </w:r>
      <w:r>
        <w:rPr>
          <w:rStyle w:val="Subst"/>
          <w:bCs/>
          <w:iCs/>
        </w:rPr>
        <w:t xml:space="preserve"> г. Москва ул. Беговая д. 3 стр. 1</w:t>
      </w:r>
    </w:p>
    <w:p w:rsidR="000C4574" w:rsidRDefault="000C4574">
      <w:pPr>
        <w:ind w:left="400"/>
      </w:pPr>
      <w:r>
        <w:t>ИНН:</w:t>
      </w:r>
      <w:r>
        <w:rPr>
          <w:rStyle w:val="Subst"/>
          <w:bCs/>
          <w:iCs/>
        </w:rPr>
        <w:t xml:space="preserve"> 7730125647</w:t>
      </w:r>
    </w:p>
    <w:p w:rsidR="000C4574" w:rsidRDefault="000C4574">
      <w:pPr>
        <w:ind w:left="400"/>
      </w:pPr>
      <w:r>
        <w:t>ОГРН:</w:t>
      </w:r>
      <w:r>
        <w:rPr>
          <w:rStyle w:val="Subst"/>
          <w:bCs/>
          <w:iCs/>
        </w:rPr>
        <w:t xml:space="preserve"> 1027739462630</w:t>
      </w:r>
    </w:p>
    <w:p w:rsidR="000C4574" w:rsidRDefault="000C4574">
      <w:pPr>
        <w:ind w:left="400"/>
      </w:pPr>
    </w:p>
    <w:p w:rsidR="000C4574" w:rsidRDefault="000C4574">
      <w:pPr>
        <w:ind w:left="400"/>
      </w:pPr>
      <w:r>
        <w:t>Доля участия лица в уставном капитале эмитента, %:</w:t>
      </w:r>
      <w:r>
        <w:rPr>
          <w:rStyle w:val="Subst"/>
          <w:bCs/>
          <w:iCs/>
        </w:rPr>
        <w:t xml:space="preserve"> 9.1233</w:t>
      </w:r>
    </w:p>
    <w:p w:rsidR="000C4574" w:rsidRDefault="000C4574">
      <w:pPr>
        <w:ind w:left="400"/>
      </w:pPr>
      <w:r>
        <w:t>Доля принадлежавших лицу обыкновенных акций эмитента, %:</w:t>
      </w:r>
      <w:r>
        <w:rPr>
          <w:rStyle w:val="Subst"/>
          <w:bCs/>
          <w:iCs/>
        </w:rPr>
        <w:t xml:space="preserve"> 3.6557</w:t>
      </w:r>
    </w:p>
    <w:p w:rsidR="000C4574" w:rsidRDefault="000C4574">
      <w:pPr>
        <w:ind w:left="400"/>
      </w:pPr>
    </w:p>
    <w:p w:rsidR="000C4574" w:rsidRDefault="000C4574">
      <w:pPr>
        <w:ind w:left="400"/>
      </w:pPr>
      <w:r>
        <w:t>Полное фирменное наименование:</w:t>
      </w:r>
      <w:r>
        <w:rPr>
          <w:rStyle w:val="Subst"/>
          <w:bCs/>
          <w:iCs/>
        </w:rPr>
        <w:t xml:space="preserve"> Небанковская кредитная организация закрытое акционерное общество "Национальный расчетный депозитарий"</w:t>
      </w:r>
    </w:p>
    <w:p w:rsidR="000C4574" w:rsidRDefault="000C4574">
      <w:pPr>
        <w:ind w:left="400"/>
      </w:pPr>
      <w:r>
        <w:t>Сокращенное фирменное наименование:</w:t>
      </w:r>
      <w:r>
        <w:rPr>
          <w:rStyle w:val="Subst"/>
          <w:bCs/>
          <w:iCs/>
        </w:rPr>
        <w:t xml:space="preserve"> НКО ЗАО "НРД"</w:t>
      </w:r>
    </w:p>
    <w:p w:rsidR="000C4574" w:rsidRDefault="000C4574">
      <w:pPr>
        <w:ind w:left="400"/>
      </w:pPr>
      <w:r>
        <w:t>Место нахождения:</w:t>
      </w:r>
      <w:r>
        <w:rPr>
          <w:rStyle w:val="Subst"/>
          <w:bCs/>
          <w:iCs/>
        </w:rPr>
        <w:t xml:space="preserve"> г. Москва ул. Спартаковская д. 12</w:t>
      </w:r>
    </w:p>
    <w:p w:rsidR="000C4574" w:rsidRDefault="000C4574">
      <w:pPr>
        <w:ind w:left="400"/>
      </w:pPr>
      <w:r>
        <w:lastRenderedPageBreak/>
        <w:t>ИНН:</w:t>
      </w:r>
      <w:r>
        <w:rPr>
          <w:rStyle w:val="Subst"/>
          <w:bCs/>
          <w:iCs/>
        </w:rPr>
        <w:t xml:space="preserve"> 7702165310</w:t>
      </w:r>
    </w:p>
    <w:p w:rsidR="000C4574" w:rsidRDefault="000C4574">
      <w:pPr>
        <w:ind w:left="400"/>
      </w:pPr>
      <w:r>
        <w:t>ОГРН:</w:t>
      </w:r>
      <w:r>
        <w:rPr>
          <w:rStyle w:val="Subst"/>
          <w:bCs/>
          <w:iCs/>
        </w:rPr>
        <w:t xml:space="preserve"> 1027739132563</w:t>
      </w:r>
    </w:p>
    <w:p w:rsidR="000C4574" w:rsidRDefault="000C4574">
      <w:pPr>
        <w:ind w:left="400"/>
      </w:pPr>
    </w:p>
    <w:p w:rsidR="000C4574" w:rsidRDefault="000C4574">
      <w:pPr>
        <w:ind w:left="400"/>
      </w:pPr>
      <w:r>
        <w:t>Доля участия лица в уставном капитале эмитента, %:</w:t>
      </w:r>
      <w:r>
        <w:rPr>
          <w:rStyle w:val="Subst"/>
          <w:bCs/>
          <w:iCs/>
        </w:rPr>
        <w:t xml:space="preserve"> 5.6581</w:t>
      </w:r>
    </w:p>
    <w:p w:rsidR="000C4574" w:rsidRDefault="000C4574">
      <w:pPr>
        <w:ind w:left="400"/>
      </w:pPr>
      <w:r>
        <w:t>Доля принадлежавших лицу обыкновенных акций эмитента, %:</w:t>
      </w:r>
      <w:r>
        <w:rPr>
          <w:rStyle w:val="Subst"/>
          <w:bCs/>
          <w:iCs/>
        </w:rPr>
        <w:t xml:space="preserve"> 3.2367</w:t>
      </w:r>
    </w:p>
    <w:p w:rsidR="000C4574" w:rsidRDefault="000C4574">
      <w:pPr>
        <w:ind w:left="200"/>
      </w:pPr>
    </w:p>
    <w:p w:rsidR="000C4574" w:rsidRDefault="000C4574">
      <w:pPr>
        <w:pStyle w:val="2"/>
      </w:pPr>
      <w:r>
        <w:t>6.6. Сведения о совершенных эмитентом сделках, в совершении которых имелась заинтересованность</w:t>
      </w:r>
    </w:p>
    <w:p w:rsidR="000C4574" w:rsidRDefault="000C4574">
      <w:pPr>
        <w:ind w:left="200"/>
      </w:pPr>
      <w:r>
        <w:rPr>
          <w:rStyle w:val="Subst"/>
          <w:bCs/>
          <w:iCs/>
        </w:rPr>
        <w:t>Указанных сделок не совершалось</w:t>
      </w:r>
    </w:p>
    <w:p w:rsidR="000C4574" w:rsidRDefault="000C4574">
      <w:pPr>
        <w:pStyle w:val="2"/>
      </w:pPr>
      <w:r>
        <w:t>6.7. Сведения о размере дебиторской задолженности</w:t>
      </w:r>
    </w:p>
    <w:p w:rsidR="000C4574" w:rsidRDefault="000C4574">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C4574" w:rsidRDefault="000C4574">
      <w:pPr>
        <w:pStyle w:val="1"/>
      </w:pPr>
      <w:r>
        <w:t>VII. Бухгалтерская(финансовая) отчетность эмитента и иная финансовая информация</w:t>
      </w:r>
    </w:p>
    <w:p w:rsidR="000C4574" w:rsidRDefault="000C4574">
      <w:pPr>
        <w:pStyle w:val="2"/>
      </w:pPr>
      <w:r>
        <w:t>7.1. Годовая бухгалтерская(финансовая) отчетность эмитента</w:t>
      </w:r>
    </w:p>
    <w:p w:rsidR="000C4574" w:rsidRDefault="000C4574"/>
    <w:p w:rsidR="000C4574" w:rsidRDefault="000C4574">
      <w:pPr>
        <w:pStyle w:val="SubHeading"/>
      </w:pPr>
      <w:r>
        <w:t>2013</w:t>
      </w:r>
    </w:p>
    <w:p w:rsidR="000C4574" w:rsidRDefault="000C4574">
      <w:pPr>
        <w:pStyle w:val="Headingbalance"/>
        <w:ind w:left="200"/>
      </w:pPr>
      <w:r>
        <w:t>Бухгалтерский баланс</w:t>
      </w:r>
    </w:p>
    <w:p w:rsidR="000C4574" w:rsidRDefault="000C4574">
      <w:pPr>
        <w:jc w:val="center"/>
        <w:rPr>
          <w:b/>
          <w:bCs/>
        </w:rPr>
      </w:pPr>
      <w:r>
        <w:rPr>
          <w:b/>
          <w:bCs/>
        </w:rPr>
        <w:t>на 31.12.2013</w:t>
      </w:r>
    </w:p>
    <w:tbl>
      <w:tblPr>
        <w:tblW w:w="0" w:type="auto"/>
        <w:tblLayout w:type="fixed"/>
        <w:tblCellMar>
          <w:left w:w="72" w:type="dxa"/>
          <w:right w:w="72" w:type="dxa"/>
        </w:tblCellMar>
        <w:tblLook w:val="0000"/>
      </w:tblPr>
      <w:tblGrid>
        <w:gridCol w:w="6112"/>
        <w:gridCol w:w="1560"/>
        <w:gridCol w:w="1580"/>
      </w:tblGrid>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pPr>
            <w:r>
              <w:t>Коды</w:t>
            </w:r>
          </w:p>
        </w:tc>
      </w:tr>
      <w:tr w:rsidR="000C4574">
        <w:tblPrEx>
          <w:tblCellMar>
            <w:top w:w="0" w:type="dxa"/>
            <w:bottom w:w="0" w:type="dxa"/>
          </w:tblCellMar>
        </w:tblPrEx>
        <w:tc>
          <w:tcPr>
            <w:tcW w:w="7672" w:type="dxa"/>
            <w:gridSpan w:val="2"/>
            <w:tcBorders>
              <w:top w:val="nil"/>
              <w:left w:val="nil"/>
              <w:bottom w:val="nil"/>
              <w:right w:val="nil"/>
            </w:tcBorders>
          </w:tcPr>
          <w:p w:rsidR="000C4574" w:rsidRDefault="000C4574">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0710001</w:t>
            </w:r>
          </w:p>
        </w:tc>
      </w:tr>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31.12.2013</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0C4574" w:rsidRDefault="000C457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05125841</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Идентификационный номер налогоплательщика</w:t>
            </w:r>
          </w:p>
        </w:tc>
        <w:tc>
          <w:tcPr>
            <w:tcW w:w="1560" w:type="dxa"/>
            <w:tcBorders>
              <w:top w:val="nil"/>
              <w:left w:val="nil"/>
              <w:bottom w:val="nil"/>
              <w:right w:val="nil"/>
            </w:tcBorders>
          </w:tcPr>
          <w:p w:rsidR="000C4574" w:rsidRDefault="000C457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8602016394</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Вид деятельности:</w:t>
            </w:r>
          </w:p>
        </w:tc>
        <w:tc>
          <w:tcPr>
            <w:tcW w:w="1560" w:type="dxa"/>
            <w:tcBorders>
              <w:top w:val="nil"/>
              <w:left w:val="nil"/>
              <w:bottom w:val="nil"/>
              <w:right w:val="nil"/>
            </w:tcBorders>
          </w:tcPr>
          <w:p w:rsidR="000C4574" w:rsidRDefault="000C457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45.25.2</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0C4574" w:rsidRDefault="000C457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 xml:space="preserve"> /</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Единица измерения:</w:t>
            </w:r>
            <w:r>
              <w:rPr>
                <w:b/>
                <w:bCs/>
              </w:rPr>
              <w:t xml:space="preserve"> тыс. руб.</w:t>
            </w:r>
          </w:p>
        </w:tc>
        <w:tc>
          <w:tcPr>
            <w:tcW w:w="1560" w:type="dxa"/>
            <w:tcBorders>
              <w:top w:val="nil"/>
              <w:left w:val="nil"/>
              <w:bottom w:val="nil"/>
              <w:right w:val="nil"/>
            </w:tcBorders>
          </w:tcPr>
          <w:p w:rsidR="000C4574" w:rsidRDefault="000C457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384</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0C4574" w:rsidRDefault="000C4574"/>
        </w:tc>
        <w:tc>
          <w:tcPr>
            <w:tcW w:w="1580" w:type="dxa"/>
            <w:tcBorders>
              <w:top w:val="nil"/>
              <w:left w:val="nil"/>
              <w:bottom w:val="nil"/>
              <w:right w:val="nil"/>
            </w:tcBorders>
          </w:tcPr>
          <w:p w:rsidR="000C4574" w:rsidRDefault="000C4574"/>
        </w:tc>
      </w:tr>
    </w:tbl>
    <w:p w:rsidR="000C4574" w:rsidRDefault="000C4574">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0C4574">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0C4574" w:rsidRDefault="000C457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C4574" w:rsidRDefault="000C4574">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0C4574" w:rsidRDefault="000C457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0C4574" w:rsidRDefault="000C4574">
            <w:pPr>
              <w:jc w:val="center"/>
            </w:pPr>
            <w:r>
              <w:t>На  31.12.2011 г.</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center"/>
            </w:pPr>
            <w:r>
              <w:t>6</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51</w:t>
            </w:r>
          </w:p>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40 522 296</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36 125 205</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33 898 824</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750 478</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750 478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750 478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512 887</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491 826</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632 134</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756 244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1 235 381</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841 884</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49 357 186</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48 094 071</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45 126 354</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Запасы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556 084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471 865</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499 429</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32</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13 864</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13 823</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609 008</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347 258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820 206</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8 885</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3 746 867</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41 484</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15</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7 112</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1 174 011</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4 579 869</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1 382 054</w:t>
            </w:r>
          </w:p>
        </w:tc>
      </w:tr>
      <w:tr w:rsidR="000C4574">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0C4574" w:rsidRDefault="000C4574"/>
        </w:tc>
        <w:tc>
          <w:tcPr>
            <w:tcW w:w="3840" w:type="dxa"/>
            <w:tcBorders>
              <w:top w:val="single" w:sz="6" w:space="0" w:color="auto"/>
              <w:left w:val="single" w:sz="6" w:space="0" w:color="auto"/>
              <w:bottom w:val="double" w:sz="6" w:space="0" w:color="auto"/>
              <w:right w:val="single" w:sz="6" w:space="0" w:color="auto"/>
            </w:tcBorders>
          </w:tcPr>
          <w:p w:rsidR="000C4574" w:rsidRDefault="000C4574">
            <w:r>
              <w:t>БАЛАНС (актив)</w:t>
            </w:r>
          </w:p>
        </w:tc>
        <w:tc>
          <w:tcPr>
            <w:tcW w:w="720" w:type="dxa"/>
            <w:tcBorders>
              <w:top w:val="single" w:sz="6" w:space="0" w:color="auto"/>
              <w:left w:val="single" w:sz="6" w:space="0" w:color="auto"/>
              <w:bottom w:val="double" w:sz="6" w:space="0" w:color="auto"/>
              <w:right w:val="single" w:sz="6" w:space="0" w:color="auto"/>
            </w:tcBorders>
          </w:tcPr>
          <w:p w:rsidR="000C4574" w:rsidRDefault="000C457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0C4574" w:rsidRDefault="000C4574">
            <w:pPr>
              <w:jc w:val="right"/>
            </w:pPr>
            <w:r>
              <w:t>50 531 197</w:t>
            </w:r>
          </w:p>
        </w:tc>
        <w:tc>
          <w:tcPr>
            <w:tcW w:w="1280" w:type="dxa"/>
            <w:tcBorders>
              <w:top w:val="single" w:sz="6" w:space="0" w:color="auto"/>
              <w:left w:val="single" w:sz="6" w:space="0" w:color="auto"/>
              <w:bottom w:val="double" w:sz="6" w:space="0" w:color="auto"/>
              <w:right w:val="single" w:sz="6" w:space="0" w:color="auto"/>
            </w:tcBorders>
          </w:tcPr>
          <w:p w:rsidR="000C4574" w:rsidRDefault="000C4574">
            <w:pPr>
              <w:jc w:val="right"/>
            </w:pPr>
            <w:r>
              <w:t>52 673 940</w:t>
            </w:r>
          </w:p>
        </w:tc>
        <w:tc>
          <w:tcPr>
            <w:tcW w:w="1340" w:type="dxa"/>
            <w:tcBorders>
              <w:top w:val="single" w:sz="6" w:space="0" w:color="auto"/>
              <w:left w:val="single" w:sz="6" w:space="0" w:color="auto"/>
              <w:bottom w:val="double" w:sz="6" w:space="0" w:color="auto"/>
              <w:right w:val="double" w:sz="6" w:space="0" w:color="auto"/>
            </w:tcBorders>
          </w:tcPr>
          <w:p w:rsidR="000C4574" w:rsidRDefault="000C4574">
            <w:pPr>
              <w:jc w:val="right"/>
            </w:pPr>
            <w:r>
              <w:t>46 508 408</w:t>
            </w:r>
          </w:p>
        </w:tc>
      </w:tr>
    </w:tbl>
    <w:p w:rsidR="000C4574" w:rsidRDefault="000C4574"/>
    <w:p w:rsidR="000C4574" w:rsidRDefault="000C4574">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0C4574">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0C4574" w:rsidRDefault="000C457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C4574" w:rsidRDefault="000C4574">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0C4574" w:rsidRDefault="000C457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0C4574" w:rsidRDefault="000C4574">
            <w:pPr>
              <w:jc w:val="center"/>
            </w:pPr>
            <w:r>
              <w:t>На  31.12.2011 г.</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center"/>
            </w:pPr>
            <w:r>
              <w:t>6</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3 368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5 784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5 798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6 388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3 368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18 619 650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14 804 986</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7 483 542</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18 632 170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14 817 520</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7 498 666</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4 909 380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303 727</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2 897 649</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1 833 273</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1 312 811</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734 499</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1 692 628</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2 269 842</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1 527 221</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8 435 281</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3 886 380</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5 159 369</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329 920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1 717 944</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4 260</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22 404 799</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32 192 762</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33 585 795</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729 027</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59 334</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260 318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23 463 746</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33 970 040</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33 850 373</w:t>
            </w:r>
          </w:p>
        </w:tc>
      </w:tr>
      <w:tr w:rsidR="000C4574">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0C4574" w:rsidRDefault="000C4574"/>
        </w:tc>
        <w:tc>
          <w:tcPr>
            <w:tcW w:w="3840" w:type="dxa"/>
            <w:tcBorders>
              <w:top w:val="single" w:sz="6" w:space="0" w:color="auto"/>
              <w:left w:val="single" w:sz="6" w:space="0" w:color="auto"/>
              <w:bottom w:val="double" w:sz="6" w:space="0" w:color="auto"/>
              <w:right w:val="single" w:sz="6" w:space="0" w:color="auto"/>
            </w:tcBorders>
          </w:tcPr>
          <w:p w:rsidR="000C4574" w:rsidRDefault="000C4574">
            <w:r>
              <w:t>БАЛАНС (пассив)</w:t>
            </w:r>
          </w:p>
        </w:tc>
        <w:tc>
          <w:tcPr>
            <w:tcW w:w="720" w:type="dxa"/>
            <w:tcBorders>
              <w:top w:val="single" w:sz="6" w:space="0" w:color="auto"/>
              <w:left w:val="single" w:sz="6" w:space="0" w:color="auto"/>
              <w:bottom w:val="double" w:sz="6" w:space="0" w:color="auto"/>
              <w:right w:val="single" w:sz="6" w:space="0" w:color="auto"/>
            </w:tcBorders>
          </w:tcPr>
          <w:p w:rsidR="000C4574" w:rsidRDefault="000C457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0C4574" w:rsidRDefault="000C4574">
            <w:pPr>
              <w:jc w:val="right"/>
            </w:pPr>
            <w:r>
              <w:t>50 531 197</w:t>
            </w:r>
          </w:p>
        </w:tc>
        <w:tc>
          <w:tcPr>
            <w:tcW w:w="1280" w:type="dxa"/>
            <w:tcBorders>
              <w:top w:val="single" w:sz="6" w:space="0" w:color="auto"/>
              <w:left w:val="single" w:sz="6" w:space="0" w:color="auto"/>
              <w:bottom w:val="double" w:sz="6" w:space="0" w:color="auto"/>
              <w:right w:val="single" w:sz="6" w:space="0" w:color="auto"/>
            </w:tcBorders>
          </w:tcPr>
          <w:p w:rsidR="000C4574" w:rsidRDefault="000C4574">
            <w:pPr>
              <w:jc w:val="right"/>
            </w:pPr>
            <w:r>
              <w:t>52 673 940</w:t>
            </w:r>
          </w:p>
        </w:tc>
        <w:tc>
          <w:tcPr>
            <w:tcW w:w="1340" w:type="dxa"/>
            <w:tcBorders>
              <w:top w:val="single" w:sz="6" w:space="0" w:color="auto"/>
              <w:left w:val="single" w:sz="6" w:space="0" w:color="auto"/>
              <w:bottom w:val="double" w:sz="6" w:space="0" w:color="auto"/>
              <w:right w:val="double" w:sz="6" w:space="0" w:color="auto"/>
            </w:tcBorders>
          </w:tcPr>
          <w:p w:rsidR="000C4574" w:rsidRDefault="000C4574">
            <w:pPr>
              <w:jc w:val="right"/>
            </w:pPr>
            <w:r>
              <w:t>46 508 408</w:t>
            </w:r>
          </w:p>
        </w:tc>
      </w:tr>
    </w:tbl>
    <w:p w:rsidR="000C4574" w:rsidRDefault="000C4574"/>
    <w:p w:rsidR="000C4574" w:rsidRDefault="000C4574">
      <w:pPr>
        <w:ind w:left="400"/>
      </w:pPr>
    </w:p>
    <w:p w:rsidR="000C4574" w:rsidRDefault="000C4574">
      <w:pPr>
        <w:pStyle w:val="Headingbalance"/>
        <w:ind w:left="200"/>
      </w:pPr>
      <w:r>
        <w:br w:type="page"/>
      </w:r>
      <w:r>
        <w:lastRenderedPageBreak/>
        <w:t>Отчет о финансовых результатах</w:t>
      </w:r>
    </w:p>
    <w:p w:rsidR="000C4574" w:rsidRDefault="000C4574">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pPr>
            <w:r>
              <w:t>Коды</w:t>
            </w:r>
          </w:p>
        </w:tc>
      </w:tr>
      <w:tr w:rsidR="000C4574">
        <w:tblPrEx>
          <w:tblCellMar>
            <w:top w:w="0" w:type="dxa"/>
            <w:bottom w:w="0" w:type="dxa"/>
          </w:tblCellMar>
        </w:tblPrEx>
        <w:tc>
          <w:tcPr>
            <w:tcW w:w="7672" w:type="dxa"/>
            <w:gridSpan w:val="2"/>
            <w:tcBorders>
              <w:top w:val="nil"/>
              <w:left w:val="nil"/>
              <w:bottom w:val="nil"/>
              <w:right w:val="nil"/>
            </w:tcBorders>
          </w:tcPr>
          <w:p w:rsidR="000C4574" w:rsidRDefault="000C4574">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0710002</w:t>
            </w:r>
          </w:p>
        </w:tc>
      </w:tr>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31.12.2013</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0C4574" w:rsidRDefault="000C457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05125841</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Идентификационный номер налогоплательщика</w:t>
            </w:r>
          </w:p>
        </w:tc>
        <w:tc>
          <w:tcPr>
            <w:tcW w:w="1560" w:type="dxa"/>
            <w:tcBorders>
              <w:top w:val="nil"/>
              <w:left w:val="nil"/>
              <w:bottom w:val="nil"/>
              <w:right w:val="nil"/>
            </w:tcBorders>
          </w:tcPr>
          <w:p w:rsidR="000C4574" w:rsidRDefault="000C457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8602016394</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Вид деятельности:</w:t>
            </w:r>
          </w:p>
        </w:tc>
        <w:tc>
          <w:tcPr>
            <w:tcW w:w="1560" w:type="dxa"/>
            <w:tcBorders>
              <w:top w:val="nil"/>
              <w:left w:val="nil"/>
              <w:bottom w:val="nil"/>
              <w:right w:val="nil"/>
            </w:tcBorders>
          </w:tcPr>
          <w:p w:rsidR="000C4574" w:rsidRDefault="000C457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45.25.2</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0C4574" w:rsidRDefault="000C457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 xml:space="preserve"> /</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Единица измерения:</w:t>
            </w:r>
            <w:r>
              <w:rPr>
                <w:b/>
                <w:bCs/>
              </w:rPr>
              <w:t xml:space="preserve"> тыс. руб.</w:t>
            </w:r>
          </w:p>
        </w:tc>
        <w:tc>
          <w:tcPr>
            <w:tcW w:w="1560" w:type="dxa"/>
            <w:tcBorders>
              <w:top w:val="nil"/>
              <w:left w:val="nil"/>
              <w:bottom w:val="nil"/>
              <w:right w:val="nil"/>
            </w:tcBorders>
          </w:tcPr>
          <w:p w:rsidR="000C4574" w:rsidRDefault="000C457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384</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0C4574" w:rsidRDefault="000C4574"/>
        </w:tc>
        <w:tc>
          <w:tcPr>
            <w:tcW w:w="1580" w:type="dxa"/>
            <w:tcBorders>
              <w:top w:val="nil"/>
              <w:left w:val="nil"/>
              <w:bottom w:val="nil"/>
              <w:right w:val="nil"/>
            </w:tcBorders>
          </w:tcPr>
          <w:p w:rsidR="000C4574" w:rsidRDefault="000C4574"/>
        </w:tc>
      </w:tr>
    </w:tbl>
    <w:p w:rsidR="000C4574" w:rsidRDefault="000C4574">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0C4574">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0C4574" w:rsidRDefault="000C457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0C4574" w:rsidRDefault="000C457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0C4574" w:rsidRDefault="000C4574">
            <w:pPr>
              <w:jc w:val="center"/>
            </w:pPr>
            <w:r>
              <w:t xml:space="preserve"> За 12 мес.2013 г.</w:t>
            </w:r>
          </w:p>
        </w:tc>
        <w:tc>
          <w:tcPr>
            <w:tcW w:w="1400" w:type="dxa"/>
            <w:tcBorders>
              <w:top w:val="double" w:sz="6" w:space="0" w:color="auto"/>
              <w:left w:val="single" w:sz="6" w:space="0" w:color="auto"/>
              <w:bottom w:val="single" w:sz="6" w:space="0" w:color="auto"/>
              <w:right w:val="double" w:sz="6" w:space="0" w:color="auto"/>
            </w:tcBorders>
          </w:tcPr>
          <w:p w:rsidR="000C4574" w:rsidRDefault="000C4574">
            <w:pPr>
              <w:jc w:val="center"/>
            </w:pPr>
            <w:r>
              <w:t xml:space="preserve"> За 12 мес.2012 г.</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center"/>
            </w:pPr>
            <w:r>
              <w:t>5</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Выручка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38 026 837</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42 368 828</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31 644 791</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32 481 521</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6 382 046</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9 887 307</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41 766</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41 310</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6 340 280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9 845 997</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178 508</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81 305</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136 007</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155 907</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102 478</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659 419</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1 791 612</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1 563 613</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4 693 647</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8 867 201</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318 943</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838 482</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6 749</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37 022</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510 157</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565 657</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24 432</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140 308</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Прочее</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1 663</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3 900</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3 887 316</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7 318 854</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СПРАВОЧНО:</w:t>
            </w:r>
          </w:p>
        </w:tc>
        <w:tc>
          <w:tcPr>
            <w:tcW w:w="640" w:type="dxa"/>
            <w:tcBorders>
              <w:top w:val="single" w:sz="6" w:space="0" w:color="auto"/>
              <w:left w:val="single" w:sz="6" w:space="0" w:color="auto"/>
              <w:bottom w:val="single" w:sz="6" w:space="0" w:color="auto"/>
              <w:right w:val="single" w:sz="6" w:space="0" w:color="auto"/>
            </w:tcBorders>
          </w:tcPr>
          <w:p w:rsidR="000C4574" w:rsidRDefault="000C4574"/>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3 887 316</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7 318 854</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0C4574" w:rsidRDefault="000C4574"/>
        </w:tc>
        <w:tc>
          <w:tcPr>
            <w:tcW w:w="5140" w:type="dxa"/>
            <w:tcBorders>
              <w:top w:val="single" w:sz="6" w:space="0" w:color="auto"/>
              <w:left w:val="single" w:sz="6" w:space="0" w:color="auto"/>
              <w:bottom w:val="double" w:sz="6" w:space="0" w:color="auto"/>
              <w:right w:val="single" w:sz="6" w:space="0" w:color="auto"/>
            </w:tcBorders>
          </w:tcPr>
          <w:p w:rsidR="000C4574" w:rsidRDefault="000C457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0C4574" w:rsidRDefault="000C457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0C4574" w:rsidRDefault="000C4574"/>
        </w:tc>
        <w:tc>
          <w:tcPr>
            <w:tcW w:w="1400" w:type="dxa"/>
            <w:tcBorders>
              <w:top w:val="single" w:sz="6" w:space="0" w:color="auto"/>
              <w:left w:val="single" w:sz="6" w:space="0" w:color="auto"/>
              <w:bottom w:val="double" w:sz="6" w:space="0" w:color="auto"/>
              <w:right w:val="double" w:sz="6" w:space="0" w:color="auto"/>
            </w:tcBorders>
          </w:tcPr>
          <w:p w:rsidR="000C4574" w:rsidRDefault="000C4574"/>
        </w:tc>
      </w:tr>
    </w:tbl>
    <w:p w:rsidR="000C4574" w:rsidRDefault="000C4574"/>
    <w:p w:rsidR="000C4574" w:rsidRDefault="000C4574">
      <w:pPr>
        <w:ind w:left="400"/>
      </w:pPr>
    </w:p>
    <w:p w:rsidR="000C4574" w:rsidRDefault="000C4574">
      <w:pPr>
        <w:pStyle w:val="Headingbalance"/>
        <w:ind w:left="200"/>
      </w:pPr>
      <w:r>
        <w:br w:type="page"/>
      </w:r>
      <w:r>
        <w:lastRenderedPageBreak/>
        <w:t>Отчет об изменениях капитала</w:t>
      </w:r>
    </w:p>
    <w:p w:rsidR="000C4574" w:rsidRDefault="000C4574">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pPr>
            <w:r>
              <w:t>Коды</w:t>
            </w:r>
          </w:p>
        </w:tc>
      </w:tr>
      <w:tr w:rsidR="000C4574">
        <w:tblPrEx>
          <w:tblCellMar>
            <w:top w:w="0" w:type="dxa"/>
            <w:bottom w:w="0" w:type="dxa"/>
          </w:tblCellMar>
        </w:tblPrEx>
        <w:tc>
          <w:tcPr>
            <w:tcW w:w="7672" w:type="dxa"/>
            <w:gridSpan w:val="2"/>
            <w:tcBorders>
              <w:top w:val="nil"/>
              <w:left w:val="nil"/>
              <w:bottom w:val="nil"/>
              <w:right w:val="nil"/>
            </w:tcBorders>
          </w:tcPr>
          <w:p w:rsidR="000C4574" w:rsidRDefault="000C4574">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0710003</w:t>
            </w:r>
          </w:p>
        </w:tc>
      </w:tr>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31.12.2013</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0C4574" w:rsidRDefault="000C457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05125841</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Идентификационный номер налогоплательщика</w:t>
            </w:r>
          </w:p>
        </w:tc>
        <w:tc>
          <w:tcPr>
            <w:tcW w:w="1560" w:type="dxa"/>
            <w:tcBorders>
              <w:top w:val="nil"/>
              <w:left w:val="nil"/>
              <w:bottom w:val="nil"/>
              <w:right w:val="nil"/>
            </w:tcBorders>
          </w:tcPr>
          <w:p w:rsidR="000C4574" w:rsidRDefault="000C457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8602016394</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Вид деятельности:</w:t>
            </w:r>
          </w:p>
        </w:tc>
        <w:tc>
          <w:tcPr>
            <w:tcW w:w="1560" w:type="dxa"/>
            <w:tcBorders>
              <w:top w:val="nil"/>
              <w:left w:val="nil"/>
              <w:bottom w:val="nil"/>
              <w:right w:val="nil"/>
            </w:tcBorders>
          </w:tcPr>
          <w:p w:rsidR="000C4574" w:rsidRDefault="000C457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45.25.2</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0C4574" w:rsidRDefault="000C457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 xml:space="preserve"> /</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Единица измерения:</w:t>
            </w:r>
            <w:r>
              <w:rPr>
                <w:b/>
                <w:bCs/>
              </w:rPr>
              <w:t xml:space="preserve"> тыс. руб.</w:t>
            </w:r>
          </w:p>
        </w:tc>
        <w:tc>
          <w:tcPr>
            <w:tcW w:w="1560" w:type="dxa"/>
            <w:tcBorders>
              <w:top w:val="nil"/>
              <w:left w:val="nil"/>
              <w:bottom w:val="nil"/>
              <w:right w:val="nil"/>
            </w:tcBorders>
          </w:tcPr>
          <w:p w:rsidR="000C4574" w:rsidRDefault="000C457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384</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0C4574" w:rsidRDefault="000C4574"/>
        </w:tc>
        <w:tc>
          <w:tcPr>
            <w:tcW w:w="1580" w:type="dxa"/>
            <w:tcBorders>
              <w:top w:val="nil"/>
              <w:left w:val="nil"/>
              <w:bottom w:val="nil"/>
              <w:right w:val="nil"/>
            </w:tcBorders>
          </w:tcPr>
          <w:p w:rsidR="000C4574" w:rsidRDefault="000C4574"/>
        </w:tc>
      </w:tr>
    </w:tbl>
    <w:p w:rsidR="000C4574" w:rsidRDefault="000C4574">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0C4574">
        <w:tblPrEx>
          <w:tblCellMar>
            <w:top w:w="0" w:type="dxa"/>
            <w:bottom w:w="0" w:type="dxa"/>
          </w:tblCellMar>
        </w:tblPrEx>
        <w:tc>
          <w:tcPr>
            <w:tcW w:w="9252" w:type="dxa"/>
            <w:gridSpan w:val="8"/>
            <w:tcBorders>
              <w:top w:val="double" w:sz="6" w:space="0" w:color="auto"/>
              <w:left w:val="double" w:sz="6" w:space="0" w:color="auto"/>
              <w:bottom w:val="single" w:sz="6" w:space="0" w:color="auto"/>
              <w:right w:val="double" w:sz="6" w:space="0" w:color="auto"/>
            </w:tcBorders>
          </w:tcPr>
          <w:p w:rsidR="000C4574" w:rsidRDefault="000C4574">
            <w:pPr>
              <w:jc w:val="center"/>
            </w:pPr>
            <w:r>
              <w:t>1. Движение капитала</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center"/>
            </w:pPr>
            <w:r>
              <w:t>Итого</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center"/>
            </w:pPr>
            <w:r>
              <w:t>8</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8 388</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7 483 542</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7 498 666</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7 321 444</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7 321 444</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64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7 318 854</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7 318 854</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2 590</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2 590</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2 590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2 590</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64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убыток</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2 590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2 590</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 xml:space="preserve">уменьшение номинальной </w:t>
            </w:r>
            <w:r>
              <w:lastRenderedPageBreak/>
              <w:t>стоимости акций</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lastRenderedPageBreak/>
              <w:t>3224</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lastRenderedPageBreak/>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дивиденды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5 798</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14 804 986</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14 817 520</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3 890 027</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3 890 027</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64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3 887 316</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3 887 316</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14</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14</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2 697</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2 697</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14</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75 363</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75 377</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64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убыток</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14</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14</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дивиденды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pPr>
              <w:jc w:val="right"/>
            </w:pPr>
            <w:r>
              <w:t>75 363</w:t>
            </w:r>
          </w:p>
        </w:tc>
        <w:tc>
          <w:tcPr>
            <w:tcW w:w="1080" w:type="dxa"/>
            <w:tcBorders>
              <w:top w:val="single" w:sz="6" w:space="0" w:color="auto"/>
              <w:left w:val="single" w:sz="6" w:space="0" w:color="auto"/>
              <w:bottom w:val="single" w:sz="6" w:space="0" w:color="auto"/>
              <w:right w:val="double" w:sz="6" w:space="0" w:color="auto"/>
            </w:tcBorders>
          </w:tcPr>
          <w:p w:rsidR="000C4574" w:rsidRDefault="000C4574">
            <w:pPr>
              <w:jc w:val="right"/>
            </w:pPr>
            <w:r>
              <w:t>75 363</w:t>
            </w:r>
          </w:p>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single" w:sz="6" w:space="0" w:color="auto"/>
              <w:right w:val="single" w:sz="6" w:space="0" w:color="auto"/>
            </w:tcBorders>
          </w:tcPr>
          <w:p w:rsidR="000C4574" w:rsidRDefault="000C4574">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00" w:type="dxa"/>
            <w:tcBorders>
              <w:top w:val="single" w:sz="6" w:space="0" w:color="auto"/>
              <w:left w:val="single" w:sz="6" w:space="0" w:color="auto"/>
              <w:bottom w:val="single" w:sz="6" w:space="0" w:color="auto"/>
              <w:right w:val="single" w:sz="6" w:space="0" w:color="auto"/>
            </w:tcBorders>
          </w:tcPr>
          <w:p w:rsidR="000C4574" w:rsidRDefault="000C4574"/>
        </w:tc>
        <w:tc>
          <w:tcPr>
            <w:tcW w:w="10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2532" w:type="dxa"/>
            <w:tcBorders>
              <w:top w:val="single" w:sz="6" w:space="0" w:color="auto"/>
              <w:left w:val="double" w:sz="6" w:space="0" w:color="auto"/>
              <w:bottom w:val="double" w:sz="6" w:space="0" w:color="auto"/>
              <w:right w:val="single" w:sz="6" w:space="0" w:color="auto"/>
            </w:tcBorders>
          </w:tcPr>
          <w:p w:rsidR="000C4574" w:rsidRDefault="000C4574">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0C4574" w:rsidRDefault="000C4574">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0C4574" w:rsidRDefault="000C4574">
            <w:pPr>
              <w:jc w:val="right"/>
            </w:pPr>
            <w:r>
              <w:t>3 368</w:t>
            </w:r>
          </w:p>
        </w:tc>
        <w:tc>
          <w:tcPr>
            <w:tcW w:w="1000" w:type="dxa"/>
            <w:tcBorders>
              <w:top w:val="single" w:sz="6" w:space="0" w:color="auto"/>
              <w:left w:val="single" w:sz="6" w:space="0" w:color="auto"/>
              <w:bottom w:val="double" w:sz="6" w:space="0" w:color="auto"/>
              <w:right w:val="single" w:sz="6" w:space="0" w:color="auto"/>
            </w:tcBorders>
          </w:tcPr>
          <w:p w:rsidR="000C4574" w:rsidRDefault="000C4574"/>
        </w:tc>
        <w:tc>
          <w:tcPr>
            <w:tcW w:w="1000" w:type="dxa"/>
            <w:tcBorders>
              <w:top w:val="single" w:sz="6" w:space="0" w:color="auto"/>
              <w:left w:val="single" w:sz="6" w:space="0" w:color="auto"/>
              <w:bottom w:val="double" w:sz="6" w:space="0" w:color="auto"/>
              <w:right w:val="single" w:sz="6" w:space="0" w:color="auto"/>
            </w:tcBorders>
          </w:tcPr>
          <w:p w:rsidR="000C4574" w:rsidRDefault="000C4574">
            <w:pPr>
              <w:jc w:val="right"/>
            </w:pPr>
            <w:r>
              <w:t>5 784</w:t>
            </w:r>
          </w:p>
        </w:tc>
        <w:tc>
          <w:tcPr>
            <w:tcW w:w="1000" w:type="dxa"/>
            <w:tcBorders>
              <w:top w:val="single" w:sz="6" w:space="0" w:color="auto"/>
              <w:left w:val="single" w:sz="6" w:space="0" w:color="auto"/>
              <w:bottom w:val="double" w:sz="6" w:space="0" w:color="auto"/>
              <w:right w:val="single" w:sz="6" w:space="0" w:color="auto"/>
            </w:tcBorders>
          </w:tcPr>
          <w:p w:rsidR="000C4574" w:rsidRDefault="000C4574">
            <w:pPr>
              <w:jc w:val="right"/>
            </w:pPr>
            <w:r>
              <w:t>3 368</w:t>
            </w:r>
          </w:p>
        </w:tc>
        <w:tc>
          <w:tcPr>
            <w:tcW w:w="1000" w:type="dxa"/>
            <w:tcBorders>
              <w:top w:val="single" w:sz="6" w:space="0" w:color="auto"/>
              <w:left w:val="single" w:sz="6" w:space="0" w:color="auto"/>
              <w:bottom w:val="double" w:sz="6" w:space="0" w:color="auto"/>
              <w:right w:val="single" w:sz="6" w:space="0" w:color="auto"/>
            </w:tcBorders>
          </w:tcPr>
          <w:p w:rsidR="000C4574" w:rsidRDefault="000C4574">
            <w:pPr>
              <w:jc w:val="right"/>
            </w:pPr>
            <w:r>
              <w:t>18 619 650</w:t>
            </w:r>
          </w:p>
        </w:tc>
        <w:tc>
          <w:tcPr>
            <w:tcW w:w="1080" w:type="dxa"/>
            <w:tcBorders>
              <w:top w:val="single" w:sz="6" w:space="0" w:color="auto"/>
              <w:left w:val="single" w:sz="6" w:space="0" w:color="auto"/>
              <w:bottom w:val="double" w:sz="6" w:space="0" w:color="auto"/>
              <w:right w:val="double" w:sz="6" w:space="0" w:color="auto"/>
            </w:tcBorders>
          </w:tcPr>
          <w:p w:rsidR="000C4574" w:rsidRDefault="000C4574">
            <w:pPr>
              <w:jc w:val="right"/>
            </w:pPr>
            <w:r>
              <w:t>18 632 170</w:t>
            </w:r>
          </w:p>
        </w:tc>
      </w:tr>
    </w:tbl>
    <w:p w:rsidR="000C4574" w:rsidRDefault="000C4574"/>
    <w:p w:rsidR="000C4574" w:rsidRDefault="000C4574">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0C4574">
        <w:tblPrEx>
          <w:tblCellMar>
            <w:top w:w="0" w:type="dxa"/>
            <w:bottom w:w="0" w:type="dxa"/>
          </w:tblCellMar>
        </w:tblPrEx>
        <w:tc>
          <w:tcPr>
            <w:tcW w:w="9252" w:type="dxa"/>
            <w:gridSpan w:val="6"/>
            <w:tcBorders>
              <w:top w:val="double" w:sz="6" w:space="0" w:color="auto"/>
              <w:left w:val="double" w:sz="6" w:space="0" w:color="auto"/>
              <w:bottom w:val="single" w:sz="6" w:space="0" w:color="auto"/>
              <w:right w:val="double" w:sz="6" w:space="0" w:color="auto"/>
            </w:tcBorders>
          </w:tcPr>
          <w:p w:rsidR="000C4574" w:rsidRDefault="000C4574">
            <w:pPr>
              <w:jc w:val="center"/>
            </w:pPr>
            <w:r>
              <w:t>2. Корректировки в связи с изменением учетной политики и исправлением ошибок</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2360" w:type="dxa"/>
            <w:gridSpan w:val="2"/>
            <w:tcBorders>
              <w:top w:val="single" w:sz="6" w:space="0" w:color="auto"/>
              <w:left w:val="single" w:sz="6" w:space="0" w:color="auto"/>
              <w:bottom w:val="single" w:sz="6" w:space="0" w:color="auto"/>
              <w:right w:val="single" w:sz="6" w:space="0" w:color="auto"/>
            </w:tcBorders>
          </w:tcPr>
          <w:p w:rsidR="000C4574" w:rsidRDefault="000C4574">
            <w:pPr>
              <w:jc w:val="center"/>
            </w:pPr>
            <w:r>
              <w:t>Изменения капитала за 2012 г.</w:t>
            </w:r>
          </w:p>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pPr>
              <w:jc w:val="center"/>
            </w:pPr>
            <w:r>
              <w:lastRenderedPageBreak/>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center"/>
            </w:pPr>
            <w:r>
              <w:t>На 31.12.2011 г.</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0C4574" w:rsidRDefault="000C4574">
            <w:pPr>
              <w:jc w:val="center"/>
            </w:pPr>
            <w:r>
              <w:t>На 31.12.2012 г.</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0C4574" w:rsidRDefault="000C4574">
            <w:pPr>
              <w:jc w:val="center"/>
            </w:pPr>
            <w:r>
              <w:t>6</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7 837 448</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7 535 650</w:t>
            </w:r>
          </w:p>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pPr>
              <w:jc w:val="right"/>
            </w:pPr>
            <w:r>
              <w:t>15 373 098</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338 782</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216 796</w:t>
            </w:r>
          </w:p>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pPr>
              <w:jc w:val="right"/>
            </w:pPr>
            <w:r>
              <w:t>555 578</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7 498 666</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7 318 854</w:t>
            </w:r>
          </w:p>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pPr>
              <w:jc w:val="right"/>
            </w:pPr>
            <w:r>
              <w:t>14 817 520</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7 822 324</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7 535 650</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2 590</w:t>
            </w:r>
          </w:p>
        </w:tc>
        <w:tc>
          <w:tcPr>
            <w:tcW w:w="1260" w:type="dxa"/>
            <w:tcBorders>
              <w:top w:val="single" w:sz="6" w:space="0" w:color="auto"/>
              <w:left w:val="single" w:sz="6" w:space="0" w:color="auto"/>
              <w:bottom w:val="single" w:sz="6" w:space="0" w:color="auto"/>
              <w:right w:val="double" w:sz="6" w:space="0" w:color="auto"/>
            </w:tcBorders>
          </w:tcPr>
          <w:p w:rsidR="000C4574" w:rsidRDefault="000C4574">
            <w:pPr>
              <w:jc w:val="right"/>
            </w:pPr>
            <w:r>
              <w:t>15 360 564</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338 782</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216 796</w:t>
            </w:r>
          </w:p>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pPr>
              <w:jc w:val="right"/>
            </w:pPr>
            <w:r>
              <w:t>555 578</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7 483 542</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7 318 854</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2 590</w:t>
            </w:r>
          </w:p>
        </w:tc>
        <w:tc>
          <w:tcPr>
            <w:tcW w:w="1260" w:type="dxa"/>
            <w:tcBorders>
              <w:top w:val="single" w:sz="6" w:space="0" w:color="auto"/>
              <w:left w:val="single" w:sz="6" w:space="0" w:color="auto"/>
              <w:bottom w:val="single" w:sz="6" w:space="0" w:color="auto"/>
              <w:right w:val="double" w:sz="6" w:space="0" w:color="auto"/>
            </w:tcBorders>
          </w:tcPr>
          <w:p w:rsidR="000C4574" w:rsidRDefault="000C4574">
            <w:pPr>
              <w:jc w:val="right"/>
            </w:pPr>
            <w:r>
              <w:t>14 804 986</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(по статьям)</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15 124</w:t>
            </w:r>
          </w:p>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pPr>
              <w:jc w:val="right"/>
            </w:pPr>
            <w:r>
              <w:t>2 590</w:t>
            </w:r>
          </w:p>
        </w:tc>
        <w:tc>
          <w:tcPr>
            <w:tcW w:w="1260" w:type="dxa"/>
            <w:tcBorders>
              <w:top w:val="single" w:sz="6" w:space="0" w:color="auto"/>
              <w:left w:val="single" w:sz="6" w:space="0" w:color="auto"/>
              <w:bottom w:val="single" w:sz="6" w:space="0" w:color="auto"/>
              <w:right w:val="double" w:sz="6" w:space="0" w:color="auto"/>
            </w:tcBorders>
          </w:tcPr>
          <w:p w:rsidR="000C4574" w:rsidRDefault="000C4574">
            <w:pPr>
              <w:jc w:val="right"/>
            </w:pPr>
            <w:r>
              <w:t>12 534</w:t>
            </w:r>
          </w:p>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single" w:sz="6" w:space="0" w:color="auto"/>
              <w:right w:val="single" w:sz="6" w:space="0" w:color="auto"/>
            </w:tcBorders>
          </w:tcPr>
          <w:p w:rsidR="000C4574" w:rsidRDefault="000C4574">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180" w:type="dxa"/>
            <w:tcBorders>
              <w:top w:val="single" w:sz="6" w:space="0" w:color="auto"/>
              <w:left w:val="single" w:sz="6" w:space="0" w:color="auto"/>
              <w:bottom w:val="single" w:sz="6" w:space="0" w:color="auto"/>
              <w:right w:val="single" w:sz="6" w:space="0" w:color="auto"/>
            </w:tcBorders>
          </w:tcPr>
          <w:p w:rsidR="000C4574" w:rsidRDefault="000C4574"/>
        </w:tc>
        <w:tc>
          <w:tcPr>
            <w:tcW w:w="126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3732" w:type="dxa"/>
            <w:tcBorders>
              <w:top w:val="single" w:sz="6" w:space="0" w:color="auto"/>
              <w:left w:val="double" w:sz="6" w:space="0" w:color="auto"/>
              <w:bottom w:val="double" w:sz="6" w:space="0" w:color="auto"/>
              <w:right w:val="single" w:sz="6" w:space="0" w:color="auto"/>
            </w:tcBorders>
          </w:tcPr>
          <w:p w:rsidR="000C4574" w:rsidRDefault="000C4574">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0C4574" w:rsidRDefault="000C4574">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0C4574" w:rsidRDefault="000C4574">
            <w:pPr>
              <w:jc w:val="right"/>
            </w:pPr>
            <w:r>
              <w:t>15 124</w:t>
            </w:r>
          </w:p>
        </w:tc>
        <w:tc>
          <w:tcPr>
            <w:tcW w:w="1180" w:type="dxa"/>
            <w:tcBorders>
              <w:top w:val="single" w:sz="6" w:space="0" w:color="auto"/>
              <w:left w:val="single" w:sz="6" w:space="0" w:color="auto"/>
              <w:bottom w:val="double" w:sz="6" w:space="0" w:color="auto"/>
              <w:right w:val="single" w:sz="6" w:space="0" w:color="auto"/>
            </w:tcBorders>
          </w:tcPr>
          <w:p w:rsidR="000C4574" w:rsidRDefault="000C4574"/>
        </w:tc>
        <w:tc>
          <w:tcPr>
            <w:tcW w:w="1180" w:type="dxa"/>
            <w:tcBorders>
              <w:top w:val="single" w:sz="6" w:space="0" w:color="auto"/>
              <w:left w:val="single" w:sz="6" w:space="0" w:color="auto"/>
              <w:bottom w:val="double" w:sz="6" w:space="0" w:color="auto"/>
              <w:right w:val="single" w:sz="6" w:space="0" w:color="auto"/>
            </w:tcBorders>
          </w:tcPr>
          <w:p w:rsidR="000C4574" w:rsidRDefault="000C4574">
            <w:pPr>
              <w:jc w:val="right"/>
            </w:pPr>
            <w:r>
              <w:t>2 590</w:t>
            </w:r>
          </w:p>
        </w:tc>
        <w:tc>
          <w:tcPr>
            <w:tcW w:w="1260" w:type="dxa"/>
            <w:tcBorders>
              <w:top w:val="single" w:sz="6" w:space="0" w:color="auto"/>
              <w:left w:val="single" w:sz="6" w:space="0" w:color="auto"/>
              <w:bottom w:val="double" w:sz="6" w:space="0" w:color="auto"/>
              <w:right w:val="double" w:sz="6" w:space="0" w:color="auto"/>
            </w:tcBorders>
          </w:tcPr>
          <w:p w:rsidR="000C4574" w:rsidRDefault="000C4574">
            <w:pPr>
              <w:jc w:val="right"/>
            </w:pPr>
            <w:r>
              <w:t>12 534</w:t>
            </w:r>
          </w:p>
        </w:tc>
      </w:tr>
    </w:tbl>
    <w:p w:rsidR="000C4574" w:rsidRDefault="000C4574"/>
    <w:p w:rsidR="000C4574" w:rsidRDefault="000C4574">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0C4574">
        <w:tblPrEx>
          <w:tblCellMar>
            <w:top w:w="0" w:type="dxa"/>
            <w:bottom w:w="0" w:type="dxa"/>
          </w:tblCellMar>
        </w:tblPrEx>
        <w:tc>
          <w:tcPr>
            <w:tcW w:w="9252" w:type="dxa"/>
            <w:gridSpan w:val="5"/>
            <w:tcBorders>
              <w:top w:val="double" w:sz="6" w:space="0" w:color="auto"/>
              <w:left w:val="double" w:sz="6" w:space="0" w:color="auto"/>
              <w:bottom w:val="single" w:sz="6" w:space="0" w:color="auto"/>
              <w:right w:val="double" w:sz="6" w:space="0" w:color="auto"/>
            </w:tcBorders>
          </w:tcPr>
          <w:p w:rsidR="000C4574" w:rsidRDefault="000C4574">
            <w:pPr>
              <w:jc w:val="center"/>
            </w:pPr>
            <w:r>
              <w:t>Справки</w:t>
            </w:r>
          </w:p>
        </w:tc>
      </w:tr>
      <w:tr w:rsidR="000C4574">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0C4574" w:rsidRDefault="000C4574">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0C4574" w:rsidRDefault="000C4574">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0C4574" w:rsidRDefault="000C4574">
            <w:pPr>
              <w:jc w:val="center"/>
            </w:pPr>
            <w:r>
              <w:t>На 31.12.2013 г.</w:t>
            </w:r>
          </w:p>
        </w:tc>
        <w:tc>
          <w:tcPr>
            <w:tcW w:w="1460" w:type="dxa"/>
            <w:tcBorders>
              <w:top w:val="single" w:sz="6" w:space="0" w:color="auto"/>
              <w:left w:val="single" w:sz="6" w:space="0" w:color="auto"/>
              <w:bottom w:val="single" w:sz="6" w:space="0" w:color="auto"/>
              <w:right w:val="single" w:sz="6" w:space="0" w:color="auto"/>
            </w:tcBorders>
          </w:tcPr>
          <w:p w:rsidR="000C4574" w:rsidRDefault="000C4574">
            <w:pPr>
              <w:jc w:val="center"/>
            </w:pPr>
            <w:r>
              <w:t>На 31.12.2012 г.</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На 31.12.2011 г.</w:t>
            </w:r>
          </w:p>
        </w:tc>
      </w:tr>
      <w:tr w:rsidR="000C4574">
        <w:tblPrEx>
          <w:tblCellMar>
            <w:top w:w="0" w:type="dxa"/>
            <w:bottom w:w="0" w:type="dxa"/>
          </w:tblCellMar>
        </w:tblPrEx>
        <w:tc>
          <w:tcPr>
            <w:tcW w:w="401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0C4574" w:rsidRDefault="000C4574">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0C4574" w:rsidRDefault="000C4574">
            <w:pPr>
              <w:jc w:val="center"/>
            </w:pPr>
            <w:r>
              <w:t>5</w:t>
            </w:r>
          </w:p>
        </w:tc>
      </w:tr>
      <w:tr w:rsidR="000C4574">
        <w:tblPrEx>
          <w:tblCellMar>
            <w:top w:w="0" w:type="dxa"/>
            <w:bottom w:w="0" w:type="dxa"/>
          </w:tblCellMar>
        </w:tblPrEx>
        <w:tc>
          <w:tcPr>
            <w:tcW w:w="4012" w:type="dxa"/>
            <w:tcBorders>
              <w:top w:val="single" w:sz="6" w:space="0" w:color="auto"/>
              <w:left w:val="double" w:sz="6" w:space="0" w:color="auto"/>
              <w:bottom w:val="double" w:sz="6" w:space="0" w:color="auto"/>
              <w:right w:val="single" w:sz="6" w:space="0" w:color="auto"/>
            </w:tcBorders>
          </w:tcPr>
          <w:p w:rsidR="000C4574" w:rsidRDefault="000C4574">
            <w:r>
              <w:t>Чистые активы</w:t>
            </w:r>
          </w:p>
        </w:tc>
        <w:tc>
          <w:tcPr>
            <w:tcW w:w="820" w:type="dxa"/>
            <w:tcBorders>
              <w:top w:val="single" w:sz="6" w:space="0" w:color="auto"/>
              <w:left w:val="single" w:sz="6" w:space="0" w:color="auto"/>
              <w:bottom w:val="double" w:sz="6" w:space="0" w:color="auto"/>
              <w:right w:val="single" w:sz="6" w:space="0" w:color="auto"/>
            </w:tcBorders>
          </w:tcPr>
          <w:p w:rsidR="000C4574" w:rsidRDefault="000C4574">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0C4574" w:rsidRDefault="000C4574">
            <w:pPr>
              <w:jc w:val="right"/>
            </w:pPr>
            <w:r>
              <w:t>18 632 170</w:t>
            </w:r>
          </w:p>
        </w:tc>
        <w:tc>
          <w:tcPr>
            <w:tcW w:w="1460" w:type="dxa"/>
            <w:tcBorders>
              <w:top w:val="single" w:sz="6" w:space="0" w:color="auto"/>
              <w:left w:val="single" w:sz="6" w:space="0" w:color="auto"/>
              <w:bottom w:val="double" w:sz="6" w:space="0" w:color="auto"/>
              <w:right w:val="single" w:sz="6" w:space="0" w:color="auto"/>
            </w:tcBorders>
          </w:tcPr>
          <w:p w:rsidR="000C4574" w:rsidRDefault="000C4574">
            <w:pPr>
              <w:jc w:val="right"/>
            </w:pPr>
            <w:r>
              <w:t>14 817 520</w:t>
            </w:r>
          </w:p>
        </w:tc>
        <w:tc>
          <w:tcPr>
            <w:tcW w:w="1500" w:type="dxa"/>
            <w:tcBorders>
              <w:top w:val="single" w:sz="6" w:space="0" w:color="auto"/>
              <w:left w:val="single" w:sz="6" w:space="0" w:color="auto"/>
              <w:bottom w:val="double" w:sz="6" w:space="0" w:color="auto"/>
              <w:right w:val="double" w:sz="6" w:space="0" w:color="auto"/>
            </w:tcBorders>
          </w:tcPr>
          <w:p w:rsidR="000C4574" w:rsidRDefault="000C4574">
            <w:pPr>
              <w:jc w:val="right"/>
            </w:pPr>
            <w:r>
              <w:t>7 498 666</w:t>
            </w:r>
          </w:p>
        </w:tc>
      </w:tr>
    </w:tbl>
    <w:p w:rsidR="000C4574" w:rsidRDefault="000C4574"/>
    <w:p w:rsidR="000C4574" w:rsidRDefault="000C4574">
      <w:pPr>
        <w:ind w:left="400"/>
      </w:pPr>
    </w:p>
    <w:p w:rsidR="000C4574" w:rsidRDefault="000C4574">
      <w:pPr>
        <w:pStyle w:val="Headingbalance"/>
        <w:ind w:left="200"/>
      </w:pPr>
      <w:r>
        <w:br w:type="page"/>
      </w:r>
      <w:r>
        <w:lastRenderedPageBreak/>
        <w:t>Отчет о движении денежных средств</w:t>
      </w:r>
    </w:p>
    <w:p w:rsidR="000C4574" w:rsidRDefault="000C4574">
      <w:pPr>
        <w:jc w:val="center"/>
        <w:rPr>
          <w:b/>
          <w:bCs/>
        </w:rPr>
      </w:pPr>
      <w:r>
        <w:rPr>
          <w:b/>
          <w:bCs/>
        </w:rPr>
        <w:t>за 2013 г.</w:t>
      </w:r>
    </w:p>
    <w:tbl>
      <w:tblPr>
        <w:tblW w:w="0" w:type="auto"/>
        <w:tblLayout w:type="fixed"/>
        <w:tblCellMar>
          <w:left w:w="72" w:type="dxa"/>
          <w:right w:w="72" w:type="dxa"/>
        </w:tblCellMar>
        <w:tblLook w:val="0000"/>
      </w:tblPr>
      <w:tblGrid>
        <w:gridCol w:w="6112"/>
        <w:gridCol w:w="1560"/>
        <w:gridCol w:w="1580"/>
      </w:tblGrid>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pPr>
            <w:r>
              <w:t>Коды</w:t>
            </w:r>
          </w:p>
        </w:tc>
      </w:tr>
      <w:tr w:rsidR="000C4574">
        <w:tblPrEx>
          <w:tblCellMar>
            <w:top w:w="0" w:type="dxa"/>
            <w:bottom w:w="0" w:type="dxa"/>
          </w:tblCellMar>
        </w:tblPrEx>
        <w:tc>
          <w:tcPr>
            <w:tcW w:w="7672" w:type="dxa"/>
            <w:gridSpan w:val="2"/>
            <w:tcBorders>
              <w:top w:val="nil"/>
              <w:left w:val="nil"/>
              <w:bottom w:val="nil"/>
              <w:right w:val="nil"/>
            </w:tcBorders>
          </w:tcPr>
          <w:p w:rsidR="000C4574" w:rsidRDefault="000C4574">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0710004</w:t>
            </w:r>
          </w:p>
        </w:tc>
      </w:tr>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31.12.2013</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0C4574" w:rsidRDefault="000C457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05125841</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Идентификационный номер налогоплательщика</w:t>
            </w:r>
          </w:p>
        </w:tc>
        <w:tc>
          <w:tcPr>
            <w:tcW w:w="1560" w:type="dxa"/>
            <w:tcBorders>
              <w:top w:val="nil"/>
              <w:left w:val="nil"/>
              <w:bottom w:val="nil"/>
              <w:right w:val="nil"/>
            </w:tcBorders>
          </w:tcPr>
          <w:p w:rsidR="000C4574" w:rsidRDefault="000C457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8602016394</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Вид деятельности:</w:t>
            </w:r>
          </w:p>
        </w:tc>
        <w:tc>
          <w:tcPr>
            <w:tcW w:w="1560" w:type="dxa"/>
            <w:tcBorders>
              <w:top w:val="nil"/>
              <w:left w:val="nil"/>
              <w:bottom w:val="nil"/>
              <w:right w:val="nil"/>
            </w:tcBorders>
          </w:tcPr>
          <w:p w:rsidR="000C4574" w:rsidRDefault="000C457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45.25.2</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0C4574" w:rsidRDefault="000C457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 xml:space="preserve"> /</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Единица измерения:</w:t>
            </w:r>
            <w:r>
              <w:rPr>
                <w:b/>
                <w:bCs/>
              </w:rPr>
              <w:t xml:space="preserve"> тыс. руб.</w:t>
            </w:r>
          </w:p>
        </w:tc>
        <w:tc>
          <w:tcPr>
            <w:tcW w:w="1560" w:type="dxa"/>
            <w:tcBorders>
              <w:top w:val="nil"/>
              <w:left w:val="nil"/>
              <w:bottom w:val="nil"/>
              <w:right w:val="nil"/>
            </w:tcBorders>
          </w:tcPr>
          <w:p w:rsidR="000C4574" w:rsidRDefault="000C457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384</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0C4574" w:rsidRDefault="000C4574"/>
        </w:tc>
        <w:tc>
          <w:tcPr>
            <w:tcW w:w="1580" w:type="dxa"/>
            <w:tcBorders>
              <w:top w:val="nil"/>
              <w:left w:val="nil"/>
              <w:bottom w:val="nil"/>
              <w:right w:val="nil"/>
            </w:tcBorders>
          </w:tcPr>
          <w:p w:rsidR="000C4574" w:rsidRDefault="000C4574"/>
        </w:tc>
      </w:tr>
    </w:tbl>
    <w:p w:rsidR="000C4574" w:rsidRDefault="000C4574">
      <w:pPr>
        <w:pStyle w:val="ThinDelim"/>
      </w:pPr>
    </w:p>
    <w:tbl>
      <w:tblPr>
        <w:tblW w:w="0" w:type="auto"/>
        <w:tblLayout w:type="fixed"/>
        <w:tblCellMar>
          <w:left w:w="72" w:type="dxa"/>
          <w:right w:w="72" w:type="dxa"/>
        </w:tblCellMar>
        <w:tblLook w:val="0000"/>
      </w:tblPr>
      <w:tblGrid>
        <w:gridCol w:w="5392"/>
        <w:gridCol w:w="720"/>
        <w:gridCol w:w="1560"/>
        <w:gridCol w:w="1580"/>
      </w:tblGrid>
      <w:tr w:rsidR="000C4574">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0C4574" w:rsidRDefault="000C4574">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0C4574" w:rsidRDefault="000C4574">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0C4574" w:rsidRDefault="000C4574">
            <w:pPr>
              <w:jc w:val="center"/>
            </w:pPr>
            <w:r>
              <w:t xml:space="preserve"> За 12 мес.2013 г.</w:t>
            </w:r>
          </w:p>
        </w:tc>
        <w:tc>
          <w:tcPr>
            <w:tcW w:w="1580" w:type="dxa"/>
            <w:tcBorders>
              <w:top w:val="double" w:sz="6" w:space="0" w:color="auto"/>
              <w:left w:val="single" w:sz="6" w:space="0" w:color="auto"/>
              <w:bottom w:val="single" w:sz="6" w:space="0" w:color="auto"/>
              <w:right w:val="double" w:sz="6" w:space="0" w:color="auto"/>
            </w:tcBorders>
          </w:tcPr>
          <w:p w:rsidR="000C4574" w:rsidRDefault="000C4574">
            <w:pPr>
              <w:jc w:val="center"/>
            </w:pPr>
            <w:r>
              <w:t xml:space="preserve"> За 12 мес.2012 г.</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center"/>
            </w:pPr>
            <w:r>
              <w:t>4</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38 038 143</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42 833 647</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37 836 602</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42 606 885</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3 125</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8 740</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198 416</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214 568</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30 752 273</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29 459 678</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7 311 450</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5 783 672</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20 069</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16 906</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67 547</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72 596</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406 666</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759 897</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1 811 213</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66 835</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7 285 870</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13 373 969</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178</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18 483</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178</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18 483</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 xml:space="preserve">дивидендов, процентов по долговым финансовым вложениям и аналогичных поступлений от долевого участия </w:t>
            </w:r>
            <w:r>
              <w:lastRenderedPageBreak/>
              <w:t>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14 062 376</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8 926 885</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14 062 376</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8 926 885</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14 062 198</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8 908 402</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4 931 355</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481 103</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4 894 242</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474 080</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37 113</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7 023</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1 893 009</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1 241 286</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том числе:</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34 063</w:t>
            </w:r>
          </w:p>
        </w:tc>
        <w:tc>
          <w:tcPr>
            <w:tcW w:w="158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1 858 946</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1 218 810</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0C4574" w:rsidRDefault="000C4574"/>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22 476</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3 038 346</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760 183</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3 737 982</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3 705 384</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3 746 867</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41 484</w:t>
            </w:r>
          </w:p>
        </w:tc>
      </w:tr>
      <w:tr w:rsidR="000C4574">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0C4574" w:rsidRDefault="000C4574">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0C4574" w:rsidRDefault="000C4574">
            <w:pPr>
              <w:jc w:val="right"/>
            </w:pPr>
            <w:r>
              <w:t>8 885</w:t>
            </w:r>
          </w:p>
        </w:tc>
        <w:tc>
          <w:tcPr>
            <w:tcW w:w="1580" w:type="dxa"/>
            <w:tcBorders>
              <w:top w:val="single" w:sz="6" w:space="0" w:color="auto"/>
              <w:left w:val="single" w:sz="6" w:space="0" w:color="auto"/>
              <w:bottom w:val="single" w:sz="6" w:space="0" w:color="auto"/>
              <w:right w:val="double" w:sz="6" w:space="0" w:color="auto"/>
            </w:tcBorders>
          </w:tcPr>
          <w:p w:rsidR="000C4574" w:rsidRDefault="000C4574">
            <w:pPr>
              <w:jc w:val="right"/>
            </w:pPr>
            <w:r>
              <w:t>3 746 868</w:t>
            </w:r>
          </w:p>
        </w:tc>
      </w:tr>
      <w:tr w:rsidR="000C4574">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0C4574" w:rsidRDefault="000C4574">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0C4574" w:rsidRDefault="000C4574">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0C4574" w:rsidRDefault="000C4574"/>
        </w:tc>
        <w:tc>
          <w:tcPr>
            <w:tcW w:w="1580" w:type="dxa"/>
            <w:tcBorders>
              <w:top w:val="single" w:sz="6" w:space="0" w:color="auto"/>
              <w:left w:val="single" w:sz="6" w:space="0" w:color="auto"/>
              <w:bottom w:val="double" w:sz="6" w:space="0" w:color="auto"/>
              <w:right w:val="double" w:sz="6" w:space="0" w:color="auto"/>
            </w:tcBorders>
          </w:tcPr>
          <w:p w:rsidR="000C4574" w:rsidRDefault="000C4574"/>
        </w:tc>
      </w:tr>
    </w:tbl>
    <w:p w:rsidR="000C4574" w:rsidRDefault="000C4574"/>
    <w:p w:rsidR="000C4574" w:rsidRDefault="000C4574">
      <w:pPr>
        <w:pStyle w:val="Headingbalance"/>
        <w:ind w:left="200"/>
      </w:pPr>
      <w:r>
        <w:t>Приложение к бухгалтерскому балансу</w:t>
      </w:r>
    </w:p>
    <w:p w:rsidR="000C4574" w:rsidRDefault="000C4574">
      <w:pPr>
        <w:ind w:left="400"/>
        <w:rPr>
          <w:rStyle w:val="Subst"/>
          <w:bCs/>
          <w:iCs/>
        </w:rPr>
      </w:pPr>
      <w:r>
        <w:rPr>
          <w:rStyle w:val="Subst"/>
          <w:bCs/>
          <w:iCs/>
        </w:rPr>
        <w:t>Информация приводится в приложении к настоящему ежеквартальному отчету</w:t>
      </w:r>
    </w:p>
    <w:p w:rsidR="000C4574" w:rsidRDefault="000C4574" w:rsidP="000C4574">
      <w:pPr>
        <w:pStyle w:val="Headingbalance"/>
        <w:ind w:left="200"/>
        <w:jc w:val="left"/>
      </w:pPr>
      <w:r>
        <w:br w:type="page"/>
      </w:r>
      <w:r>
        <w:lastRenderedPageBreak/>
        <w:t>Информация, сопутствующая бухгалтерской отчетности</w:t>
      </w:r>
    </w:p>
    <w:p w:rsidR="000C4574" w:rsidRDefault="000C4574">
      <w:pPr>
        <w:ind w:left="400"/>
      </w:pPr>
    </w:p>
    <w:p w:rsidR="000C4574" w:rsidRDefault="000C4574">
      <w:pPr>
        <w:ind w:left="400"/>
        <w:rPr>
          <w:rStyle w:val="Subst"/>
          <w:bCs/>
          <w:iCs/>
        </w:rPr>
      </w:pPr>
      <w:r>
        <w:rPr>
          <w:rStyle w:val="Subst"/>
          <w:bCs/>
          <w:iCs/>
        </w:rPr>
        <w:t>Информация приводится в приложении к настоящему ежеквартальному отчету</w:t>
      </w:r>
    </w:p>
    <w:p w:rsidR="000C4574" w:rsidRDefault="000C4574">
      <w:pPr>
        <w:pStyle w:val="SubHeading"/>
        <w:ind w:left="200"/>
      </w:pPr>
      <w:r>
        <w:t>Аудиторское заключение</w:t>
      </w:r>
    </w:p>
    <w:p w:rsidR="000C4574" w:rsidRDefault="000C4574">
      <w:pPr>
        <w:ind w:left="400"/>
      </w:pPr>
    </w:p>
    <w:p w:rsidR="000C4574" w:rsidRDefault="000C4574">
      <w:pPr>
        <w:ind w:left="400"/>
        <w:rPr>
          <w:rStyle w:val="Subst"/>
          <w:bCs/>
          <w:iCs/>
        </w:rPr>
      </w:pPr>
      <w:r>
        <w:rPr>
          <w:rStyle w:val="Subst"/>
          <w:bCs/>
          <w:iCs/>
        </w:rPr>
        <w:t>Информация приводится в приложении к настоящему ежеквартальному отчету</w:t>
      </w:r>
    </w:p>
    <w:p w:rsidR="000C4574" w:rsidRDefault="000C4574">
      <w:r>
        <w:rPr>
          <w:rStyle w:val="Subst"/>
          <w:bCs/>
          <w:iCs/>
        </w:rPr>
        <w:t>В отчетном периоде эмитентом составлялась годовая бухгалтерская(финансовая) отчетность в соответствии с Международными стандартами финансовой отчетности либо Общепринятыми принципами бухгалтерского учета США</w:t>
      </w:r>
    </w:p>
    <w:p w:rsidR="000C4574" w:rsidRDefault="000C4574">
      <w:pPr>
        <w:pStyle w:val="SubHeading"/>
      </w:pPr>
      <w:r>
        <w:t>Отчетный период</w:t>
      </w:r>
    </w:p>
    <w:p w:rsidR="000C4574" w:rsidRDefault="000C4574">
      <w:pPr>
        <w:ind w:left="200"/>
      </w:pPr>
      <w:r>
        <w:t>Год:</w:t>
      </w:r>
      <w:r>
        <w:rPr>
          <w:rStyle w:val="Subst"/>
          <w:bCs/>
          <w:iCs/>
        </w:rPr>
        <w:t xml:space="preserve"> 2013</w:t>
      </w:r>
    </w:p>
    <w:p w:rsidR="000C4574" w:rsidRDefault="000C4574">
      <w:pPr>
        <w:ind w:left="200"/>
      </w:pPr>
      <w:r>
        <w:t>Квартал:</w:t>
      </w:r>
      <w:r>
        <w:rPr>
          <w:rStyle w:val="Subst"/>
          <w:bCs/>
          <w:iCs/>
        </w:rPr>
        <w:t xml:space="preserve"> IV</w:t>
      </w:r>
    </w:p>
    <w:p w:rsidR="000C4574" w:rsidRDefault="000C4574">
      <w:r>
        <w:t>Стандарты (правила), в соответствии с которыми составлена бухгалтерская (финансовая) отчетность, раскрываемая в настоящем пункте ежеквартального отчета</w:t>
      </w:r>
    </w:p>
    <w:p w:rsidR="000C4574" w:rsidRDefault="000C4574">
      <w:r>
        <w:rPr>
          <w:rStyle w:val="Subst"/>
          <w:bCs/>
          <w:iCs/>
        </w:rPr>
        <w:t>МСФО</w:t>
      </w:r>
    </w:p>
    <w:p w:rsidR="000C4574" w:rsidRDefault="000C4574"/>
    <w:p w:rsidR="000C4574" w:rsidRDefault="000C4574">
      <w:pPr>
        <w:rPr>
          <w:rStyle w:val="Subst"/>
          <w:bCs/>
          <w:iCs/>
        </w:rPr>
      </w:pPr>
      <w:r>
        <w:rPr>
          <w:rStyle w:val="Subst"/>
          <w:bCs/>
          <w:iCs/>
        </w:rPr>
        <w:t>Информация приводится в приложении к настоящему ежеквартальному отчету</w:t>
      </w:r>
    </w:p>
    <w:p w:rsidR="000C4574" w:rsidRDefault="000C4574">
      <w:pPr>
        <w:pStyle w:val="2"/>
      </w:pPr>
      <w:r>
        <w:t>7.2. Квартальная бухгалтерская (финансовая) отчетность эмитента</w:t>
      </w:r>
    </w:p>
    <w:p w:rsidR="000C4574" w:rsidRDefault="000C4574">
      <w:pPr>
        <w:pStyle w:val="Headingbalance"/>
      </w:pPr>
      <w:r>
        <w:t>Бухгалтерский баланс</w:t>
      </w:r>
    </w:p>
    <w:p w:rsidR="000C4574" w:rsidRDefault="000C4574">
      <w:pPr>
        <w:jc w:val="center"/>
        <w:rPr>
          <w:b/>
          <w:bCs/>
        </w:rPr>
      </w:pPr>
      <w:r>
        <w:rPr>
          <w:b/>
          <w:bCs/>
        </w:rPr>
        <w:t>на 31.03.2014</w:t>
      </w:r>
    </w:p>
    <w:tbl>
      <w:tblPr>
        <w:tblW w:w="0" w:type="auto"/>
        <w:tblLayout w:type="fixed"/>
        <w:tblCellMar>
          <w:left w:w="72" w:type="dxa"/>
          <w:right w:w="72" w:type="dxa"/>
        </w:tblCellMar>
        <w:tblLook w:val="0000"/>
      </w:tblPr>
      <w:tblGrid>
        <w:gridCol w:w="6112"/>
        <w:gridCol w:w="1560"/>
        <w:gridCol w:w="1580"/>
      </w:tblGrid>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pPr>
            <w:r>
              <w:t>Коды</w:t>
            </w:r>
          </w:p>
        </w:tc>
      </w:tr>
      <w:tr w:rsidR="000C4574">
        <w:tblPrEx>
          <w:tblCellMar>
            <w:top w:w="0" w:type="dxa"/>
            <w:bottom w:w="0" w:type="dxa"/>
          </w:tblCellMar>
        </w:tblPrEx>
        <w:tc>
          <w:tcPr>
            <w:tcW w:w="7672" w:type="dxa"/>
            <w:gridSpan w:val="2"/>
            <w:tcBorders>
              <w:top w:val="nil"/>
              <w:left w:val="nil"/>
              <w:bottom w:val="nil"/>
              <w:right w:val="nil"/>
            </w:tcBorders>
          </w:tcPr>
          <w:p w:rsidR="000C4574" w:rsidRDefault="000C4574">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0710001</w:t>
            </w:r>
          </w:p>
        </w:tc>
      </w:tr>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31.03.2014</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0C4574" w:rsidRDefault="000C457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05125841</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Идентификационный номер налогоплательщика</w:t>
            </w:r>
          </w:p>
        </w:tc>
        <w:tc>
          <w:tcPr>
            <w:tcW w:w="1560" w:type="dxa"/>
            <w:tcBorders>
              <w:top w:val="nil"/>
              <w:left w:val="nil"/>
              <w:bottom w:val="nil"/>
              <w:right w:val="nil"/>
            </w:tcBorders>
          </w:tcPr>
          <w:p w:rsidR="000C4574" w:rsidRDefault="000C457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8602016394</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Вид деятельности:</w:t>
            </w:r>
          </w:p>
        </w:tc>
        <w:tc>
          <w:tcPr>
            <w:tcW w:w="1560" w:type="dxa"/>
            <w:tcBorders>
              <w:top w:val="nil"/>
              <w:left w:val="nil"/>
              <w:bottom w:val="nil"/>
              <w:right w:val="nil"/>
            </w:tcBorders>
          </w:tcPr>
          <w:p w:rsidR="000C4574" w:rsidRDefault="000C457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45.25.2</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0C4574" w:rsidRDefault="000C457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 xml:space="preserve"> /</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Единица измерения:</w:t>
            </w:r>
            <w:r>
              <w:rPr>
                <w:b/>
                <w:bCs/>
              </w:rPr>
              <w:t xml:space="preserve"> тыс. руб.</w:t>
            </w:r>
          </w:p>
        </w:tc>
        <w:tc>
          <w:tcPr>
            <w:tcW w:w="1560" w:type="dxa"/>
            <w:tcBorders>
              <w:top w:val="nil"/>
              <w:left w:val="nil"/>
              <w:bottom w:val="nil"/>
              <w:right w:val="nil"/>
            </w:tcBorders>
          </w:tcPr>
          <w:p w:rsidR="000C4574" w:rsidRDefault="000C457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384</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0C4574" w:rsidRDefault="000C4574"/>
        </w:tc>
        <w:tc>
          <w:tcPr>
            <w:tcW w:w="1580" w:type="dxa"/>
            <w:tcBorders>
              <w:top w:val="nil"/>
              <w:left w:val="nil"/>
              <w:bottom w:val="nil"/>
              <w:right w:val="nil"/>
            </w:tcBorders>
          </w:tcPr>
          <w:p w:rsidR="000C4574" w:rsidRDefault="000C4574"/>
        </w:tc>
      </w:tr>
    </w:tbl>
    <w:p w:rsidR="000C4574" w:rsidRDefault="000C4574">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0C4574">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0C4574" w:rsidRDefault="000C457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C4574" w:rsidRDefault="000C4574">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0C4574" w:rsidRDefault="000C457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0C4574" w:rsidRDefault="000C4574">
            <w:pPr>
              <w:jc w:val="center"/>
            </w:pPr>
            <w:r>
              <w:t>На  31.12.2012 г.</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center"/>
            </w:pPr>
            <w:r>
              <w:t>6</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32</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34</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51</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40 602 646</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40 522 296</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36 125 205</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750 478</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750 478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750 478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546 464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512 887</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491 826</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301 956</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756 244</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1 235 381</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49 145 376</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49 357 186</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48 094 071</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Запасы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613 757</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556 084</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471 865</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23 447</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32</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13 864</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579 653</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609 008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347 258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72 061</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8 885</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3 746 867</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15</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1 288 928</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1 174 011</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4 579 869</w:t>
            </w:r>
          </w:p>
        </w:tc>
      </w:tr>
      <w:tr w:rsidR="000C4574">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0C4574" w:rsidRDefault="000C4574"/>
        </w:tc>
        <w:tc>
          <w:tcPr>
            <w:tcW w:w="3840" w:type="dxa"/>
            <w:tcBorders>
              <w:top w:val="single" w:sz="6" w:space="0" w:color="auto"/>
              <w:left w:val="single" w:sz="6" w:space="0" w:color="auto"/>
              <w:bottom w:val="double" w:sz="6" w:space="0" w:color="auto"/>
              <w:right w:val="single" w:sz="6" w:space="0" w:color="auto"/>
            </w:tcBorders>
          </w:tcPr>
          <w:p w:rsidR="000C4574" w:rsidRDefault="000C4574">
            <w:r>
              <w:t>БАЛАНС (актив)</w:t>
            </w:r>
          </w:p>
        </w:tc>
        <w:tc>
          <w:tcPr>
            <w:tcW w:w="720" w:type="dxa"/>
            <w:tcBorders>
              <w:top w:val="single" w:sz="6" w:space="0" w:color="auto"/>
              <w:left w:val="single" w:sz="6" w:space="0" w:color="auto"/>
              <w:bottom w:val="double" w:sz="6" w:space="0" w:color="auto"/>
              <w:right w:val="single" w:sz="6" w:space="0" w:color="auto"/>
            </w:tcBorders>
          </w:tcPr>
          <w:p w:rsidR="000C4574" w:rsidRDefault="000C4574">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0C4574" w:rsidRDefault="000C4574">
            <w:pPr>
              <w:jc w:val="right"/>
            </w:pPr>
            <w:r>
              <w:t>50 434 304</w:t>
            </w:r>
          </w:p>
        </w:tc>
        <w:tc>
          <w:tcPr>
            <w:tcW w:w="1280" w:type="dxa"/>
            <w:tcBorders>
              <w:top w:val="single" w:sz="6" w:space="0" w:color="auto"/>
              <w:left w:val="single" w:sz="6" w:space="0" w:color="auto"/>
              <w:bottom w:val="double" w:sz="6" w:space="0" w:color="auto"/>
              <w:right w:val="single" w:sz="6" w:space="0" w:color="auto"/>
            </w:tcBorders>
          </w:tcPr>
          <w:p w:rsidR="000C4574" w:rsidRDefault="000C4574">
            <w:pPr>
              <w:jc w:val="right"/>
            </w:pPr>
            <w:r>
              <w:t>50 531 197</w:t>
            </w:r>
          </w:p>
        </w:tc>
        <w:tc>
          <w:tcPr>
            <w:tcW w:w="1340" w:type="dxa"/>
            <w:tcBorders>
              <w:top w:val="single" w:sz="6" w:space="0" w:color="auto"/>
              <w:left w:val="single" w:sz="6" w:space="0" w:color="auto"/>
              <w:bottom w:val="double" w:sz="6" w:space="0" w:color="auto"/>
              <w:right w:val="double" w:sz="6" w:space="0" w:color="auto"/>
            </w:tcBorders>
          </w:tcPr>
          <w:p w:rsidR="000C4574" w:rsidRDefault="000C4574">
            <w:pPr>
              <w:jc w:val="right"/>
            </w:pPr>
            <w:r>
              <w:t>52 673 940</w:t>
            </w:r>
          </w:p>
        </w:tc>
      </w:tr>
    </w:tbl>
    <w:p w:rsidR="000C4574" w:rsidRDefault="000C4574"/>
    <w:p w:rsidR="000C4574" w:rsidRDefault="000C4574">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0C4574">
        <w:tblPrEx>
          <w:tblCellMar>
            <w:top w:w="0" w:type="dxa"/>
            <w:bottom w:w="0" w:type="dxa"/>
          </w:tblCellMar>
        </w:tblPrEx>
        <w:tc>
          <w:tcPr>
            <w:tcW w:w="792" w:type="dxa"/>
            <w:tcBorders>
              <w:top w:val="double" w:sz="6" w:space="0" w:color="auto"/>
              <w:left w:val="double" w:sz="6" w:space="0" w:color="auto"/>
              <w:bottom w:val="single" w:sz="6" w:space="0" w:color="auto"/>
              <w:right w:val="single" w:sz="6" w:space="0" w:color="auto"/>
            </w:tcBorders>
          </w:tcPr>
          <w:p w:rsidR="000C4574" w:rsidRDefault="000C4574">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C4574" w:rsidRDefault="000C4574">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0C4574" w:rsidRDefault="000C4574">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0C4574" w:rsidRDefault="000C4574">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0C4574" w:rsidRDefault="000C4574">
            <w:pPr>
              <w:jc w:val="center"/>
            </w:pPr>
            <w:r>
              <w:t>На  31.12.2012 г.</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center"/>
            </w:pPr>
            <w:r>
              <w:t>6</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3 368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5 784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5 784</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5 798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3 368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3 368</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19 417 577</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18 619 650</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14 804 986</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19 430 097</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18 632 170</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14 817 520</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5 353 065</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4 909 380</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303 727</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2 031 982</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1 833 273</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1 312 811</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1 225 316</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1 692 628</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2 269 842</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8 610 363</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8 435 281</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3 886 380</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180 450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329 920</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1 717 944</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21 486 610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22 404 799</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32 192 762</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0</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726 784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729 027</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59 334</w:t>
            </w:r>
          </w:p>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280" w:type="dxa"/>
            <w:tcBorders>
              <w:top w:val="single" w:sz="6" w:space="0" w:color="auto"/>
              <w:left w:val="single" w:sz="6" w:space="0" w:color="auto"/>
              <w:bottom w:val="single" w:sz="6" w:space="0" w:color="auto"/>
              <w:right w:val="single" w:sz="6" w:space="0" w:color="auto"/>
            </w:tcBorders>
          </w:tcPr>
          <w:p w:rsidR="000C4574" w:rsidRDefault="000C4574"/>
        </w:tc>
        <w:tc>
          <w:tcPr>
            <w:tcW w:w="134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92" w:type="dxa"/>
            <w:tcBorders>
              <w:top w:val="single" w:sz="6" w:space="0" w:color="auto"/>
              <w:left w:val="double" w:sz="6" w:space="0" w:color="auto"/>
              <w:bottom w:val="single" w:sz="6" w:space="0" w:color="auto"/>
              <w:right w:val="single" w:sz="6" w:space="0" w:color="auto"/>
            </w:tcBorders>
          </w:tcPr>
          <w:p w:rsidR="000C4574" w:rsidRDefault="000C4574"/>
        </w:tc>
        <w:tc>
          <w:tcPr>
            <w:tcW w:w="3840" w:type="dxa"/>
            <w:tcBorders>
              <w:top w:val="single" w:sz="6" w:space="0" w:color="auto"/>
              <w:left w:val="single" w:sz="6" w:space="0" w:color="auto"/>
              <w:bottom w:val="single" w:sz="6" w:space="0" w:color="auto"/>
              <w:right w:val="single" w:sz="6" w:space="0" w:color="auto"/>
            </w:tcBorders>
          </w:tcPr>
          <w:p w:rsidR="000C4574" w:rsidRDefault="000C4574">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0C4574" w:rsidRDefault="000C4574">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22 393 844</w:t>
            </w:r>
          </w:p>
        </w:tc>
        <w:tc>
          <w:tcPr>
            <w:tcW w:w="1280" w:type="dxa"/>
            <w:tcBorders>
              <w:top w:val="single" w:sz="6" w:space="0" w:color="auto"/>
              <w:left w:val="single" w:sz="6" w:space="0" w:color="auto"/>
              <w:bottom w:val="single" w:sz="6" w:space="0" w:color="auto"/>
              <w:right w:val="single" w:sz="6" w:space="0" w:color="auto"/>
            </w:tcBorders>
          </w:tcPr>
          <w:p w:rsidR="000C4574" w:rsidRDefault="000C4574">
            <w:pPr>
              <w:jc w:val="right"/>
            </w:pPr>
            <w:r>
              <w:t>23 463 746</w:t>
            </w:r>
          </w:p>
        </w:tc>
        <w:tc>
          <w:tcPr>
            <w:tcW w:w="1340" w:type="dxa"/>
            <w:tcBorders>
              <w:top w:val="single" w:sz="6" w:space="0" w:color="auto"/>
              <w:left w:val="single" w:sz="6" w:space="0" w:color="auto"/>
              <w:bottom w:val="single" w:sz="6" w:space="0" w:color="auto"/>
              <w:right w:val="double" w:sz="6" w:space="0" w:color="auto"/>
            </w:tcBorders>
          </w:tcPr>
          <w:p w:rsidR="000C4574" w:rsidRDefault="000C4574">
            <w:pPr>
              <w:jc w:val="right"/>
            </w:pPr>
            <w:r>
              <w:t>33 970 040</w:t>
            </w:r>
          </w:p>
        </w:tc>
      </w:tr>
      <w:tr w:rsidR="000C4574">
        <w:tblPrEx>
          <w:tblCellMar>
            <w:top w:w="0" w:type="dxa"/>
            <w:bottom w:w="0" w:type="dxa"/>
          </w:tblCellMar>
        </w:tblPrEx>
        <w:tc>
          <w:tcPr>
            <w:tcW w:w="792" w:type="dxa"/>
            <w:tcBorders>
              <w:top w:val="single" w:sz="6" w:space="0" w:color="auto"/>
              <w:left w:val="double" w:sz="6" w:space="0" w:color="auto"/>
              <w:bottom w:val="double" w:sz="6" w:space="0" w:color="auto"/>
              <w:right w:val="single" w:sz="6" w:space="0" w:color="auto"/>
            </w:tcBorders>
          </w:tcPr>
          <w:p w:rsidR="000C4574" w:rsidRDefault="000C4574"/>
        </w:tc>
        <w:tc>
          <w:tcPr>
            <w:tcW w:w="3840" w:type="dxa"/>
            <w:tcBorders>
              <w:top w:val="single" w:sz="6" w:space="0" w:color="auto"/>
              <w:left w:val="single" w:sz="6" w:space="0" w:color="auto"/>
              <w:bottom w:val="double" w:sz="6" w:space="0" w:color="auto"/>
              <w:right w:val="single" w:sz="6" w:space="0" w:color="auto"/>
            </w:tcBorders>
          </w:tcPr>
          <w:p w:rsidR="000C4574" w:rsidRDefault="000C4574">
            <w:r>
              <w:t>БАЛАНС (пассив)</w:t>
            </w:r>
          </w:p>
        </w:tc>
        <w:tc>
          <w:tcPr>
            <w:tcW w:w="720" w:type="dxa"/>
            <w:tcBorders>
              <w:top w:val="single" w:sz="6" w:space="0" w:color="auto"/>
              <w:left w:val="single" w:sz="6" w:space="0" w:color="auto"/>
              <w:bottom w:val="double" w:sz="6" w:space="0" w:color="auto"/>
              <w:right w:val="single" w:sz="6" w:space="0" w:color="auto"/>
            </w:tcBorders>
          </w:tcPr>
          <w:p w:rsidR="000C4574" w:rsidRDefault="000C4574">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0C4574" w:rsidRDefault="000C4574">
            <w:pPr>
              <w:jc w:val="right"/>
            </w:pPr>
            <w:r>
              <w:t>50 434 304</w:t>
            </w:r>
          </w:p>
        </w:tc>
        <w:tc>
          <w:tcPr>
            <w:tcW w:w="1280" w:type="dxa"/>
            <w:tcBorders>
              <w:top w:val="single" w:sz="6" w:space="0" w:color="auto"/>
              <w:left w:val="single" w:sz="6" w:space="0" w:color="auto"/>
              <w:bottom w:val="double" w:sz="6" w:space="0" w:color="auto"/>
              <w:right w:val="single" w:sz="6" w:space="0" w:color="auto"/>
            </w:tcBorders>
          </w:tcPr>
          <w:p w:rsidR="000C4574" w:rsidRDefault="000C4574">
            <w:pPr>
              <w:jc w:val="right"/>
            </w:pPr>
            <w:r>
              <w:t>50 531 197</w:t>
            </w:r>
          </w:p>
        </w:tc>
        <w:tc>
          <w:tcPr>
            <w:tcW w:w="1340" w:type="dxa"/>
            <w:tcBorders>
              <w:top w:val="single" w:sz="6" w:space="0" w:color="auto"/>
              <w:left w:val="single" w:sz="6" w:space="0" w:color="auto"/>
              <w:bottom w:val="double" w:sz="6" w:space="0" w:color="auto"/>
              <w:right w:val="double" w:sz="6" w:space="0" w:color="auto"/>
            </w:tcBorders>
          </w:tcPr>
          <w:p w:rsidR="000C4574" w:rsidRDefault="000C4574">
            <w:pPr>
              <w:jc w:val="right"/>
            </w:pPr>
            <w:r>
              <w:t>52 673 940</w:t>
            </w:r>
          </w:p>
        </w:tc>
      </w:tr>
    </w:tbl>
    <w:p w:rsidR="000C4574" w:rsidRDefault="000C4574"/>
    <w:p w:rsidR="000C4574" w:rsidRDefault="000C4574">
      <w:pPr>
        <w:ind w:left="200"/>
      </w:pPr>
    </w:p>
    <w:p w:rsidR="000C4574" w:rsidRDefault="000C4574">
      <w:pPr>
        <w:pStyle w:val="Headingbalance"/>
      </w:pPr>
      <w:r>
        <w:br w:type="page"/>
      </w:r>
      <w:r>
        <w:lastRenderedPageBreak/>
        <w:t>Отчет о финансовых результатах</w:t>
      </w:r>
    </w:p>
    <w:p w:rsidR="000C4574" w:rsidRDefault="000C4574">
      <w:pPr>
        <w:jc w:val="center"/>
        <w:rPr>
          <w:b/>
          <w:bCs/>
        </w:rPr>
      </w:pPr>
      <w:r>
        <w:rPr>
          <w:b/>
          <w:bCs/>
        </w:rPr>
        <w:t>за 3 месяца 2014 г.</w:t>
      </w:r>
    </w:p>
    <w:tbl>
      <w:tblPr>
        <w:tblW w:w="0" w:type="auto"/>
        <w:tblLayout w:type="fixed"/>
        <w:tblCellMar>
          <w:left w:w="72" w:type="dxa"/>
          <w:right w:w="72" w:type="dxa"/>
        </w:tblCellMar>
        <w:tblLook w:val="0000"/>
      </w:tblPr>
      <w:tblGrid>
        <w:gridCol w:w="6112"/>
        <w:gridCol w:w="1560"/>
        <w:gridCol w:w="1580"/>
      </w:tblGrid>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pPr>
            <w:r>
              <w:t>Коды</w:t>
            </w:r>
          </w:p>
        </w:tc>
      </w:tr>
      <w:tr w:rsidR="000C4574">
        <w:tblPrEx>
          <w:tblCellMar>
            <w:top w:w="0" w:type="dxa"/>
            <w:bottom w:w="0" w:type="dxa"/>
          </w:tblCellMar>
        </w:tblPrEx>
        <w:tc>
          <w:tcPr>
            <w:tcW w:w="7672" w:type="dxa"/>
            <w:gridSpan w:val="2"/>
            <w:tcBorders>
              <w:top w:val="nil"/>
              <w:left w:val="nil"/>
              <w:bottom w:val="nil"/>
              <w:right w:val="nil"/>
            </w:tcBorders>
          </w:tcPr>
          <w:p w:rsidR="000C4574" w:rsidRDefault="000C4574">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0710002</w:t>
            </w:r>
          </w:p>
        </w:tc>
      </w:tr>
      <w:tr w:rsidR="000C4574">
        <w:tblPrEx>
          <w:tblCellMar>
            <w:top w:w="0" w:type="dxa"/>
            <w:bottom w:w="0" w:type="dxa"/>
          </w:tblCellMar>
        </w:tblPrEx>
        <w:tc>
          <w:tcPr>
            <w:tcW w:w="6112" w:type="dxa"/>
            <w:tcBorders>
              <w:top w:val="nil"/>
              <w:left w:val="nil"/>
              <w:bottom w:val="nil"/>
              <w:right w:val="nil"/>
            </w:tcBorders>
          </w:tcPr>
          <w:p w:rsidR="000C4574" w:rsidRDefault="000C4574"/>
        </w:tc>
        <w:tc>
          <w:tcPr>
            <w:tcW w:w="1560" w:type="dxa"/>
            <w:tcBorders>
              <w:top w:val="nil"/>
              <w:left w:val="nil"/>
              <w:bottom w:val="nil"/>
              <w:right w:val="nil"/>
            </w:tcBorders>
          </w:tcPr>
          <w:p w:rsidR="000C4574" w:rsidRDefault="000C4574">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31.03.2014</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Организация:</w:t>
            </w:r>
            <w:r>
              <w:rPr>
                <w:b/>
                <w:bCs/>
              </w:rPr>
              <w:t xml:space="preserve"> Открытое акционерное общество "Обьнефтегазгеология"</w:t>
            </w:r>
          </w:p>
        </w:tc>
        <w:tc>
          <w:tcPr>
            <w:tcW w:w="1560" w:type="dxa"/>
            <w:tcBorders>
              <w:top w:val="nil"/>
              <w:left w:val="nil"/>
              <w:bottom w:val="nil"/>
              <w:right w:val="nil"/>
            </w:tcBorders>
          </w:tcPr>
          <w:p w:rsidR="000C4574" w:rsidRDefault="000C4574">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05125841</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Идентификационный номер налогоплательщика</w:t>
            </w:r>
          </w:p>
        </w:tc>
        <w:tc>
          <w:tcPr>
            <w:tcW w:w="1560" w:type="dxa"/>
            <w:tcBorders>
              <w:top w:val="nil"/>
              <w:left w:val="nil"/>
              <w:bottom w:val="nil"/>
              <w:right w:val="nil"/>
            </w:tcBorders>
          </w:tcPr>
          <w:p w:rsidR="000C4574" w:rsidRDefault="000C4574">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8602016394</w:t>
            </w:r>
          </w:p>
        </w:tc>
      </w:tr>
      <w:tr w:rsidR="000C4574">
        <w:tblPrEx>
          <w:tblCellMar>
            <w:top w:w="0" w:type="dxa"/>
            <w:bottom w:w="0" w:type="dxa"/>
          </w:tblCellMar>
        </w:tblPrEx>
        <w:tc>
          <w:tcPr>
            <w:tcW w:w="6112" w:type="dxa"/>
            <w:tcBorders>
              <w:top w:val="nil"/>
              <w:left w:val="nil"/>
              <w:bottom w:val="nil"/>
              <w:right w:val="nil"/>
            </w:tcBorders>
          </w:tcPr>
          <w:p w:rsidR="000C4574" w:rsidRDefault="000C4574">
            <w:r>
              <w:t>Вид деятельности:</w:t>
            </w:r>
          </w:p>
        </w:tc>
        <w:tc>
          <w:tcPr>
            <w:tcW w:w="1560" w:type="dxa"/>
            <w:tcBorders>
              <w:top w:val="nil"/>
              <w:left w:val="nil"/>
              <w:bottom w:val="nil"/>
              <w:right w:val="nil"/>
            </w:tcBorders>
          </w:tcPr>
          <w:p w:rsidR="000C4574" w:rsidRDefault="000C4574">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45.25.2</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Организационно-правовая форма / форма собственности:</w:t>
            </w:r>
            <w:r>
              <w:rPr>
                <w:b/>
                <w:bCs/>
              </w:rPr>
              <w:t xml:space="preserve"> открытое акционерное общество /</w:t>
            </w:r>
          </w:p>
        </w:tc>
        <w:tc>
          <w:tcPr>
            <w:tcW w:w="1560" w:type="dxa"/>
            <w:tcBorders>
              <w:top w:val="nil"/>
              <w:left w:val="nil"/>
              <w:bottom w:val="nil"/>
              <w:right w:val="nil"/>
            </w:tcBorders>
          </w:tcPr>
          <w:p w:rsidR="000C4574" w:rsidRDefault="000C4574">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 xml:space="preserve"> /</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Единица измерения:</w:t>
            </w:r>
            <w:r>
              <w:rPr>
                <w:b/>
                <w:bCs/>
              </w:rPr>
              <w:t xml:space="preserve"> тыс. руб.</w:t>
            </w:r>
          </w:p>
        </w:tc>
        <w:tc>
          <w:tcPr>
            <w:tcW w:w="1560" w:type="dxa"/>
            <w:tcBorders>
              <w:top w:val="nil"/>
              <w:left w:val="nil"/>
              <w:bottom w:val="nil"/>
              <w:right w:val="nil"/>
            </w:tcBorders>
          </w:tcPr>
          <w:p w:rsidR="000C4574" w:rsidRDefault="000C4574">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C4574" w:rsidRDefault="000C4574">
            <w:pPr>
              <w:jc w:val="center"/>
              <w:rPr>
                <w:b/>
                <w:bCs/>
              </w:rPr>
            </w:pPr>
            <w:r>
              <w:rPr>
                <w:b/>
                <w:bCs/>
              </w:rPr>
              <w:t>384</w:t>
            </w:r>
          </w:p>
        </w:tc>
      </w:tr>
      <w:tr w:rsidR="000C4574">
        <w:tblPrEx>
          <w:tblCellMar>
            <w:top w:w="0" w:type="dxa"/>
            <w:bottom w:w="0" w:type="dxa"/>
          </w:tblCellMar>
        </w:tblPrEx>
        <w:tc>
          <w:tcPr>
            <w:tcW w:w="6112" w:type="dxa"/>
            <w:tcBorders>
              <w:top w:val="nil"/>
              <w:left w:val="nil"/>
              <w:bottom w:val="nil"/>
              <w:right w:val="nil"/>
            </w:tcBorders>
          </w:tcPr>
          <w:p w:rsidR="000C4574" w:rsidRDefault="000C4574">
            <w:pPr>
              <w:rPr>
                <w:b/>
                <w:bCs/>
              </w:rPr>
            </w:pPr>
            <w:r>
              <w:t>Местонахождение (адрес):</w:t>
            </w:r>
            <w:r>
              <w:rPr>
                <w:b/>
                <w:bCs/>
              </w:rPr>
              <w:t xml:space="preserve"> 628402 Россия, Ханты-Мансийский автономный округ-Югра, г. Сургут, Федорова 68 стр. а</w:t>
            </w:r>
          </w:p>
        </w:tc>
        <w:tc>
          <w:tcPr>
            <w:tcW w:w="1560" w:type="dxa"/>
            <w:tcBorders>
              <w:top w:val="nil"/>
              <w:left w:val="nil"/>
              <w:bottom w:val="nil"/>
              <w:right w:val="nil"/>
            </w:tcBorders>
          </w:tcPr>
          <w:p w:rsidR="000C4574" w:rsidRDefault="000C4574"/>
        </w:tc>
        <w:tc>
          <w:tcPr>
            <w:tcW w:w="1580" w:type="dxa"/>
            <w:tcBorders>
              <w:top w:val="nil"/>
              <w:left w:val="nil"/>
              <w:bottom w:val="nil"/>
              <w:right w:val="nil"/>
            </w:tcBorders>
          </w:tcPr>
          <w:p w:rsidR="000C4574" w:rsidRDefault="000C4574"/>
        </w:tc>
      </w:tr>
    </w:tbl>
    <w:p w:rsidR="000C4574" w:rsidRDefault="000C4574">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0C4574">
        <w:tblPrEx>
          <w:tblCellMar>
            <w:top w:w="0" w:type="dxa"/>
            <w:bottom w:w="0" w:type="dxa"/>
          </w:tblCellMar>
        </w:tblPrEx>
        <w:tc>
          <w:tcPr>
            <w:tcW w:w="712" w:type="dxa"/>
            <w:tcBorders>
              <w:top w:val="double" w:sz="6" w:space="0" w:color="auto"/>
              <w:left w:val="double" w:sz="6" w:space="0" w:color="auto"/>
              <w:bottom w:val="single" w:sz="6" w:space="0" w:color="auto"/>
              <w:right w:val="single" w:sz="6" w:space="0" w:color="auto"/>
            </w:tcBorders>
          </w:tcPr>
          <w:p w:rsidR="000C4574" w:rsidRDefault="000C4574">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0C4574" w:rsidRDefault="000C4574">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0C4574" w:rsidRDefault="000C4574">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0C4574" w:rsidRDefault="000C4574">
            <w:pPr>
              <w:jc w:val="center"/>
            </w:pPr>
            <w:r>
              <w:t xml:space="preserve"> За  3 мес.2014 г.</w:t>
            </w:r>
          </w:p>
        </w:tc>
        <w:tc>
          <w:tcPr>
            <w:tcW w:w="1400" w:type="dxa"/>
            <w:tcBorders>
              <w:top w:val="double" w:sz="6" w:space="0" w:color="auto"/>
              <w:left w:val="single" w:sz="6" w:space="0" w:color="auto"/>
              <w:bottom w:val="single" w:sz="6" w:space="0" w:color="auto"/>
              <w:right w:val="double" w:sz="6" w:space="0" w:color="auto"/>
            </w:tcBorders>
          </w:tcPr>
          <w:p w:rsidR="000C4574" w:rsidRDefault="000C4574">
            <w:pPr>
              <w:jc w:val="center"/>
            </w:pPr>
            <w:r>
              <w:t xml:space="preserve"> За  3 мес.2013 г.</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0C4574" w:rsidRDefault="000C4574">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center"/>
            </w:pPr>
            <w:r>
              <w:t>5</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Выручка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10 149 997</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9 535 656</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8 471 048</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7 823 164</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1 678 949</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1 712 492</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11 364</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10 755</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1 667 585</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1 701 737</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15 000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69 434</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65 060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13 571</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Прочие доходы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135 448</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32 084</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793 401</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317 916</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959 572</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1 471 768</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237 587</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429</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153</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197 153</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56 698</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33 597</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43 932</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Прочее</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1 911</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1 899</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797 927</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1 219 516</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СПРАВОЧНО:</w:t>
            </w:r>
          </w:p>
        </w:tc>
        <w:tc>
          <w:tcPr>
            <w:tcW w:w="640" w:type="dxa"/>
            <w:tcBorders>
              <w:top w:val="single" w:sz="6" w:space="0" w:color="auto"/>
              <w:left w:val="single" w:sz="6" w:space="0" w:color="auto"/>
              <w:bottom w:val="single" w:sz="6" w:space="0" w:color="auto"/>
              <w:right w:val="single" w:sz="6" w:space="0" w:color="auto"/>
            </w:tcBorders>
          </w:tcPr>
          <w:p w:rsidR="000C4574" w:rsidRDefault="000C4574"/>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pPr>
              <w:jc w:val="right"/>
            </w:pPr>
            <w:r>
              <w:t>797 927</w:t>
            </w:r>
          </w:p>
        </w:tc>
        <w:tc>
          <w:tcPr>
            <w:tcW w:w="1400" w:type="dxa"/>
            <w:tcBorders>
              <w:top w:val="single" w:sz="6" w:space="0" w:color="auto"/>
              <w:left w:val="single" w:sz="6" w:space="0" w:color="auto"/>
              <w:bottom w:val="single" w:sz="6" w:space="0" w:color="auto"/>
              <w:right w:val="double" w:sz="6" w:space="0" w:color="auto"/>
            </w:tcBorders>
          </w:tcPr>
          <w:p w:rsidR="000C4574" w:rsidRDefault="000C4574">
            <w:pPr>
              <w:jc w:val="right"/>
            </w:pPr>
            <w:r>
              <w:t>1 219 516</w:t>
            </w:r>
          </w:p>
        </w:tc>
      </w:tr>
      <w:tr w:rsidR="000C4574">
        <w:tblPrEx>
          <w:tblCellMar>
            <w:top w:w="0" w:type="dxa"/>
            <w:bottom w:w="0" w:type="dxa"/>
          </w:tblCellMar>
        </w:tblPrEx>
        <w:tc>
          <w:tcPr>
            <w:tcW w:w="712" w:type="dxa"/>
            <w:tcBorders>
              <w:top w:val="single" w:sz="6" w:space="0" w:color="auto"/>
              <w:left w:val="double" w:sz="6" w:space="0" w:color="auto"/>
              <w:bottom w:val="single" w:sz="6" w:space="0" w:color="auto"/>
              <w:right w:val="single" w:sz="6" w:space="0" w:color="auto"/>
            </w:tcBorders>
          </w:tcPr>
          <w:p w:rsidR="000C4574" w:rsidRDefault="000C4574"/>
        </w:tc>
        <w:tc>
          <w:tcPr>
            <w:tcW w:w="5140" w:type="dxa"/>
            <w:tcBorders>
              <w:top w:val="single" w:sz="6" w:space="0" w:color="auto"/>
              <w:left w:val="single" w:sz="6" w:space="0" w:color="auto"/>
              <w:bottom w:val="single" w:sz="6" w:space="0" w:color="auto"/>
              <w:right w:val="single" w:sz="6" w:space="0" w:color="auto"/>
            </w:tcBorders>
          </w:tcPr>
          <w:p w:rsidR="000C4574" w:rsidRDefault="000C4574">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0C4574" w:rsidRDefault="000C4574">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0C4574" w:rsidRDefault="000C4574"/>
        </w:tc>
        <w:tc>
          <w:tcPr>
            <w:tcW w:w="1400" w:type="dxa"/>
            <w:tcBorders>
              <w:top w:val="single" w:sz="6" w:space="0" w:color="auto"/>
              <w:left w:val="single" w:sz="6" w:space="0" w:color="auto"/>
              <w:bottom w:val="single" w:sz="6" w:space="0" w:color="auto"/>
              <w:right w:val="double" w:sz="6" w:space="0" w:color="auto"/>
            </w:tcBorders>
          </w:tcPr>
          <w:p w:rsidR="000C4574" w:rsidRDefault="000C4574"/>
        </w:tc>
      </w:tr>
      <w:tr w:rsidR="000C4574">
        <w:tblPrEx>
          <w:tblCellMar>
            <w:top w:w="0" w:type="dxa"/>
            <w:bottom w:w="0" w:type="dxa"/>
          </w:tblCellMar>
        </w:tblPrEx>
        <w:tc>
          <w:tcPr>
            <w:tcW w:w="712" w:type="dxa"/>
            <w:tcBorders>
              <w:top w:val="single" w:sz="6" w:space="0" w:color="auto"/>
              <w:left w:val="double" w:sz="6" w:space="0" w:color="auto"/>
              <w:bottom w:val="double" w:sz="6" w:space="0" w:color="auto"/>
              <w:right w:val="single" w:sz="6" w:space="0" w:color="auto"/>
            </w:tcBorders>
          </w:tcPr>
          <w:p w:rsidR="000C4574" w:rsidRDefault="000C4574"/>
        </w:tc>
        <w:tc>
          <w:tcPr>
            <w:tcW w:w="5140" w:type="dxa"/>
            <w:tcBorders>
              <w:top w:val="single" w:sz="6" w:space="0" w:color="auto"/>
              <w:left w:val="single" w:sz="6" w:space="0" w:color="auto"/>
              <w:bottom w:val="double" w:sz="6" w:space="0" w:color="auto"/>
              <w:right w:val="single" w:sz="6" w:space="0" w:color="auto"/>
            </w:tcBorders>
          </w:tcPr>
          <w:p w:rsidR="000C4574" w:rsidRDefault="000C4574">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0C4574" w:rsidRDefault="000C4574">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0C4574" w:rsidRDefault="000C4574"/>
        </w:tc>
        <w:tc>
          <w:tcPr>
            <w:tcW w:w="1400" w:type="dxa"/>
            <w:tcBorders>
              <w:top w:val="single" w:sz="6" w:space="0" w:color="auto"/>
              <w:left w:val="single" w:sz="6" w:space="0" w:color="auto"/>
              <w:bottom w:val="double" w:sz="6" w:space="0" w:color="auto"/>
              <w:right w:val="double" w:sz="6" w:space="0" w:color="auto"/>
            </w:tcBorders>
          </w:tcPr>
          <w:p w:rsidR="000C4574" w:rsidRDefault="000C4574"/>
        </w:tc>
      </w:tr>
    </w:tbl>
    <w:p w:rsidR="000C4574" w:rsidRDefault="000C4574"/>
    <w:p w:rsidR="000C4574" w:rsidRDefault="000C4574">
      <w:pPr>
        <w:ind w:left="200"/>
      </w:pPr>
    </w:p>
    <w:p w:rsidR="000C4574" w:rsidRDefault="000C4574" w:rsidP="000C4574">
      <w:pPr>
        <w:pStyle w:val="Headingbalance"/>
      </w:pPr>
      <w:r>
        <w:br w:type="page"/>
      </w:r>
      <w:r>
        <w:lastRenderedPageBreak/>
        <w:t xml:space="preserve"> </w:t>
      </w:r>
    </w:p>
    <w:p w:rsidR="000C4574" w:rsidRDefault="000C4574">
      <w:pPr>
        <w:pStyle w:val="SubHeading"/>
      </w:pPr>
      <w:r>
        <w:t>Информация, сопутствующая бухгалтерской отчетности</w:t>
      </w:r>
    </w:p>
    <w:p w:rsidR="000C4574" w:rsidRDefault="000C4574">
      <w:pPr>
        <w:ind w:left="200"/>
      </w:pPr>
    </w:p>
    <w:p w:rsidR="000C4574" w:rsidRDefault="000C4574">
      <w:pPr>
        <w:pStyle w:val="Headingbalance"/>
      </w:pPr>
      <w:r>
        <w:t>Аудиторское заключение</w:t>
      </w:r>
    </w:p>
    <w:p w:rsidR="000C4574" w:rsidRDefault="000C4574">
      <w:pPr>
        <w:ind w:left="200"/>
      </w:pPr>
    </w:p>
    <w:p w:rsidR="000C4574" w:rsidRDefault="000C4574">
      <w:r>
        <w:rPr>
          <w:rStyle w:val="Subst"/>
          <w:bCs/>
          <w:iCs/>
        </w:rPr>
        <w:t>В отчетном периоде эмитентом составлялась промежуточная бухгалтерская(финансовая) отчетность в соответствии с Международными стандартами финансовой отчетности либо Общепринятыми принципами бухгалтерского учета США</w:t>
      </w:r>
    </w:p>
    <w:p w:rsidR="000C4574" w:rsidRDefault="000C4574">
      <w:pPr>
        <w:pStyle w:val="SubHeading"/>
      </w:pPr>
      <w:r>
        <w:t>2014, 3 мес. - МСФО/GAAP</w:t>
      </w:r>
    </w:p>
    <w:p w:rsidR="000C4574" w:rsidRDefault="000C4574">
      <w:pPr>
        <w:pStyle w:val="SubHeading"/>
        <w:ind w:left="200"/>
      </w:pPr>
      <w:r>
        <w:t>Отчетный период</w:t>
      </w:r>
    </w:p>
    <w:p w:rsidR="000C4574" w:rsidRDefault="000C4574">
      <w:pPr>
        <w:ind w:left="400"/>
      </w:pPr>
      <w:r>
        <w:t>Год:</w:t>
      </w:r>
      <w:r>
        <w:rPr>
          <w:rStyle w:val="Subst"/>
          <w:bCs/>
          <w:iCs/>
        </w:rPr>
        <w:t xml:space="preserve"> 2014</w:t>
      </w:r>
    </w:p>
    <w:p w:rsidR="000C4574" w:rsidRDefault="000C4574">
      <w:pPr>
        <w:ind w:left="400"/>
      </w:pPr>
      <w:r>
        <w:t>Квартал:</w:t>
      </w:r>
      <w:r>
        <w:rPr>
          <w:rStyle w:val="Subst"/>
          <w:bCs/>
          <w:iCs/>
        </w:rPr>
        <w:t xml:space="preserve"> I</w:t>
      </w:r>
    </w:p>
    <w:p w:rsidR="000C4574" w:rsidRDefault="000C4574">
      <w:pPr>
        <w:ind w:left="200"/>
      </w:pPr>
      <w:r>
        <w:t>Стандарты (правила), в соответствии с которыми составлена бухгалтерская (финансовая) отчетность, раскрываемая в настоящем пункте ежеквартального отчета</w:t>
      </w:r>
    </w:p>
    <w:p w:rsidR="000C4574" w:rsidRDefault="000C4574">
      <w:pPr>
        <w:ind w:left="200"/>
      </w:pPr>
      <w:r>
        <w:rPr>
          <w:rStyle w:val="Subst"/>
          <w:bCs/>
          <w:iCs/>
        </w:rPr>
        <w:t>МСФО</w:t>
      </w:r>
    </w:p>
    <w:p w:rsidR="000C4574" w:rsidRDefault="000C4574">
      <w:pPr>
        <w:ind w:left="200"/>
      </w:pPr>
    </w:p>
    <w:p w:rsidR="000C4574" w:rsidRDefault="000C4574">
      <w:pPr>
        <w:ind w:left="200"/>
        <w:rPr>
          <w:rStyle w:val="Subst"/>
          <w:bCs/>
          <w:iCs/>
        </w:rPr>
      </w:pPr>
      <w:r>
        <w:rPr>
          <w:rStyle w:val="Subst"/>
          <w:bCs/>
          <w:iCs/>
        </w:rPr>
        <w:t>Информация приводится в приложении к настоящему ежеквартальному отчету</w:t>
      </w:r>
    </w:p>
    <w:p w:rsidR="000C4574" w:rsidRDefault="000C4574">
      <w:pPr>
        <w:pStyle w:val="2"/>
      </w:pPr>
      <w:r>
        <w:t>7.3. Сводная бухгалтерская (консолидированная финансовая) отчетность эмитента</w:t>
      </w:r>
    </w:p>
    <w:p w:rsidR="000C4574" w:rsidRDefault="000C4574"/>
    <w:p w:rsidR="000C4574" w:rsidRDefault="000C4574">
      <w:r>
        <w:rPr>
          <w:rStyle w:val="Subst"/>
          <w:bCs/>
          <w:iCs/>
        </w:rPr>
        <w:t>Годовая сводная бухгалтерская (консолидированная финансовая) отчетность эмитента за последний завершенный финансовый год составлена до даты окончания первого квартала и включена в состав отчета за 1-й квартал</w:t>
      </w:r>
    </w:p>
    <w:p w:rsidR="000C4574" w:rsidRDefault="000C4574"/>
    <w:p w:rsidR="000C4574" w:rsidRDefault="000C4574">
      <w:r>
        <w:t>Стандарты (правила), в соответствии с которыми составлена сводная бухгалтерская (консолидированная финансовая) отчетность, раскрываемая в настоящем пункте ежеквартального отчета</w:t>
      </w:r>
    </w:p>
    <w:p w:rsidR="000C4574" w:rsidRDefault="000C4574">
      <w:r>
        <w:rPr>
          <w:rStyle w:val="Subst"/>
          <w:bCs/>
          <w:iCs/>
        </w:rPr>
        <w:t>РСБУ</w:t>
      </w:r>
    </w:p>
    <w:p w:rsidR="000C4574" w:rsidRDefault="000C4574"/>
    <w:p w:rsidR="000C4574" w:rsidRDefault="000C4574">
      <w:pPr>
        <w:pStyle w:val="2"/>
      </w:pPr>
      <w:r>
        <w:t>7.4. Сведения об учетной политике эмитента</w:t>
      </w:r>
    </w:p>
    <w:p w:rsidR="000C4574" w:rsidRDefault="000C4574">
      <w:pPr>
        <w:ind w:left="200"/>
      </w:pPr>
      <w:r>
        <w:rPr>
          <w:rStyle w:val="Subst"/>
          <w:bCs/>
          <w:iCs/>
        </w:rPr>
        <w:t>Положение разработано в соответствии с требованиями бухгалтерского законодательства Российской Федерации. Оно содержит изложение учетной политики ОАО «Обьнефтегазгеология» (далее Общество).</w:t>
      </w:r>
      <w:r>
        <w:rPr>
          <w:rStyle w:val="Subst"/>
          <w:bCs/>
          <w:iCs/>
        </w:rPr>
        <w:br/>
        <w:t>Положение описывает организацию и ведение бухгалтерского учета в Обществе и призвано обеспечить достоверность всех видов отчетности, подготавливаемой в Обществе - оперативной, бухгалтерской, статистической.</w:t>
      </w:r>
      <w:r>
        <w:rPr>
          <w:rStyle w:val="Subst"/>
          <w:bCs/>
          <w:iCs/>
        </w:rPr>
        <w:br/>
        <w:t>Способы ведения бухгалтерского учета, избранные предприятием при формировании настоящей учетной политики, применяются с 1 января 2012 года.</w:t>
      </w:r>
      <w:r>
        <w:rPr>
          <w:rStyle w:val="Subst"/>
          <w:bCs/>
          <w:iCs/>
        </w:rPr>
        <w:br/>
        <w:t>Требования настоящего Положения являются обязательными для исполнения:</w:t>
      </w:r>
      <w:r>
        <w:rPr>
          <w:rStyle w:val="Subst"/>
          <w:bCs/>
          <w:iCs/>
        </w:rPr>
        <w:br/>
        <w:t>•</w:t>
      </w:r>
      <w:r>
        <w:rPr>
          <w:rStyle w:val="Subst"/>
          <w:bCs/>
          <w:iCs/>
        </w:rPr>
        <w:tab/>
        <w:t>руководителями и работниками всех структурных подразделений, управлений, служб и отделов Общества, отвечающих за своевременное представление первичных документов и иной учетной информации бухгалтерским службам;</w:t>
      </w:r>
      <w:r>
        <w:rPr>
          <w:rStyle w:val="Subst"/>
          <w:bCs/>
          <w:iCs/>
        </w:rPr>
        <w:br/>
        <w:t>•</w:t>
      </w:r>
      <w:r>
        <w:rPr>
          <w:rStyle w:val="Subst"/>
          <w:bCs/>
          <w:iCs/>
        </w:rPr>
        <w:tab/>
        <w:t>работниками служб и отделов, отвечающими за своевременную разработку, пересмотр, доведение нормативно-справочной информации до подразделений-исполнителей;</w:t>
      </w:r>
      <w:r>
        <w:rPr>
          <w:rStyle w:val="Subst"/>
          <w:bCs/>
          <w:iCs/>
        </w:rPr>
        <w:br/>
        <w:t>•</w:t>
      </w:r>
      <w:r>
        <w:rPr>
          <w:rStyle w:val="Subst"/>
          <w:bCs/>
          <w:iCs/>
        </w:rPr>
        <w:tab/>
        <w:t>работниками Бухгалтерии, отвечающими за своевременное и качественное выполнение всех видов учетных работ и составление достоверной отчетности всех видов.</w:t>
      </w:r>
      <w:r>
        <w:rPr>
          <w:rStyle w:val="Subst"/>
          <w:bCs/>
          <w:iCs/>
        </w:rPr>
        <w:br/>
        <w:t>Настоящая учетная политика разработана в соответствии с:</w:t>
      </w:r>
      <w:r>
        <w:rPr>
          <w:rStyle w:val="Subst"/>
          <w:bCs/>
          <w:iCs/>
        </w:rPr>
        <w:br/>
        <w:t>•</w:t>
      </w:r>
      <w:r>
        <w:rPr>
          <w:rStyle w:val="Subst"/>
          <w:bCs/>
          <w:iCs/>
        </w:rPr>
        <w:tab/>
        <w:t>Федеральным законом «О бухгалтерском учете» от 21.11.96г. № 129-ФЗ;</w:t>
      </w:r>
      <w:r>
        <w:rPr>
          <w:rStyle w:val="Subst"/>
          <w:bCs/>
          <w:iCs/>
        </w:rPr>
        <w:br/>
        <w:t>•</w:t>
      </w:r>
      <w:r>
        <w:rPr>
          <w:rStyle w:val="Subst"/>
          <w:bCs/>
          <w:iCs/>
        </w:rPr>
        <w:tab/>
        <w:t>Положением по ведению бухгалтерского учета и бухгалтерской отчетности в Российской Федерации, утвержденным Приказом Минфина РФ от 29.07.98г. № 34н;</w:t>
      </w:r>
      <w:r>
        <w:rPr>
          <w:rStyle w:val="Subst"/>
          <w:bCs/>
          <w:iCs/>
        </w:rPr>
        <w:br/>
        <w:t>•</w:t>
      </w:r>
      <w:r>
        <w:rPr>
          <w:rStyle w:val="Subst"/>
          <w:bCs/>
          <w:iCs/>
        </w:rPr>
        <w:tab/>
        <w:t>Положением по бухгалтерскому учету «Учетная политика предприятия» (ПБУ 1/2008), (Приказ Минфина от 06.10.2008г. № 106н);</w:t>
      </w:r>
      <w:r>
        <w:rPr>
          <w:rStyle w:val="Subst"/>
          <w:bCs/>
          <w:iCs/>
        </w:rPr>
        <w:br/>
        <w:t>•</w:t>
      </w:r>
      <w:r>
        <w:rPr>
          <w:rStyle w:val="Subst"/>
          <w:bCs/>
          <w:iCs/>
        </w:rPr>
        <w:tab/>
        <w:t>Положением по бухгалтерскому учету «Учет договоров строительного подряда» (ПБУ 2/2008), (Приказ Минфина РФ от 24.10.2008 №116н);</w:t>
      </w:r>
      <w:r>
        <w:rPr>
          <w:rStyle w:val="Subst"/>
          <w:bCs/>
          <w:iCs/>
        </w:rPr>
        <w:br/>
      </w:r>
      <w:r>
        <w:rPr>
          <w:rStyle w:val="Subst"/>
          <w:bCs/>
          <w:iCs/>
        </w:rPr>
        <w:lastRenderedPageBreak/>
        <w:t>•</w:t>
      </w:r>
      <w:r>
        <w:rPr>
          <w:rStyle w:val="Subst"/>
          <w:bCs/>
          <w:iCs/>
        </w:rPr>
        <w:tab/>
        <w:t>Положением по бухгалтерскому учету «Учет активов и обязательств, стоимость которых выражена в иностранной валюте» (ПБУ 3/2006), (Приказ Минфина РФ от 27.11.2006г. № 154н);</w:t>
      </w:r>
      <w:r>
        <w:rPr>
          <w:rStyle w:val="Subst"/>
          <w:bCs/>
          <w:iCs/>
        </w:rPr>
        <w:br/>
        <w:t>•</w:t>
      </w:r>
      <w:r>
        <w:rPr>
          <w:rStyle w:val="Subst"/>
          <w:bCs/>
          <w:iCs/>
        </w:rPr>
        <w:tab/>
        <w:t>Положением по бухгалтерскому учету «Бухгалтерская отчетность организации» (ПБУ 4/99), (Приказ Минфина РФ от 06.07.99г. № 43н);</w:t>
      </w:r>
      <w:r>
        <w:rPr>
          <w:rStyle w:val="Subst"/>
          <w:bCs/>
          <w:iCs/>
        </w:rPr>
        <w:br/>
        <w:t>•</w:t>
      </w:r>
      <w:r>
        <w:rPr>
          <w:rStyle w:val="Subst"/>
          <w:bCs/>
          <w:iCs/>
        </w:rPr>
        <w:tab/>
        <w:t>Положением по бухгалтерскому учету «Учет материально - производственных запасов» (ПБУ 5/01), (Приказ Минфина РФ от 09.06.2001 N 44н, ред.от 26.03.2007);</w:t>
      </w:r>
      <w:r>
        <w:rPr>
          <w:rStyle w:val="Subst"/>
          <w:bCs/>
          <w:iCs/>
        </w:rPr>
        <w:br/>
        <w:t>•</w:t>
      </w:r>
      <w:r>
        <w:rPr>
          <w:rStyle w:val="Subst"/>
          <w:bCs/>
          <w:iCs/>
        </w:rPr>
        <w:tab/>
        <w:t>Положением по бухгалтерскому учету «Учет основных средств» (ПБУ 6/01) (Приказ Минфина РФ от 30.03.2001 N 26н);</w:t>
      </w:r>
      <w:r>
        <w:rPr>
          <w:rStyle w:val="Subst"/>
          <w:bCs/>
          <w:iCs/>
        </w:rPr>
        <w:br/>
        <w:t>•</w:t>
      </w:r>
      <w:r>
        <w:rPr>
          <w:rStyle w:val="Subst"/>
          <w:bCs/>
          <w:iCs/>
        </w:rPr>
        <w:tab/>
        <w:t>Положением по бухгалтерскому учету «События после отчетной даты» (ПБУ 7/98), (Приказ Минфина РФ от 25.11.98г. № 56н);</w:t>
      </w:r>
      <w:r>
        <w:rPr>
          <w:rStyle w:val="Subst"/>
          <w:bCs/>
          <w:iCs/>
        </w:rPr>
        <w:br/>
        <w:t>•</w:t>
      </w:r>
      <w:r>
        <w:rPr>
          <w:rStyle w:val="Subst"/>
          <w:bCs/>
          <w:iCs/>
        </w:rPr>
        <w:tab/>
        <w:t xml:space="preserve">Положением  по бухгалтерскому учету «Условные факты хозяйственной деятельности» (ПБУ 8/01), (Приказ Минфина РФ от 28.11.2001 N 96н); </w:t>
      </w:r>
      <w:r>
        <w:rPr>
          <w:rStyle w:val="Subst"/>
          <w:bCs/>
          <w:iCs/>
        </w:rPr>
        <w:br/>
        <w:t>•</w:t>
      </w:r>
      <w:r>
        <w:rPr>
          <w:rStyle w:val="Subst"/>
          <w:bCs/>
          <w:iCs/>
        </w:rPr>
        <w:tab/>
        <w:t>Положением по бухгалтерскому учету «Доходы организации» (ПБУ 9/99), (Приказ Минфина РФ от 06.05.99г. № 32н);</w:t>
      </w:r>
      <w:r>
        <w:rPr>
          <w:rStyle w:val="Subst"/>
          <w:bCs/>
          <w:iCs/>
        </w:rPr>
        <w:br/>
        <w:t>•</w:t>
      </w:r>
      <w:r>
        <w:rPr>
          <w:rStyle w:val="Subst"/>
          <w:bCs/>
          <w:iCs/>
        </w:rPr>
        <w:tab/>
        <w:t>Положением по бухгалтерскому учету «Расходы организации» (ПБУ 10/99), (Приказ Минфина РФ от 06.05.99г. № 33н);</w:t>
      </w:r>
      <w:r>
        <w:rPr>
          <w:rStyle w:val="Subst"/>
          <w:bCs/>
          <w:iCs/>
        </w:rPr>
        <w:br/>
        <w:t>•</w:t>
      </w:r>
      <w:r>
        <w:rPr>
          <w:rStyle w:val="Subst"/>
          <w:bCs/>
          <w:iCs/>
        </w:rPr>
        <w:tab/>
        <w:t>Положением по бухгалтерскому учету «Информация о связанных сторонах» (ПБУ 11/2008), (Приказ Минфина РФ от 29.04.2008 №48н);</w:t>
      </w:r>
      <w:r>
        <w:rPr>
          <w:rStyle w:val="Subst"/>
          <w:bCs/>
          <w:iCs/>
        </w:rPr>
        <w:br/>
        <w:t>•</w:t>
      </w:r>
      <w:r>
        <w:rPr>
          <w:rStyle w:val="Subst"/>
          <w:bCs/>
          <w:iCs/>
        </w:rPr>
        <w:tab/>
        <w:t>Положением по бухгалтерскому учету «Информация по сегментам» (ПБУ 12/2000), (Приказ Минфина РФ от 27.01.2000г. № 11н);</w:t>
      </w:r>
      <w:r>
        <w:rPr>
          <w:rStyle w:val="Subst"/>
          <w:bCs/>
          <w:iCs/>
        </w:rPr>
        <w:br/>
        <w:t>•</w:t>
      </w:r>
      <w:r>
        <w:rPr>
          <w:rStyle w:val="Subst"/>
          <w:bCs/>
          <w:iCs/>
        </w:rPr>
        <w:tab/>
        <w:t>Положением по бухгалтерскому учету «Учет государственной помощи» (ПБУ 13/2000), (Приказ Минфина РФ от 16.10.2000 N 92н);</w:t>
      </w:r>
      <w:r>
        <w:rPr>
          <w:rStyle w:val="Subst"/>
          <w:bCs/>
          <w:iCs/>
        </w:rPr>
        <w:br/>
        <w:t>•</w:t>
      </w:r>
      <w:r>
        <w:rPr>
          <w:rStyle w:val="Subst"/>
          <w:bCs/>
          <w:iCs/>
        </w:rPr>
        <w:tab/>
        <w:t>Положением по бухгалтерскому учету «Учет нематериальных активов» (ПБУ 14/2007), (Приказ Минфина РФ от 27.12.2007г. № 153н);</w:t>
      </w:r>
      <w:r>
        <w:rPr>
          <w:rStyle w:val="Subst"/>
          <w:bCs/>
          <w:iCs/>
        </w:rPr>
        <w:br/>
        <w:t>•</w:t>
      </w:r>
      <w:r>
        <w:rPr>
          <w:rStyle w:val="Subst"/>
          <w:bCs/>
          <w:iCs/>
        </w:rPr>
        <w:tab/>
        <w:t>Положения по бухгалтерскому учету «Учет расходов по займам и кредитам» (ПБУ 15/2008), (Приказ Минфина РФ от 06.10.2008г. № 107н);</w:t>
      </w:r>
      <w:r>
        <w:rPr>
          <w:rStyle w:val="Subst"/>
          <w:bCs/>
          <w:iCs/>
        </w:rPr>
        <w:br/>
        <w:t>•</w:t>
      </w:r>
      <w:r>
        <w:rPr>
          <w:rStyle w:val="Subst"/>
          <w:bCs/>
          <w:iCs/>
        </w:rPr>
        <w:tab/>
        <w:t>Положения по бухгалтерскому учету «Информация о прекращаемой деятельности» (ПБУ 16/02), (Приказ Минфина РФ от 02.07.2002 N 66н);</w:t>
      </w:r>
      <w:r>
        <w:rPr>
          <w:rStyle w:val="Subst"/>
          <w:bCs/>
          <w:iCs/>
        </w:rPr>
        <w:br/>
        <w:t>•</w:t>
      </w:r>
      <w:r>
        <w:rPr>
          <w:rStyle w:val="Subst"/>
          <w:bCs/>
          <w:iCs/>
        </w:rPr>
        <w:tab/>
        <w:t>Положения по бухгалтерскому учету «Учет расходов на научно-исследовательские и опытно-конструкторские и технологические работы» (ПБУ 17/02), (Приказ Минфина РФ от 19.11.2002г.N 115н);</w:t>
      </w:r>
      <w:r>
        <w:rPr>
          <w:rStyle w:val="Subst"/>
          <w:bCs/>
          <w:iCs/>
        </w:rPr>
        <w:br/>
        <w:t>•</w:t>
      </w:r>
      <w:r>
        <w:rPr>
          <w:rStyle w:val="Subst"/>
          <w:bCs/>
          <w:iCs/>
        </w:rPr>
        <w:tab/>
        <w:t>Положения по бухгалтерскому учету «Учет расчетов по налогу на прибыль» (ПБУ 18/02), (Приказ Минфина РФ от 19.11.2002г.N 114н);</w:t>
      </w:r>
      <w:r>
        <w:rPr>
          <w:rStyle w:val="Subst"/>
          <w:bCs/>
          <w:iCs/>
        </w:rPr>
        <w:br/>
        <w:t>•</w:t>
      </w:r>
      <w:r>
        <w:rPr>
          <w:rStyle w:val="Subst"/>
          <w:bCs/>
          <w:iCs/>
        </w:rPr>
        <w:tab/>
        <w:t>Положения по бухгалтерскому учету «Учет финансовых вложений» (ПБУ 19/02), (Приказ Минфина РФ от 10.12.2002г.N 126н);</w:t>
      </w:r>
      <w:r>
        <w:rPr>
          <w:rStyle w:val="Subst"/>
          <w:bCs/>
          <w:iCs/>
        </w:rPr>
        <w:br/>
        <w:t>•</w:t>
      </w:r>
      <w:r>
        <w:rPr>
          <w:rStyle w:val="Subst"/>
          <w:bCs/>
          <w:iCs/>
        </w:rPr>
        <w:tab/>
        <w:t>Положения по бухгалтерскому учету «Информация об участии в совместной деятельности» (ПБУ 20/03), (Приказ Минфина РФ от 24.11.2003г.N 105н);</w:t>
      </w:r>
      <w:r>
        <w:rPr>
          <w:rStyle w:val="Subst"/>
          <w:bCs/>
          <w:iCs/>
        </w:rPr>
        <w:br/>
        <w:t>•</w:t>
      </w:r>
      <w:r>
        <w:rPr>
          <w:rStyle w:val="Subst"/>
          <w:bCs/>
          <w:iCs/>
        </w:rPr>
        <w:tab/>
        <w:t>Положения по бухгалтерскому учету «Изменения оценочных значений» (ПБУ 21/2008), (Приказ Минфина от 06.10.2008г. № 106н)</w:t>
      </w:r>
      <w:r>
        <w:rPr>
          <w:rStyle w:val="Subst"/>
          <w:bCs/>
          <w:iCs/>
        </w:rPr>
        <w:br/>
        <w:t>•</w:t>
      </w:r>
      <w:r>
        <w:rPr>
          <w:rStyle w:val="Subst"/>
          <w:bCs/>
          <w:iCs/>
        </w:rPr>
        <w:tab/>
        <w:t>Положение по бухгалтерскому учету «Исправление ошибок в бухгалтерском учете и отчетности» ПБУ 22/2010 (Приказ Минфина России 28.06.2010г. №63)</w:t>
      </w:r>
      <w:r>
        <w:rPr>
          <w:rStyle w:val="Subst"/>
          <w:bCs/>
          <w:iCs/>
        </w:rPr>
        <w:br/>
        <w:t>Иные распорядительные документы по Обществу не должны противоречить настоящему Положению.</w:t>
      </w:r>
      <w:r>
        <w:rPr>
          <w:rStyle w:val="Subst"/>
          <w:bCs/>
          <w:iCs/>
        </w:rPr>
        <w:br/>
        <w:t>Все Приложения к настоящему Положению, раскрывающие особенности применения учетной политики, являются неотъемлемой частью настоящего Положения и обязательны для применения работниками Общества.</w:t>
      </w:r>
      <w:r>
        <w:rPr>
          <w:rStyle w:val="Subst"/>
          <w:bCs/>
          <w:iCs/>
        </w:rPr>
        <w:br/>
        <w:t>1.</w:t>
      </w:r>
      <w:r>
        <w:rPr>
          <w:rStyle w:val="Subst"/>
          <w:bCs/>
          <w:iCs/>
        </w:rPr>
        <w:tab/>
        <w:t>ОРГАНИЗАЦИОННЫЕ АСПЕКТЫ УЧЕТНОЙ ПОЛИТИКИ</w:t>
      </w:r>
      <w:r>
        <w:rPr>
          <w:rStyle w:val="Subst"/>
          <w:bCs/>
          <w:iCs/>
        </w:rPr>
        <w:br/>
        <w:t>1.1.</w:t>
      </w:r>
      <w:r>
        <w:rPr>
          <w:rStyle w:val="Subst"/>
          <w:bCs/>
          <w:iCs/>
        </w:rPr>
        <w:tab/>
        <w:t>Виды деятельности Общества</w:t>
      </w:r>
      <w:r>
        <w:rPr>
          <w:rStyle w:val="Subst"/>
          <w:bCs/>
          <w:iCs/>
        </w:rPr>
        <w:br/>
        <w:t>Видами деятельности Общества являются:</w:t>
      </w:r>
      <w:r>
        <w:rPr>
          <w:rStyle w:val="Subst"/>
          <w:bCs/>
          <w:iCs/>
        </w:rPr>
        <w:br/>
        <w:t>-</w:t>
      </w:r>
      <w:r>
        <w:rPr>
          <w:rStyle w:val="Subst"/>
          <w:bCs/>
          <w:iCs/>
        </w:rPr>
        <w:tab/>
        <w:t>выполнение геологоразведочных работ (строительство разведочных и поисково-оценочных скважин по договорам подряда);</w:t>
      </w:r>
      <w:r>
        <w:rPr>
          <w:rStyle w:val="Subst"/>
          <w:bCs/>
          <w:iCs/>
        </w:rPr>
        <w:br/>
        <w:t>-</w:t>
      </w:r>
      <w:r>
        <w:rPr>
          <w:rStyle w:val="Subst"/>
          <w:bCs/>
          <w:iCs/>
        </w:rPr>
        <w:tab/>
        <w:t>реализация нефти</w:t>
      </w:r>
      <w:r>
        <w:rPr>
          <w:rStyle w:val="Subst"/>
          <w:bCs/>
          <w:iCs/>
        </w:rPr>
        <w:br/>
        <w:t>-</w:t>
      </w:r>
      <w:r>
        <w:rPr>
          <w:rStyle w:val="Subst"/>
          <w:bCs/>
          <w:iCs/>
        </w:rPr>
        <w:tab/>
        <w:t>услуги общественного питания для своих работников</w:t>
      </w:r>
      <w:r>
        <w:rPr>
          <w:rStyle w:val="Subst"/>
          <w:bCs/>
          <w:iCs/>
        </w:rPr>
        <w:br/>
        <w:t>-</w:t>
      </w:r>
      <w:r>
        <w:rPr>
          <w:rStyle w:val="Subst"/>
          <w:bCs/>
          <w:iCs/>
        </w:rPr>
        <w:tab/>
        <w:t>прочие виды деятельности.</w:t>
      </w:r>
      <w:r>
        <w:rPr>
          <w:rStyle w:val="Subst"/>
          <w:bCs/>
          <w:iCs/>
        </w:rPr>
        <w:br/>
        <w:t>1.2.</w:t>
      </w:r>
      <w:r>
        <w:rPr>
          <w:rStyle w:val="Subst"/>
          <w:bCs/>
          <w:iCs/>
        </w:rPr>
        <w:tab/>
        <w:t>Организация бухгалтерского учета в Обществе</w:t>
      </w:r>
      <w:r>
        <w:rPr>
          <w:rStyle w:val="Subst"/>
          <w:bCs/>
          <w:iCs/>
        </w:rPr>
        <w:br/>
        <w:t>В соответствии со ст. 6 и 7 Федерального Закона № 129-ФЗ «О бухгалтерском учете» в организации ответственными являются:</w:t>
      </w:r>
      <w:r>
        <w:rPr>
          <w:rStyle w:val="Subst"/>
          <w:bCs/>
          <w:iCs/>
        </w:rPr>
        <w:br/>
        <w:t>•</w:t>
      </w:r>
      <w:r>
        <w:rPr>
          <w:rStyle w:val="Subst"/>
          <w:bCs/>
          <w:iCs/>
        </w:rPr>
        <w:tab/>
        <w:t>За организацию бухгалтерского учета и соблюдения законодательства при выполнении хозяйственных операций – Руководитель Общества;</w:t>
      </w:r>
      <w:r>
        <w:rPr>
          <w:rStyle w:val="Subst"/>
          <w:bCs/>
          <w:iCs/>
        </w:rPr>
        <w:br/>
        <w:t>•</w:t>
      </w:r>
      <w:r>
        <w:rPr>
          <w:rStyle w:val="Subst"/>
          <w:bCs/>
          <w:iCs/>
        </w:rPr>
        <w:tab/>
        <w:t>За формирование учетной политики, ведение бухгалтерского учета, своевременное представление полной и достоверной бухгалтерской отчетности – Главный бухгалтер Общества.</w:t>
      </w:r>
      <w:r>
        <w:rPr>
          <w:rStyle w:val="Subst"/>
          <w:bCs/>
          <w:iCs/>
        </w:rPr>
        <w:br/>
      </w:r>
      <w:r>
        <w:rPr>
          <w:rStyle w:val="Subst"/>
          <w:bCs/>
          <w:iCs/>
        </w:rPr>
        <w:lastRenderedPageBreak/>
        <w:t>Бухгалтерский учет в Обществе ведется Бухгалтерией, возглавляемой главным бухгалтером.</w:t>
      </w:r>
      <w:r>
        <w:rPr>
          <w:rStyle w:val="Subst"/>
          <w:bCs/>
          <w:iCs/>
        </w:rPr>
        <w:br/>
        <w:t>Главный бухгалтер подчиняется непосредственно генеральному директору</w:t>
      </w:r>
      <w:r>
        <w:rPr>
          <w:rStyle w:val="Subst"/>
          <w:bCs/>
          <w:iCs/>
        </w:rPr>
        <w:br/>
        <w:t xml:space="preserve"> Требования главного бухгалтера по документальному оформлению хозяйственных операций и представлению в бухгалтерию необходимых документов и сведений обязательны для всех работников.</w:t>
      </w:r>
      <w:r>
        <w:rPr>
          <w:rStyle w:val="Subst"/>
          <w:bCs/>
          <w:iCs/>
        </w:rPr>
        <w:br/>
        <w:t>В соответствии с Федеральным Законом «О бухгалтерском учете» и Положением по ведению бухгалтерского учета и бухгалтерской отчетности в Российской Федерации, утвержденным Приказом Минфина РФ № 34н от 29.07.1998 года система организации бухгалтерского учета и отчетности Общества должна:</w:t>
      </w:r>
      <w:r>
        <w:rPr>
          <w:rStyle w:val="Subst"/>
          <w:bCs/>
          <w:iCs/>
        </w:rPr>
        <w:br/>
        <w:t>-</w:t>
      </w:r>
      <w:r>
        <w:rPr>
          <w:rStyle w:val="Subst"/>
          <w:bCs/>
          <w:iCs/>
        </w:rPr>
        <w:tab/>
        <w:t xml:space="preserve">обеспечить формирование полной и достоверной информации о хозяйственных процессах и финансовых результатах деятельности.                                             </w:t>
      </w:r>
      <w:r>
        <w:rPr>
          <w:rStyle w:val="Subst"/>
          <w:bCs/>
          <w:iCs/>
        </w:rPr>
        <w:br/>
        <w:t>-</w:t>
      </w:r>
      <w:r>
        <w:rPr>
          <w:rStyle w:val="Subst"/>
          <w:bCs/>
          <w:iCs/>
        </w:rPr>
        <w:tab/>
        <w:t>обеспечить контроль за наличием и движением имущества, использованием материальных, трудовых и финансовых ресурсов в соответствии с утвержденными нормами, нормативами и сметами;</w:t>
      </w:r>
      <w:r>
        <w:rPr>
          <w:rStyle w:val="Subst"/>
          <w:bCs/>
          <w:iCs/>
        </w:rPr>
        <w:br/>
        <w:t>-</w:t>
      </w:r>
      <w:r>
        <w:rPr>
          <w:rStyle w:val="Subst"/>
          <w:bCs/>
          <w:iCs/>
        </w:rPr>
        <w:tab/>
        <w:t>обеспечить своевременное предупреждение негативных явлений в хозяйственно-финансовой деятельности и выявление внутрихозяйственных резервов.</w:t>
      </w:r>
      <w:r>
        <w:rPr>
          <w:rStyle w:val="Subst"/>
          <w:bCs/>
          <w:iCs/>
        </w:rPr>
        <w:br/>
        <w:t>Бухгалтерский учет ведется с использованием компьютерной техники с помощью программы «1С-Предприятие». Все регистры составляются по журнально-ордерной форме счетоводства и распечатываются ежемесячно на бумажные носители.</w:t>
      </w:r>
      <w:r>
        <w:rPr>
          <w:rStyle w:val="Subst"/>
          <w:bCs/>
          <w:iCs/>
        </w:rPr>
        <w:br/>
        <w:t xml:space="preserve">Бухгалтерский учет имущества, обязательств и хозяйственных операций ведется путем двойной записи на взаимосвязанных счетах бухгалтерского учета, включенных в рабочий план счетов бухгалтерского учета (Приложение № 1), который разработан Обществом на основании Плана счетов, утвержденного Приказом Минфина РФ № 94н от 31 октября 2000 года. В течение отчетного года главный бухгалтер вправе в случае производственной необходимости вносить дополнения в Рабочий план счетов. </w:t>
      </w:r>
      <w:r>
        <w:rPr>
          <w:rStyle w:val="Subst"/>
          <w:bCs/>
          <w:iCs/>
        </w:rPr>
        <w:br/>
        <w:t xml:space="preserve">Все хозяйственные операции отражаются в хронологическом порядке. </w:t>
      </w:r>
      <w:r>
        <w:rPr>
          <w:rStyle w:val="Subst"/>
          <w:bCs/>
          <w:iCs/>
        </w:rPr>
        <w:br/>
        <w:t>1.3. Применяемые формы первичных учетных документов</w:t>
      </w:r>
      <w:r>
        <w:rPr>
          <w:rStyle w:val="Subst"/>
          <w:bCs/>
          <w:iCs/>
        </w:rPr>
        <w:br/>
        <w:t>Все хозяйственные операции оформляются оправдательными документами, являющимися первичными учетными документами, на основании которых ведется бухгалтерский учет и учет для целей налогообложения.</w:t>
      </w:r>
      <w:r>
        <w:rPr>
          <w:rStyle w:val="Subst"/>
          <w:bCs/>
          <w:iCs/>
        </w:rPr>
        <w:br/>
        <w:t xml:space="preserve">Первичные учетные документы принимаются к учету, если они составлены по форме, содержащейся в альбомах унифицированных (типовых) форм первичной учетной документации, а также по формам, утверждаемым приказами и распоряжениями по Обществу. </w:t>
      </w:r>
      <w:r>
        <w:rPr>
          <w:rStyle w:val="Subst"/>
          <w:bCs/>
          <w:iCs/>
        </w:rPr>
        <w:br/>
        <w:t xml:space="preserve">Документы, форма которых не предусмотрена в этих альбомах, и утверждаемых Обществом, должны содержать следующие обязательные реквизиты: </w:t>
      </w:r>
      <w:r>
        <w:rPr>
          <w:rStyle w:val="Subst"/>
          <w:bCs/>
          <w:iCs/>
        </w:rPr>
        <w:br/>
        <w:t>•</w:t>
      </w:r>
      <w:r>
        <w:rPr>
          <w:rStyle w:val="Subst"/>
          <w:bCs/>
          <w:iCs/>
        </w:rPr>
        <w:tab/>
        <w:t xml:space="preserve">наименование документа; </w:t>
      </w:r>
      <w:r>
        <w:rPr>
          <w:rStyle w:val="Subst"/>
          <w:bCs/>
          <w:iCs/>
        </w:rPr>
        <w:br/>
        <w:t>•</w:t>
      </w:r>
      <w:r>
        <w:rPr>
          <w:rStyle w:val="Subst"/>
          <w:bCs/>
          <w:iCs/>
        </w:rPr>
        <w:tab/>
        <w:t xml:space="preserve">дату составления документа; </w:t>
      </w:r>
      <w:r>
        <w:rPr>
          <w:rStyle w:val="Subst"/>
          <w:bCs/>
          <w:iCs/>
        </w:rPr>
        <w:br/>
        <w:t>•</w:t>
      </w:r>
      <w:r>
        <w:rPr>
          <w:rStyle w:val="Subst"/>
          <w:bCs/>
          <w:iCs/>
        </w:rPr>
        <w:tab/>
        <w:t xml:space="preserve">наименование организации, от имени которой составлен документ; </w:t>
      </w:r>
      <w:r>
        <w:rPr>
          <w:rStyle w:val="Subst"/>
          <w:bCs/>
          <w:iCs/>
        </w:rPr>
        <w:br/>
        <w:t>•</w:t>
      </w:r>
      <w:r>
        <w:rPr>
          <w:rStyle w:val="Subst"/>
          <w:bCs/>
          <w:iCs/>
        </w:rPr>
        <w:tab/>
        <w:t xml:space="preserve">содержание хозяйственной операции, измерители хозяйственной операции в натуральном и денежном выражении; </w:t>
      </w:r>
      <w:r>
        <w:rPr>
          <w:rStyle w:val="Subst"/>
          <w:bCs/>
          <w:iCs/>
        </w:rPr>
        <w:br/>
        <w:t>•</w:t>
      </w:r>
      <w:r>
        <w:rPr>
          <w:rStyle w:val="Subst"/>
          <w:bCs/>
          <w:iCs/>
        </w:rPr>
        <w:tab/>
        <w:t xml:space="preserve">наименование должностей лиц, ответственных за совершение хозяйственной операции и правильность ее оформления; </w:t>
      </w:r>
      <w:r>
        <w:rPr>
          <w:rStyle w:val="Subst"/>
          <w:bCs/>
          <w:iCs/>
        </w:rPr>
        <w:br/>
        <w:t>•</w:t>
      </w:r>
      <w:r>
        <w:rPr>
          <w:rStyle w:val="Subst"/>
          <w:bCs/>
          <w:iCs/>
        </w:rPr>
        <w:tab/>
        <w:t xml:space="preserve">личные подписи указанных лиц. </w:t>
      </w:r>
      <w:r>
        <w:rPr>
          <w:rStyle w:val="Subst"/>
          <w:bCs/>
          <w:iCs/>
        </w:rPr>
        <w:br/>
        <w:t xml:space="preserve">Акты выполненных работ (услуг), не имеющие унифицированной формы, принимаются к учету по форме, предоставленной организацией, выполняющей работы (услуги), при условии наличия всех обязательных реквизитов первичного документа. Все формы первичных учетных документов, применяемых в Обществе, как унифицированные, так и нетиповые указаны в Приложении № 2. </w:t>
      </w:r>
      <w:r>
        <w:rPr>
          <w:rStyle w:val="Subst"/>
          <w:bCs/>
          <w:iCs/>
        </w:rPr>
        <w:br/>
        <w:t>Составление первичных документов, ведение регистров бухгалтерского и налогового учета осуществляется на русском языке. Первичные учетные документы, составленные на иных языках, должны иметь построчный перевод на русский язык.</w:t>
      </w:r>
      <w:r>
        <w:rPr>
          <w:rStyle w:val="Subst"/>
          <w:bCs/>
          <w:iCs/>
        </w:rPr>
        <w:br/>
        <w:t>Требования главного бухгалтера по документальному оформлению хозяйственных операций и представлению их в бухгалтерию являются обязательными для всех работников Общества.</w:t>
      </w:r>
      <w:r>
        <w:rPr>
          <w:rStyle w:val="Subst"/>
          <w:bCs/>
          <w:iCs/>
        </w:rPr>
        <w:br/>
        <w:t xml:space="preserve">Записи в первичных документах должны производится чернилами, пастой шариковых ручек, при помощи средств механизации и другими средствами, обеспечивающими сохранность этих записей в течение времени, установленного для их хранения в архиве. Запрещается использовать для записей простой карандаш. Свободные строки в первичных документах подлежат обязательному прочерку. </w:t>
      </w:r>
      <w:r>
        <w:rPr>
          <w:rStyle w:val="Subst"/>
          <w:bCs/>
          <w:iCs/>
        </w:rPr>
        <w:br/>
        <w:t>Документы, которыми оформляются хозяйственные операции с денежными средствами, подписываются  руководителем и главным бухгалтером или уполномоченными на то лицами, имеющим право первой и второй подписи в соответствии с приказом по Обществу.</w:t>
      </w:r>
      <w:r>
        <w:rPr>
          <w:rStyle w:val="Subst"/>
          <w:bCs/>
          <w:iCs/>
        </w:rPr>
        <w:br/>
        <w:t xml:space="preserve">Без подписи главного бухгалтера или уполномоченного им на то лица денежные и расчетные документы, финансовые и кредитные обязательства считать недействительными и не </w:t>
      </w:r>
      <w:r>
        <w:rPr>
          <w:rStyle w:val="Subst"/>
          <w:bCs/>
          <w:iCs/>
        </w:rPr>
        <w:lastRenderedPageBreak/>
        <w:t>принимать к исполнению.</w:t>
      </w:r>
      <w:r>
        <w:rPr>
          <w:rStyle w:val="Subst"/>
          <w:bCs/>
          <w:iCs/>
        </w:rPr>
        <w:br/>
        <w:t>Внесение исправлений в кассовые и банковские документы не допускается. В остальные первичные учетные документы исправления могут вноситься лишь по согласованию с участниками хозяйственных операций, что должно быть подтверждено подписями тех же лиц, которые подписали документы, с указанием даты внесения исправлений.</w:t>
      </w:r>
      <w:r>
        <w:rPr>
          <w:rStyle w:val="Subst"/>
          <w:bCs/>
          <w:iCs/>
        </w:rPr>
        <w:br/>
        <w:t>Ошибки в первичных документах (кроме кассовых, банковских и счетов-фактур) исправляются следующим образом:</w:t>
      </w:r>
      <w:r>
        <w:rPr>
          <w:rStyle w:val="Subst"/>
          <w:bCs/>
          <w:iCs/>
        </w:rPr>
        <w:br/>
        <w:t>•</w:t>
      </w:r>
      <w:r>
        <w:rPr>
          <w:rStyle w:val="Subst"/>
          <w:bCs/>
          <w:iCs/>
        </w:rPr>
        <w:tab/>
        <w:t>зачеркивается одной тонкой чертой неправильный текст или сумма так, чтобы можно было прочитать исправленное;</w:t>
      </w:r>
      <w:r>
        <w:rPr>
          <w:rStyle w:val="Subst"/>
          <w:bCs/>
          <w:iCs/>
        </w:rPr>
        <w:br/>
        <w:t>•</w:t>
      </w:r>
      <w:r>
        <w:rPr>
          <w:rStyle w:val="Subst"/>
          <w:bCs/>
          <w:iCs/>
        </w:rPr>
        <w:tab/>
        <w:t>надписывается над зачеркнутым исправленный текст или сумма;</w:t>
      </w:r>
      <w:r>
        <w:rPr>
          <w:rStyle w:val="Subst"/>
          <w:bCs/>
          <w:iCs/>
        </w:rPr>
        <w:br/>
        <w:t>•</w:t>
      </w:r>
      <w:r>
        <w:rPr>
          <w:rStyle w:val="Subst"/>
          <w:bCs/>
          <w:iCs/>
        </w:rPr>
        <w:tab/>
        <w:t>на полях соответствующей строки делается оговорка «исправленному верить» за подписью лица, производившего исправление, а также проставляется дата исправления.</w:t>
      </w:r>
      <w:r>
        <w:rPr>
          <w:rStyle w:val="Subst"/>
          <w:bCs/>
          <w:iCs/>
        </w:rPr>
        <w:br/>
        <w:t>В первичных документах и учетных регистрах подчистки и неоговоренные исправления не допускаются. Если документ составлен в нескольких экземплярах, то исправление делается на каждом экземпляре в отдельности.</w:t>
      </w:r>
      <w:r>
        <w:rPr>
          <w:rStyle w:val="Subst"/>
          <w:bCs/>
          <w:iCs/>
        </w:rPr>
        <w:br/>
        <w:t>Бухгалтерией Общества не принимаются к учету документы, оформленные не в соответствии с настоящим разделом.</w:t>
      </w:r>
      <w:r>
        <w:rPr>
          <w:rStyle w:val="Subst"/>
          <w:bCs/>
          <w:iCs/>
        </w:rPr>
        <w:br/>
        <w:t>Для систематизации и накопления информации, содержащейся в принятых к учету первичных документах, а также для отражения на счетах бухгалтерского учета и в бухгалтерской отчетности, используются регистры бухгалтерского учета, представленные в Приложении № 3.</w:t>
      </w:r>
      <w:r>
        <w:rPr>
          <w:rStyle w:val="Subst"/>
          <w:bCs/>
          <w:iCs/>
        </w:rPr>
        <w:br/>
        <w:t>Выдача первичных документов, учетных регистров, бухгалтерских отчетов и балансов из бухгалтерии и из архива Общества работникам других служб, отделов и  подразделений может производиться только по распоряжению руководителя или главного бухгалтера.</w:t>
      </w:r>
      <w:r>
        <w:rPr>
          <w:rStyle w:val="Subst"/>
          <w:bCs/>
          <w:iCs/>
        </w:rPr>
        <w:br/>
        <w:t xml:space="preserve">Изъятие первичных учетных документов, учетных регистров, бухгалтерских отчетов и балансов у Общества может производиться только органами дознания, предварительного следствия и прокуратуры, судами и налоговыми инспекциями на основании их постановлений в соответствии с законодательством Российской Федерации. </w:t>
      </w:r>
      <w:r>
        <w:rPr>
          <w:rStyle w:val="Subst"/>
          <w:bCs/>
          <w:iCs/>
        </w:rPr>
        <w:br/>
        <w:t>Изъятие оформляется протоколом, копия которого вручается под расписку соответствующему должностному лицу Общества. С разрешения и в присутствии представителей органов, производящих изъятие, соответствующие должностные лица Общества могут снять копии с изымаемых документов с указанием оснований и даты их изъятия.</w:t>
      </w:r>
      <w:r>
        <w:rPr>
          <w:rStyle w:val="Subst"/>
          <w:bCs/>
          <w:iCs/>
        </w:rPr>
        <w:br/>
        <w:t>Если изымаются недооформленные тома документов (не подшитые, не пронумерованные и т. д.), то с разрешения и в присутствии представителей органов, производящих изъятие, соответствующие должностные лица Общества могут дооформить эти тома (сделать опись, пронумеровать листы, прошнуровать, опечатать, заверить своей подписью, печатью).</w:t>
      </w:r>
      <w:r>
        <w:rPr>
          <w:rStyle w:val="Subst"/>
          <w:bCs/>
          <w:iCs/>
        </w:rPr>
        <w:br/>
        <w:t>1.4.</w:t>
      </w:r>
      <w:r>
        <w:rPr>
          <w:rStyle w:val="Subst"/>
          <w:bCs/>
          <w:iCs/>
        </w:rPr>
        <w:tab/>
        <w:t>Инвентаризация имущества и обязательств</w:t>
      </w:r>
      <w:r>
        <w:rPr>
          <w:rStyle w:val="Subst"/>
          <w:bCs/>
          <w:iCs/>
        </w:rPr>
        <w:br/>
        <w:t>В соответствии с Методическими указаниями по инвентаризации имущества и финансовых обязательств, утвержденными приказом Минфина РФ от 13.06.1995 года № 49, инвентаризации подлежат: все имущество Общества, независимо от местонахождения, и все виды финансовых обязательств.</w:t>
      </w:r>
      <w:r>
        <w:rPr>
          <w:rStyle w:val="Subst"/>
          <w:bCs/>
          <w:iCs/>
        </w:rPr>
        <w:br/>
        <w:t xml:space="preserve">Основными целями инвентаризации являются: </w:t>
      </w:r>
      <w:r>
        <w:rPr>
          <w:rStyle w:val="Subst"/>
          <w:bCs/>
          <w:iCs/>
        </w:rPr>
        <w:br/>
        <w:t>-</w:t>
      </w:r>
      <w:r>
        <w:rPr>
          <w:rStyle w:val="Subst"/>
          <w:bCs/>
          <w:iCs/>
        </w:rPr>
        <w:tab/>
        <w:t xml:space="preserve">выявление фактического наличия имущества; </w:t>
      </w:r>
      <w:r>
        <w:rPr>
          <w:rStyle w:val="Subst"/>
          <w:bCs/>
          <w:iCs/>
        </w:rPr>
        <w:br/>
        <w:t>-</w:t>
      </w:r>
      <w:r>
        <w:rPr>
          <w:rStyle w:val="Subst"/>
          <w:bCs/>
          <w:iCs/>
        </w:rPr>
        <w:tab/>
        <w:t xml:space="preserve">сопоставление фактического наличия имущества с данными бухгалтерского учета; </w:t>
      </w:r>
      <w:r>
        <w:rPr>
          <w:rStyle w:val="Subst"/>
          <w:bCs/>
          <w:iCs/>
        </w:rPr>
        <w:br/>
        <w:t>-</w:t>
      </w:r>
      <w:r>
        <w:rPr>
          <w:rStyle w:val="Subst"/>
          <w:bCs/>
          <w:iCs/>
        </w:rPr>
        <w:tab/>
        <w:t>проверка полноты отражения в учете обязательств.</w:t>
      </w:r>
      <w:r>
        <w:rPr>
          <w:rStyle w:val="Subst"/>
          <w:bCs/>
          <w:iCs/>
        </w:rPr>
        <w:br/>
        <w:t xml:space="preserve">Проведение инвентаризации обязательно: </w:t>
      </w:r>
      <w:r>
        <w:rPr>
          <w:rStyle w:val="Subst"/>
          <w:bCs/>
          <w:iCs/>
        </w:rPr>
        <w:br/>
        <w:t>-</w:t>
      </w:r>
      <w:r>
        <w:rPr>
          <w:rStyle w:val="Subst"/>
          <w:bCs/>
          <w:iCs/>
        </w:rPr>
        <w:tab/>
        <w:t>при передаче имущества в аренду; выкупе, продаже в отношении выбывающего имущества.</w:t>
      </w:r>
      <w:r>
        <w:rPr>
          <w:rStyle w:val="Subst"/>
          <w:bCs/>
          <w:iCs/>
        </w:rPr>
        <w:br/>
        <w:t>-</w:t>
      </w:r>
      <w:r>
        <w:rPr>
          <w:rStyle w:val="Subst"/>
          <w:bCs/>
          <w:iCs/>
        </w:rPr>
        <w:tab/>
        <w:t>при смене материально–ответственных лиц;</w:t>
      </w:r>
      <w:r>
        <w:rPr>
          <w:rStyle w:val="Subst"/>
          <w:bCs/>
          <w:iCs/>
        </w:rPr>
        <w:br/>
        <w:t>-</w:t>
      </w:r>
      <w:r>
        <w:rPr>
          <w:rStyle w:val="Subst"/>
          <w:bCs/>
          <w:iCs/>
        </w:rPr>
        <w:tab/>
        <w:t>при выявлении фактов хищения, злоупотребления или порчи имущества;</w:t>
      </w:r>
      <w:r>
        <w:rPr>
          <w:rStyle w:val="Subst"/>
          <w:bCs/>
          <w:iCs/>
        </w:rPr>
        <w:br/>
        <w:t>-</w:t>
      </w:r>
      <w:r>
        <w:rPr>
          <w:rStyle w:val="Subst"/>
          <w:bCs/>
          <w:iCs/>
        </w:rPr>
        <w:tab/>
        <w:t>в случае стихийного бедствия, пожара или других чрезвычайных ситуаций, вызванных экстремальными условиями;</w:t>
      </w:r>
      <w:r>
        <w:rPr>
          <w:rStyle w:val="Subst"/>
          <w:bCs/>
          <w:iCs/>
        </w:rPr>
        <w:br/>
        <w:t>-</w:t>
      </w:r>
      <w:r>
        <w:rPr>
          <w:rStyle w:val="Subst"/>
          <w:bCs/>
          <w:iCs/>
        </w:rPr>
        <w:tab/>
        <w:t>при реорганизации или ликвидации Общества;</w:t>
      </w:r>
      <w:r>
        <w:rPr>
          <w:rStyle w:val="Subst"/>
          <w:bCs/>
          <w:iCs/>
        </w:rPr>
        <w:br/>
        <w:t>-</w:t>
      </w:r>
      <w:r>
        <w:rPr>
          <w:rStyle w:val="Subst"/>
          <w:bCs/>
          <w:iCs/>
        </w:rPr>
        <w:tab/>
        <w:t>перед составлением годовой бухгалтерской отчетности;</w:t>
      </w:r>
      <w:r>
        <w:rPr>
          <w:rStyle w:val="Subst"/>
          <w:bCs/>
          <w:iCs/>
        </w:rPr>
        <w:br/>
        <w:t>-</w:t>
      </w:r>
      <w:r>
        <w:rPr>
          <w:rStyle w:val="Subst"/>
          <w:bCs/>
          <w:iCs/>
        </w:rPr>
        <w:tab/>
        <w:t xml:space="preserve">в других случаях, предусмотренных законодательством РФ. </w:t>
      </w:r>
      <w:r>
        <w:rPr>
          <w:rStyle w:val="Subst"/>
          <w:bCs/>
          <w:iCs/>
        </w:rPr>
        <w:br/>
        <w:t>Плановая инвентаризация проводится:</w:t>
      </w:r>
      <w:r>
        <w:rPr>
          <w:rStyle w:val="Subst"/>
          <w:bCs/>
          <w:iCs/>
        </w:rPr>
        <w:br/>
        <w:t>-</w:t>
      </w:r>
      <w:r>
        <w:rPr>
          <w:rStyle w:val="Subst"/>
          <w:bCs/>
          <w:iCs/>
        </w:rPr>
        <w:tab/>
        <w:t>основных средств - не реже одного раза в 3 года.</w:t>
      </w:r>
      <w:r>
        <w:rPr>
          <w:rStyle w:val="Subst"/>
          <w:bCs/>
          <w:iCs/>
        </w:rPr>
        <w:br/>
        <w:t>При инвентаризации зданий, сооружений и других объектов недвижимости проверяется наличие документов, подтверждающих нахождение указанных объектов в собственности Общества;</w:t>
      </w:r>
      <w:r>
        <w:rPr>
          <w:rStyle w:val="Subst"/>
          <w:bCs/>
          <w:iCs/>
        </w:rPr>
        <w:br/>
        <w:t>-</w:t>
      </w:r>
      <w:r>
        <w:rPr>
          <w:rStyle w:val="Subst"/>
          <w:bCs/>
          <w:iCs/>
        </w:rPr>
        <w:tab/>
        <w:t xml:space="preserve"> нематериальных активов – по состоянию на 1 декабря отчетного года.</w:t>
      </w:r>
      <w:r>
        <w:rPr>
          <w:rStyle w:val="Subst"/>
          <w:bCs/>
          <w:iCs/>
        </w:rPr>
        <w:br/>
        <w:t>-</w:t>
      </w:r>
      <w:r>
        <w:rPr>
          <w:rStyle w:val="Subst"/>
          <w:bCs/>
          <w:iCs/>
        </w:rPr>
        <w:tab/>
        <w:t xml:space="preserve"> незавершенного строительства - по состоянию на 1 декабря отчетного года;</w:t>
      </w:r>
      <w:r>
        <w:rPr>
          <w:rStyle w:val="Subst"/>
          <w:bCs/>
          <w:iCs/>
        </w:rPr>
        <w:br/>
        <w:t>-</w:t>
      </w:r>
      <w:r>
        <w:rPr>
          <w:rStyle w:val="Subst"/>
          <w:bCs/>
          <w:iCs/>
        </w:rPr>
        <w:tab/>
        <w:t>товаров, материалов - по состоянию на 1 октября отчетного года;</w:t>
      </w:r>
      <w:r>
        <w:rPr>
          <w:rStyle w:val="Subst"/>
          <w:bCs/>
          <w:iCs/>
        </w:rPr>
        <w:br/>
        <w:t>-</w:t>
      </w:r>
      <w:r>
        <w:rPr>
          <w:rStyle w:val="Subst"/>
          <w:bCs/>
          <w:iCs/>
        </w:rPr>
        <w:tab/>
        <w:t>готовой продукции, незавершенного производства и товаров, находящихся на ответственном хранении  – по состоянию на 1 декабря отчетного года;</w:t>
      </w:r>
      <w:r>
        <w:rPr>
          <w:rStyle w:val="Subst"/>
          <w:bCs/>
          <w:iCs/>
        </w:rPr>
        <w:br/>
        <w:t>-</w:t>
      </w:r>
      <w:r>
        <w:rPr>
          <w:rStyle w:val="Subst"/>
          <w:bCs/>
          <w:iCs/>
        </w:rPr>
        <w:tab/>
        <w:t>денежных средств на счетах – не реже, чем раз в квартал;</w:t>
      </w:r>
      <w:r>
        <w:rPr>
          <w:rStyle w:val="Subst"/>
          <w:bCs/>
          <w:iCs/>
        </w:rPr>
        <w:br/>
      </w:r>
      <w:r>
        <w:rPr>
          <w:rStyle w:val="Subst"/>
          <w:bCs/>
          <w:iCs/>
        </w:rPr>
        <w:lastRenderedPageBreak/>
        <w:t>-</w:t>
      </w:r>
      <w:r>
        <w:rPr>
          <w:rStyle w:val="Subst"/>
          <w:bCs/>
          <w:iCs/>
        </w:rPr>
        <w:tab/>
        <w:t xml:space="preserve">ценных бумаг – по состоянию на 31 декабря отчетного года; </w:t>
      </w:r>
      <w:r>
        <w:rPr>
          <w:rStyle w:val="Subst"/>
          <w:bCs/>
          <w:iCs/>
        </w:rPr>
        <w:br/>
        <w:t>-</w:t>
      </w:r>
      <w:r>
        <w:rPr>
          <w:rStyle w:val="Subst"/>
          <w:bCs/>
          <w:iCs/>
        </w:rPr>
        <w:tab/>
        <w:t>прочих финансовых вложений - ежегодно, по состоянию на 31 декабря отчетного года;</w:t>
      </w:r>
      <w:r>
        <w:rPr>
          <w:rStyle w:val="Subst"/>
          <w:bCs/>
          <w:iCs/>
        </w:rPr>
        <w:br/>
        <w:t>-</w:t>
      </w:r>
      <w:r>
        <w:rPr>
          <w:rStyle w:val="Subst"/>
          <w:bCs/>
          <w:iCs/>
        </w:rPr>
        <w:tab/>
        <w:t>расчетов по налогам и внебюджетным фондам - ежеквартально;</w:t>
      </w:r>
      <w:r>
        <w:rPr>
          <w:rStyle w:val="Subst"/>
          <w:bCs/>
          <w:iCs/>
        </w:rPr>
        <w:br/>
        <w:t>-</w:t>
      </w:r>
      <w:r>
        <w:rPr>
          <w:rStyle w:val="Subst"/>
          <w:bCs/>
          <w:iCs/>
        </w:rPr>
        <w:tab/>
        <w:t>расчетов с дебиторами и кредиторами – ежеквартально;</w:t>
      </w:r>
      <w:r>
        <w:rPr>
          <w:rStyle w:val="Subst"/>
          <w:bCs/>
          <w:iCs/>
        </w:rPr>
        <w:br/>
        <w:t>-</w:t>
      </w:r>
      <w:r>
        <w:rPr>
          <w:rStyle w:val="Subst"/>
          <w:bCs/>
          <w:iCs/>
        </w:rPr>
        <w:tab/>
        <w:t>денежных средств в кассе - внезапно, но не реже, чем раз в месяц;</w:t>
      </w:r>
      <w:r>
        <w:rPr>
          <w:rStyle w:val="Subst"/>
          <w:bCs/>
          <w:iCs/>
        </w:rPr>
        <w:br/>
        <w:t>-</w:t>
      </w:r>
      <w:r>
        <w:rPr>
          <w:rStyle w:val="Subst"/>
          <w:bCs/>
          <w:iCs/>
        </w:rPr>
        <w:tab/>
        <w:t>расходов будущих периодов - ежегодно, по состоянию на 31 декабря отчетного года.</w:t>
      </w:r>
      <w:r>
        <w:rPr>
          <w:rStyle w:val="Subst"/>
          <w:bCs/>
          <w:iCs/>
        </w:rPr>
        <w:br/>
      </w:r>
      <w:r>
        <w:rPr>
          <w:rStyle w:val="Subst"/>
          <w:bCs/>
          <w:iCs/>
        </w:rPr>
        <w:tab/>
        <w:t>График проведения инвентаризаций утверждает Руководитель Общества. Для проведения инвентаризации создается  инвентаризационная комиссия, состав которой утверждается Руководителем Общества и Рабочие группы.</w:t>
      </w:r>
      <w:r>
        <w:rPr>
          <w:rStyle w:val="Subst"/>
          <w:bCs/>
          <w:iCs/>
        </w:rPr>
        <w:br/>
        <w:t>1.5.</w:t>
      </w:r>
      <w:r>
        <w:rPr>
          <w:rStyle w:val="Subst"/>
          <w:bCs/>
          <w:iCs/>
        </w:rPr>
        <w:tab/>
        <w:t>Порядок и сроки составления отчетности</w:t>
      </w:r>
      <w:r>
        <w:rPr>
          <w:rStyle w:val="Subst"/>
          <w:bCs/>
          <w:iCs/>
        </w:rPr>
        <w:br/>
        <w:t>Общество представляет заинтересованным пользователям бухгалтерскую отчетность предприятия, отражающую состояние имущества, обязательств Общества, его доходов и расходов в порядке, предусмотренном Федеральным Законом РФ «О бухгалтерском учете».</w:t>
      </w:r>
      <w:r>
        <w:rPr>
          <w:rStyle w:val="Subst"/>
          <w:bCs/>
          <w:iCs/>
        </w:rPr>
        <w:br/>
        <w:t>Бухгалтерская отчетность Общества за отчетный год составляется в срок не позднее 15  рабочих дней по окончании отчетного года в следующем составе:</w:t>
      </w:r>
      <w:r>
        <w:rPr>
          <w:rStyle w:val="Subst"/>
          <w:bCs/>
          <w:iCs/>
        </w:rPr>
        <w:br/>
        <w:t>•</w:t>
      </w:r>
      <w:r>
        <w:rPr>
          <w:rStyle w:val="Subst"/>
          <w:bCs/>
          <w:iCs/>
        </w:rPr>
        <w:tab/>
        <w:t>Бухгалтерский баланс.</w:t>
      </w:r>
      <w:r>
        <w:rPr>
          <w:rStyle w:val="Subst"/>
          <w:bCs/>
          <w:iCs/>
        </w:rPr>
        <w:br/>
        <w:t>•</w:t>
      </w:r>
      <w:r>
        <w:rPr>
          <w:rStyle w:val="Subst"/>
          <w:bCs/>
          <w:iCs/>
        </w:rPr>
        <w:tab/>
        <w:t>Отчет о прибылях и убытках.</w:t>
      </w:r>
      <w:r>
        <w:rPr>
          <w:rStyle w:val="Subst"/>
          <w:bCs/>
          <w:iCs/>
        </w:rPr>
        <w:br/>
        <w:t>•</w:t>
      </w:r>
      <w:r>
        <w:rPr>
          <w:rStyle w:val="Subst"/>
          <w:bCs/>
          <w:iCs/>
        </w:rPr>
        <w:tab/>
        <w:t>Отчет об изменении капитала.</w:t>
      </w:r>
      <w:r>
        <w:rPr>
          <w:rStyle w:val="Subst"/>
          <w:bCs/>
          <w:iCs/>
        </w:rPr>
        <w:br/>
        <w:t>•</w:t>
      </w:r>
      <w:r>
        <w:rPr>
          <w:rStyle w:val="Subst"/>
          <w:bCs/>
          <w:iCs/>
        </w:rPr>
        <w:tab/>
        <w:t>Отчет о движении денежных средств.</w:t>
      </w:r>
      <w:r>
        <w:rPr>
          <w:rStyle w:val="Subst"/>
          <w:bCs/>
          <w:iCs/>
        </w:rPr>
        <w:br/>
        <w:t>•</w:t>
      </w:r>
      <w:r>
        <w:rPr>
          <w:rStyle w:val="Subst"/>
          <w:bCs/>
          <w:iCs/>
        </w:rPr>
        <w:tab/>
        <w:t>Приложение к бухгалтерскому балансу.</w:t>
      </w:r>
      <w:r>
        <w:rPr>
          <w:rStyle w:val="Subst"/>
          <w:bCs/>
          <w:iCs/>
        </w:rPr>
        <w:br/>
        <w:t>Бухгалтерская отчетность составляется в тысячах рублей. Синтетический и аналитический учет ведется в рублях и копейках.</w:t>
      </w:r>
      <w:r>
        <w:rPr>
          <w:rStyle w:val="Subst"/>
          <w:bCs/>
          <w:iCs/>
        </w:rPr>
        <w:br/>
      </w:r>
      <w:r>
        <w:rPr>
          <w:rStyle w:val="Subst"/>
          <w:bCs/>
          <w:iCs/>
        </w:rPr>
        <w:tab/>
        <w:t>Кроме того, бухгалтерия Общества составляет следующую промежуточную бухгалтерскую отчетность:</w:t>
      </w:r>
      <w:r>
        <w:rPr>
          <w:rStyle w:val="Subst"/>
          <w:bCs/>
          <w:iCs/>
        </w:rPr>
        <w:br/>
      </w:r>
      <w:r>
        <w:rPr>
          <w:rStyle w:val="Subst"/>
          <w:bCs/>
          <w:iCs/>
        </w:rPr>
        <w:tab/>
        <w:t xml:space="preserve">Бухгалтерский баланс </w:t>
      </w:r>
      <w:r>
        <w:rPr>
          <w:rStyle w:val="Subst"/>
          <w:bCs/>
          <w:iCs/>
        </w:rPr>
        <w:tab/>
      </w:r>
      <w:r>
        <w:rPr>
          <w:rStyle w:val="Subst"/>
          <w:bCs/>
          <w:iCs/>
        </w:rPr>
        <w:tab/>
        <w:t>- ежемесячно</w:t>
      </w:r>
      <w:r>
        <w:rPr>
          <w:rStyle w:val="Subst"/>
          <w:bCs/>
          <w:iCs/>
        </w:rPr>
        <w:br/>
      </w:r>
      <w:r>
        <w:rPr>
          <w:rStyle w:val="Subst"/>
          <w:bCs/>
          <w:iCs/>
        </w:rPr>
        <w:tab/>
        <w:t xml:space="preserve">Отчет о прибылях и убытках </w:t>
      </w:r>
      <w:r>
        <w:rPr>
          <w:rStyle w:val="Subst"/>
          <w:bCs/>
          <w:iCs/>
        </w:rPr>
        <w:tab/>
        <w:t>- ежемесячно</w:t>
      </w:r>
      <w:r>
        <w:rPr>
          <w:rStyle w:val="Subst"/>
          <w:bCs/>
          <w:iCs/>
        </w:rPr>
        <w:br/>
      </w:r>
      <w:r>
        <w:rPr>
          <w:rStyle w:val="Subst"/>
          <w:bCs/>
          <w:iCs/>
        </w:rPr>
        <w:tab/>
        <w:t>Промежуточная  бухгалтерская отчетность составляется в сроки не позднее 6 рабочих дней по окончании отчетного периода.</w:t>
      </w:r>
      <w:r>
        <w:rPr>
          <w:rStyle w:val="Subst"/>
          <w:bCs/>
          <w:iCs/>
        </w:rPr>
        <w:br/>
        <w:t>Общество ежегодно проводит аудиторскую проверку для получения аудиторского заключения, подтверждающего достоверность бухгалтерской отчетности.</w:t>
      </w:r>
      <w:r>
        <w:rPr>
          <w:rStyle w:val="Subst"/>
          <w:bCs/>
          <w:iCs/>
        </w:rPr>
        <w:br/>
        <w:t>Для формирования отчетности в сроки, установленные «Положением об ускоренном формировании отчетности» (утв. Приказом №272 от 31.12.2009 г.), отражение в учете хозяйственных операций отчетного периода происходит на основании фактически полученных первичных учетных документов и справок – расчетов.</w:t>
      </w:r>
      <w:r>
        <w:rPr>
          <w:rStyle w:val="Subst"/>
          <w:bCs/>
          <w:iCs/>
        </w:rPr>
        <w:br/>
      </w:r>
      <w:r>
        <w:rPr>
          <w:rStyle w:val="Subst"/>
          <w:bCs/>
          <w:iCs/>
        </w:rPr>
        <w:tab/>
        <w:t>Справки-расчеты содержат в себе информацию о произведенных Обществом хозяйственных операциях, подлежащих отражению в бухгалтерском учете, первичные документы по которым по каким-либо причинам еще не поступили в Общество.</w:t>
      </w:r>
      <w:r>
        <w:rPr>
          <w:rStyle w:val="Subst"/>
          <w:bCs/>
          <w:iCs/>
        </w:rPr>
        <w:br/>
        <w:t>Справки-расчеты оформляются подразделениями, ответственными за осуществление хозяйственных операций. Форма справки-расчета приведена в Приложении № 2</w:t>
      </w:r>
      <w:r>
        <w:rPr>
          <w:rStyle w:val="Subst"/>
          <w:bCs/>
          <w:iCs/>
        </w:rPr>
        <w:br/>
      </w:r>
      <w:r>
        <w:rPr>
          <w:rStyle w:val="Subst"/>
          <w:bCs/>
          <w:iCs/>
        </w:rPr>
        <w:tab/>
        <w:t>2.</w:t>
      </w:r>
      <w:r>
        <w:rPr>
          <w:rStyle w:val="Subst"/>
          <w:bCs/>
          <w:iCs/>
        </w:rPr>
        <w:tab/>
        <w:t>МЕТОДИЧЕСКИЕ АСПЕКТЫ УЧЕТНОЙ ПОЛИТИКИ</w:t>
      </w:r>
      <w:r>
        <w:rPr>
          <w:rStyle w:val="Subst"/>
          <w:bCs/>
          <w:iCs/>
        </w:rPr>
        <w:br/>
        <w:t>В настоящем разделе изложены избранные при формировании учетной политики Общества способы ведения бухгалтерского учета, существенно влияющие на оценку и принятие решений пользователей бухгалтерской отчетности.</w:t>
      </w:r>
      <w:r>
        <w:rPr>
          <w:rStyle w:val="Subst"/>
          <w:bCs/>
          <w:iCs/>
        </w:rPr>
        <w:br/>
        <w:t>2.1.</w:t>
      </w:r>
      <w:r>
        <w:rPr>
          <w:rStyle w:val="Subst"/>
          <w:bCs/>
          <w:iCs/>
        </w:rPr>
        <w:tab/>
        <w:t>Учет финансовых вложений.</w:t>
      </w:r>
      <w:r>
        <w:rPr>
          <w:rStyle w:val="Subst"/>
          <w:bCs/>
          <w:iCs/>
        </w:rPr>
        <w:br/>
        <w:t>Единицей учета финансовых вложений являются:</w:t>
      </w:r>
      <w:r>
        <w:rPr>
          <w:rStyle w:val="Subst"/>
          <w:bCs/>
          <w:iCs/>
        </w:rPr>
        <w:br/>
        <w:t>•</w:t>
      </w:r>
      <w:r>
        <w:rPr>
          <w:rStyle w:val="Subst"/>
          <w:bCs/>
          <w:iCs/>
        </w:rPr>
        <w:tab/>
        <w:t>отдельная ценная бумага;</w:t>
      </w:r>
      <w:r>
        <w:rPr>
          <w:rStyle w:val="Subst"/>
          <w:bCs/>
          <w:iCs/>
        </w:rPr>
        <w:br/>
        <w:t>•</w:t>
      </w:r>
      <w:r>
        <w:rPr>
          <w:rStyle w:val="Subst"/>
          <w:bCs/>
          <w:iCs/>
        </w:rPr>
        <w:tab/>
        <w:t>займ, выданный другим организациям;</w:t>
      </w:r>
      <w:r>
        <w:rPr>
          <w:rStyle w:val="Subst"/>
          <w:bCs/>
          <w:iCs/>
        </w:rPr>
        <w:br/>
        <w:t>•</w:t>
      </w:r>
      <w:r>
        <w:rPr>
          <w:rStyle w:val="Subst"/>
          <w:bCs/>
          <w:iCs/>
        </w:rPr>
        <w:tab/>
        <w:t>каждый случай участия в капитале организации или простом товариществе, не оформленный ценной бумагой;</w:t>
      </w:r>
      <w:r>
        <w:rPr>
          <w:rStyle w:val="Subst"/>
          <w:bCs/>
          <w:iCs/>
        </w:rPr>
        <w:br/>
        <w:t>•</w:t>
      </w:r>
      <w:r>
        <w:rPr>
          <w:rStyle w:val="Subst"/>
          <w:bCs/>
          <w:iCs/>
        </w:rPr>
        <w:tab/>
        <w:t>каждое право требование (приобретенная дебиторская задолженность);</w:t>
      </w:r>
      <w:r>
        <w:rPr>
          <w:rStyle w:val="Subst"/>
          <w:bCs/>
          <w:iCs/>
        </w:rPr>
        <w:br/>
        <w:t>•</w:t>
      </w:r>
      <w:r>
        <w:rPr>
          <w:rStyle w:val="Subst"/>
          <w:bCs/>
          <w:iCs/>
        </w:rPr>
        <w:tab/>
        <w:t>иные аналогичные объекты.</w:t>
      </w:r>
      <w:r>
        <w:rPr>
          <w:rStyle w:val="Subst"/>
          <w:bCs/>
          <w:iCs/>
        </w:rPr>
        <w:br/>
        <w:t>Первоначальной стоимостью финансовых вложений, приобретенных за плату, признается сумма фактических затрат организации на их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о налогах и сборах).</w:t>
      </w:r>
      <w:r>
        <w:rPr>
          <w:rStyle w:val="Subst"/>
          <w:bCs/>
          <w:iCs/>
        </w:rPr>
        <w:br/>
        <w:t>Фактическими затратами на приобретение активов в качестве финансовых вложений являются:</w:t>
      </w:r>
      <w:r>
        <w:rPr>
          <w:rStyle w:val="Subst"/>
          <w:bCs/>
          <w:iCs/>
        </w:rPr>
        <w:br/>
        <w:t>•</w:t>
      </w:r>
      <w:r>
        <w:rPr>
          <w:rStyle w:val="Subst"/>
          <w:bCs/>
          <w:iCs/>
        </w:rPr>
        <w:tab/>
        <w:t>суммы, уплачиваемые в соответствии с договором продавцу;</w:t>
      </w:r>
      <w:r>
        <w:rPr>
          <w:rStyle w:val="Subst"/>
          <w:bCs/>
          <w:iCs/>
        </w:rPr>
        <w:br/>
        <w:t>•</w:t>
      </w:r>
      <w:r>
        <w:rPr>
          <w:rStyle w:val="Subst"/>
          <w:bCs/>
          <w:iCs/>
        </w:rPr>
        <w:tab/>
        <w:t xml:space="preserve">суммы, уплачиваемые организациям и иным лицам за информационные и консультационные услуги, связанные с приобретением указанных активов. В случае если Обществу оказаны информационные и консультационные услуги, связанные с принятием решения о приобретении финансовых вложений, и Общество не принимает решения о таком приобретении, стоимость указанных услуг относится на финансовые результаты  (в составе прочих расходов) и </w:t>
      </w:r>
      <w:r>
        <w:rPr>
          <w:rStyle w:val="Subst"/>
          <w:bCs/>
          <w:iCs/>
        </w:rPr>
        <w:lastRenderedPageBreak/>
        <w:t>отражается на  счете 91.2.</w:t>
      </w:r>
      <w:r>
        <w:rPr>
          <w:rStyle w:val="Subst"/>
          <w:bCs/>
          <w:iCs/>
        </w:rPr>
        <w:br/>
        <w:t>•</w:t>
      </w:r>
      <w:r>
        <w:rPr>
          <w:rStyle w:val="Subst"/>
          <w:bCs/>
          <w:iCs/>
        </w:rPr>
        <w:tab/>
        <w:t>вознаграждения, уплачиваемые посреднической организации или иному лицу, через которое приобретены активы в качестве финансовых вложений;</w:t>
      </w:r>
      <w:r>
        <w:rPr>
          <w:rStyle w:val="Subst"/>
          <w:bCs/>
          <w:iCs/>
        </w:rPr>
        <w:br/>
        <w:t>•</w:t>
      </w:r>
      <w:r>
        <w:rPr>
          <w:rStyle w:val="Subst"/>
          <w:bCs/>
          <w:iCs/>
        </w:rPr>
        <w:tab/>
        <w:t>иные затраты, непосредственно связанные с приобретением активов в качестве финансовых вложений.</w:t>
      </w:r>
      <w:r>
        <w:rPr>
          <w:rStyle w:val="Subst"/>
          <w:bCs/>
          <w:iCs/>
        </w:rPr>
        <w:br/>
        <w:t>Не включаются в фактические затраты на приобретение финансовых вложений общехозяйственные и иные аналогичные расходы, кроме случаев, когда они непосредственно связаны с приобретением финансовых вложений.</w:t>
      </w:r>
      <w:r>
        <w:rPr>
          <w:rStyle w:val="Subst"/>
          <w:bCs/>
          <w:iCs/>
        </w:rPr>
        <w:br/>
        <w:t>В случае несущественности величины затрат (кроме сумм, уплачиваемых в соответствии с договором продавцу) на приобретение таких финансовых вложений, как ценные бумаги, по сравнению с суммой, уплачиваемой в соответствии с договором продавцу, такие затраты Общество признает прочими расходами в том отчетном периоде, в котором были приняты к бухгалтерскому учету указанные ценные бумаги.</w:t>
      </w:r>
      <w:r>
        <w:rPr>
          <w:rStyle w:val="Subst"/>
          <w:bCs/>
          <w:iCs/>
        </w:rPr>
        <w:br/>
        <w:t>В случае если ценные бумаги одного эмитента имеют одинаковые атрибуты (номинал, статус (привилегированные или обыкновенные), дата погашения), не позволяющие при их выбытии по частям обоснованно дифференцировать их, они отражаются в учете одной позицией, и по ним ведется количественный учет. Факт приобретения указанных идентичных ценных бумаг в различное время и (или) за различную стоимость не является основанием раздельного учета. Списание таких ценных бумаг производится методом ФИФО.</w:t>
      </w:r>
      <w:r>
        <w:rPr>
          <w:rStyle w:val="Subst"/>
          <w:bCs/>
          <w:iCs/>
        </w:rPr>
        <w:br/>
        <w:t>По долговым ценным бумагам разница между суммой фактических затрат на приобретение и номинальной стоимостью в течение срока до их погашения равномерно относится на финансовые результаты.</w:t>
      </w:r>
      <w:r>
        <w:rPr>
          <w:rStyle w:val="Subst"/>
          <w:bCs/>
          <w:iCs/>
        </w:rPr>
        <w:br/>
      </w:r>
      <w:r>
        <w:rPr>
          <w:rStyle w:val="Subst"/>
          <w:bCs/>
          <w:iCs/>
        </w:rPr>
        <w:tab/>
        <w:t>Акции, полученные при пропорциональном увеличении номинала и (или) их количества без внесения дополнительных средств в объект финансовых вложений, отражаются путем изменения признаков аналитического учета. При реализации части таких акций учетной стоимостью каждой акции признается фактически оплаченная стоимость акций, исчисленная как отношение учетной стоимости всего пакета акций к их количеству.</w:t>
      </w:r>
      <w:r>
        <w:rPr>
          <w:rStyle w:val="Subst"/>
          <w:bCs/>
          <w:iCs/>
        </w:rPr>
        <w:br/>
        <w:t xml:space="preserve">Переоценка финансовых вложений не производится. </w:t>
      </w:r>
      <w:r>
        <w:rPr>
          <w:rStyle w:val="Subst"/>
          <w:bCs/>
          <w:iCs/>
        </w:rPr>
        <w:br/>
        <w:t>Резерв под обесценение финансовых вложений в Обществе не создается.</w:t>
      </w:r>
      <w:r>
        <w:rPr>
          <w:rStyle w:val="Subst"/>
          <w:bCs/>
          <w:iCs/>
        </w:rPr>
        <w:br/>
        <w:t>2.2.</w:t>
      </w:r>
      <w:r>
        <w:rPr>
          <w:rStyle w:val="Subst"/>
          <w:bCs/>
          <w:iCs/>
        </w:rPr>
        <w:tab/>
        <w:t xml:space="preserve">Порядок учета капитального строительства силами сторонних подрядчиков. </w:t>
      </w:r>
      <w:r>
        <w:rPr>
          <w:rStyle w:val="Subst"/>
          <w:bCs/>
          <w:iCs/>
        </w:rPr>
        <w:br/>
        <w:t>Учет вложений во внеоборотные активы осуществляется в соответствии с Положением по бухгалтерскому учету долгосрочных инвестиций, утвержденных письмом Минфина РФ от 30.12.1993г. № 160, а также ПБУ 2/2008 «Учет договоров строительного подряда», утвержденным приказом Минфина №116н от 24.10.2008г.</w:t>
      </w:r>
      <w:r>
        <w:rPr>
          <w:rStyle w:val="Subst"/>
          <w:bCs/>
          <w:iCs/>
        </w:rPr>
        <w:br/>
      </w:r>
      <w:r>
        <w:rPr>
          <w:rStyle w:val="Subst"/>
          <w:bCs/>
          <w:iCs/>
        </w:rPr>
        <w:tab/>
        <w:t>Капитальные вложения, осуществленные в ходе работ капитального характера (строительных и буровых), выполненных для Общества подрядными организациями  отражаются в учете Общества по мере их выполнения на основании документов, предусмотренных заключенными договорами.</w:t>
      </w:r>
      <w:r>
        <w:rPr>
          <w:rStyle w:val="Subst"/>
          <w:bCs/>
          <w:iCs/>
        </w:rPr>
        <w:br/>
        <w:t>Готовые объекты капитального строительства  принимаются к учету по фактическим затратам Общества на строительство.</w:t>
      </w:r>
      <w:r>
        <w:rPr>
          <w:rStyle w:val="Subst"/>
          <w:bCs/>
          <w:iCs/>
        </w:rPr>
        <w:br/>
        <w:t>Переоценка незавершенных капитальных вложений (вложений во внеоборотные активы) не допускается.</w:t>
      </w:r>
      <w:r>
        <w:rPr>
          <w:rStyle w:val="Subst"/>
          <w:bCs/>
          <w:iCs/>
        </w:rPr>
        <w:br/>
        <w:t>По объектам основных средств, требующим государственной регистрации, используется следующий порядок учета:</w:t>
      </w:r>
      <w:r>
        <w:rPr>
          <w:rStyle w:val="Subst"/>
          <w:bCs/>
          <w:iCs/>
        </w:rPr>
        <w:br/>
        <w:t>По дате подписания акта КС-11, при условии окончания формирования стоимости по объекту и фактического начала эксплуатации, объект принимается к учету на счет 01.1 «Основные средства без государственной регистрации» .Суммы начисленной амортизации по эксплуатируемым объектам капитального строительства до момента государственной регистрации, отражаются в бухгалтерском учете по дебету счетов учета затрат на производство в корреспонденции с кредитом счета 02 «Износ незарегистрированных основных средств</w:t>
      </w:r>
      <w:r>
        <w:rPr>
          <w:rStyle w:val="Subst"/>
          <w:bCs/>
          <w:iCs/>
        </w:rPr>
        <w:br/>
        <w:t>Счет 01.1 «Основные средства без государственной регистрации» и 02 «Износ незарегистрированных основных средств» участвуют в  начислении налога на имущество.</w:t>
      </w:r>
      <w:r>
        <w:rPr>
          <w:rStyle w:val="Subst"/>
          <w:bCs/>
          <w:iCs/>
        </w:rPr>
        <w:br/>
        <w:t>После подачи документов на государственную регистрацию, правовое управление представляет в Бухгалтерию служебную записку с подтверждением факта подачи документов на регистрацию. На основании представленных документов Бухгалтерия переводит объект на счет 01,  и зачисляет в соответствующую группу  с начислением амортизации в общеустановленном порядке.</w:t>
      </w:r>
      <w:r>
        <w:rPr>
          <w:rStyle w:val="Subst"/>
          <w:bCs/>
          <w:iCs/>
        </w:rPr>
        <w:br/>
        <w:t>Порядок учета расходов Общества, связанных со строительством поисково-оценочных и разведочных скважин, а также с ликвидацией всех типов скважин, отражен в Приложении № 1 к Приказу №__ от 31.12.2010г. «Методика учета расходов на освоение природных ресурсов».</w:t>
      </w:r>
      <w:r>
        <w:rPr>
          <w:rStyle w:val="Subst"/>
          <w:bCs/>
          <w:iCs/>
        </w:rPr>
        <w:br/>
        <w:t>Порядок учета и распределения косвенных затрат, связанных со строительством объектов обустройства кустовых площадок (кустов скважин).</w:t>
      </w:r>
      <w:r>
        <w:rPr>
          <w:rStyle w:val="Subst"/>
          <w:bCs/>
          <w:iCs/>
        </w:rPr>
        <w:br/>
      </w:r>
      <w:r>
        <w:rPr>
          <w:rStyle w:val="Subst"/>
          <w:bCs/>
          <w:iCs/>
        </w:rPr>
        <w:lastRenderedPageBreak/>
        <w:t>Косвенные затраты на обустройство кустовых площадок (кустов скважин) включают в себя:</w:t>
      </w:r>
      <w:r>
        <w:rPr>
          <w:rStyle w:val="Subst"/>
          <w:bCs/>
          <w:iCs/>
        </w:rPr>
        <w:br/>
        <w:t>•</w:t>
      </w:r>
      <w:r>
        <w:rPr>
          <w:rStyle w:val="Subst"/>
          <w:bCs/>
          <w:iCs/>
        </w:rPr>
        <w:tab/>
        <w:t>стоимость работ по разработке технического проекта на обустройство кустовых площадок (кустов скважин);</w:t>
      </w:r>
      <w:r>
        <w:rPr>
          <w:rStyle w:val="Subst"/>
          <w:bCs/>
          <w:iCs/>
        </w:rPr>
        <w:br/>
        <w:t>•</w:t>
      </w:r>
      <w:r>
        <w:rPr>
          <w:rStyle w:val="Subst"/>
          <w:bCs/>
          <w:iCs/>
        </w:rPr>
        <w:tab/>
        <w:t>затраты на проведение экспертиз по проекту;</w:t>
      </w:r>
      <w:r>
        <w:rPr>
          <w:rStyle w:val="Subst"/>
          <w:bCs/>
          <w:iCs/>
        </w:rPr>
        <w:br/>
        <w:t>•</w:t>
      </w:r>
      <w:r>
        <w:rPr>
          <w:rStyle w:val="Subst"/>
          <w:bCs/>
          <w:iCs/>
        </w:rPr>
        <w:tab/>
        <w:t>затраты на отвод земли.</w:t>
      </w:r>
      <w:r>
        <w:rPr>
          <w:rStyle w:val="Subst"/>
          <w:bCs/>
          <w:iCs/>
        </w:rPr>
        <w:br/>
        <w:t>Общество получает от Оператора информацию о проектно-сметной стоимости объекта .</w:t>
      </w:r>
      <w:r>
        <w:rPr>
          <w:rStyle w:val="Subst"/>
          <w:bCs/>
          <w:iCs/>
        </w:rPr>
        <w:br/>
        <w:t xml:space="preserve"> На основании полученной информации, данные затраты учитываются в стоимости строительства объектов обустройства кустовых площадок (кустов скважин) и распределяются пропорционально сметной стоимости объекта.</w:t>
      </w:r>
      <w:r>
        <w:rPr>
          <w:rStyle w:val="Subst"/>
          <w:bCs/>
          <w:iCs/>
        </w:rPr>
        <w:br/>
        <w:t>В случае отсутствия информации о проектно-сметной стоимости объектов, косвенные расходы распределяются пропорционально количеству объектов строительства на основании информации, полученной от Оператора.</w:t>
      </w:r>
      <w:r>
        <w:rPr>
          <w:rStyle w:val="Subst"/>
          <w:bCs/>
          <w:iCs/>
        </w:rPr>
        <w:br/>
        <w:t>В бухгалтерской отчетности Общества авансы, выданные при осуществлении капитальных вложений (за исключением авансов, выданных предприятиям Группы Славнефть), включаются в состав незавершенного производства и отражаются по строке 130 Бухгалтерского баланса.</w:t>
      </w:r>
      <w:r>
        <w:rPr>
          <w:rStyle w:val="Subst"/>
          <w:bCs/>
          <w:iCs/>
        </w:rPr>
        <w:br/>
        <w:t>Авансы, выданные при осуществлении капитальных вложений в рамках предприятий Группы Славнефть, включаются в состав дебиторской задолженности и отражаются по строке 230 или 240 Бухгалтерского баланса в зависимости от сроков погашения этой задолженности.</w:t>
      </w:r>
      <w:r>
        <w:rPr>
          <w:rStyle w:val="Subst"/>
          <w:bCs/>
          <w:iCs/>
        </w:rPr>
        <w:br/>
        <w:t>Учет расходов на рекультивацию земель.</w:t>
      </w:r>
      <w:r>
        <w:rPr>
          <w:rStyle w:val="Subst"/>
          <w:bCs/>
          <w:iCs/>
        </w:rPr>
        <w:br/>
        <w:t>Расходы на рекультивацию земель учитываются следующим образом:</w:t>
      </w:r>
      <w:r>
        <w:rPr>
          <w:rStyle w:val="Subst"/>
          <w:bCs/>
          <w:iCs/>
        </w:rPr>
        <w:br/>
        <w:t>1)</w:t>
      </w:r>
      <w:r>
        <w:rPr>
          <w:rStyle w:val="Subst"/>
          <w:bCs/>
          <w:iCs/>
        </w:rPr>
        <w:tab/>
        <w:t xml:space="preserve">в составе капитальных вложений и списываются путем начисления амортизации по данным объектам основных средств – в случае, если рекультивация земель осуществлялась в процессе строительства объекта основных средств; </w:t>
      </w:r>
      <w:r>
        <w:rPr>
          <w:rStyle w:val="Subst"/>
          <w:bCs/>
          <w:iCs/>
        </w:rPr>
        <w:br/>
        <w:t>2)</w:t>
      </w:r>
      <w:r>
        <w:rPr>
          <w:rStyle w:val="Subst"/>
          <w:bCs/>
          <w:iCs/>
        </w:rPr>
        <w:tab/>
        <w:t>в  составе расходов будущих  периодов, (97 счет),  в составе расходов на освоение природных ресурсов в соответствии с Приложением № 2 к Приказу № __ от 31.12.2010г. «Методика  учета  расходов  на освоение природных ресурсов» – в случае, если рекультивация земель осуществлялась после окончания строительства объекта основных средств, но в рамках деятельности, связанной с освоением природных ресурсов;</w:t>
      </w:r>
      <w:r>
        <w:rPr>
          <w:rStyle w:val="Subst"/>
          <w:bCs/>
          <w:iCs/>
        </w:rPr>
        <w:br/>
        <w:t>3)</w:t>
      </w:r>
      <w:r>
        <w:rPr>
          <w:rStyle w:val="Subst"/>
          <w:bCs/>
          <w:iCs/>
        </w:rPr>
        <w:tab/>
        <w:t>в составе материальных затрат и списываются единовременно в периоде, в котором осуществлялась рекультивация, – в случае, если рекультивация земель производилась в рамках производственной деятельности, не связанной с освоением природных ресурсов.</w:t>
      </w:r>
      <w:r>
        <w:rPr>
          <w:rStyle w:val="Subst"/>
          <w:bCs/>
          <w:iCs/>
        </w:rPr>
        <w:br/>
        <w:t>2.3.</w:t>
      </w:r>
      <w:r>
        <w:rPr>
          <w:rStyle w:val="Subst"/>
          <w:bCs/>
          <w:iCs/>
        </w:rPr>
        <w:tab/>
        <w:t>Порядок учета основных средств и начисления амортизации по ним</w:t>
      </w:r>
      <w:r>
        <w:rPr>
          <w:rStyle w:val="Subst"/>
          <w:bCs/>
          <w:iCs/>
        </w:rPr>
        <w:br/>
        <w:t>К основным средствам относятся совокупности материально-вещественных ценностей, предназначенных для использования в качестве средств труда при производстве продукции, при выполнении работ или оказании услуг, для управленческих нужд Общества, либо для предоставление Обществом за плату во временное владение и пользование или во временное пользование в течение периода, превышающего 12 месяцев, или обычного операционного цикла, если он превышает 12 месяцев.</w:t>
      </w:r>
      <w:r>
        <w:rPr>
          <w:rStyle w:val="Subst"/>
          <w:bCs/>
          <w:iCs/>
        </w:rPr>
        <w:br/>
        <w:t>Единицей бухгалтерского учета основных средств является инвентарный объект. В случае наличия у одного объекта нескольких частей, срок полезного использования которых существенно отличается, каждая такая часть может учитываться как самостоятельный инвентарный объект. При этом приспособления, первоначальная стоимость которых не превышает 40 000 руб., учитывается в составе материалов и списывается в расходы в момент ввода в эксплуатацию.</w:t>
      </w:r>
      <w:r>
        <w:rPr>
          <w:rStyle w:val="Subst"/>
          <w:bCs/>
          <w:iCs/>
        </w:rPr>
        <w:br/>
        <w:t>Существенным признается отличие в сроках полезного использования более чем на 10 %.</w:t>
      </w:r>
      <w:r>
        <w:rPr>
          <w:rStyle w:val="Subst"/>
          <w:bCs/>
          <w:iCs/>
        </w:rPr>
        <w:br/>
        <w:t>Основные средства принимаются к бухгалтерскому учету по первоначальной стоимости.</w:t>
      </w:r>
      <w:r>
        <w:rPr>
          <w:rStyle w:val="Subst"/>
          <w:bCs/>
          <w:iCs/>
        </w:rPr>
        <w:br/>
        <w:t>Первоначальной стоимостью основных средств, приобретенных за плату, признается сумма фактических затрат на приобретение, сооружение и изготовление основных средств за исключением налога на добавленную стоимость и иных возмещаемых налогов (кроме случаев предусмотренных законодательством Российской Федерации). Фактическими затратами могут быть:</w:t>
      </w:r>
      <w:r>
        <w:rPr>
          <w:rStyle w:val="Subst"/>
          <w:bCs/>
          <w:iCs/>
        </w:rPr>
        <w:br/>
        <w:t>•</w:t>
      </w:r>
      <w:r>
        <w:rPr>
          <w:rStyle w:val="Subst"/>
          <w:bCs/>
          <w:iCs/>
        </w:rPr>
        <w:tab/>
        <w:t>суммы, уплачиваемые в соответствии с договором поставщику (продавцу), а также суммы, уплачиваемые за доставку объекта и приведение его в состояние, пригодное для использования;</w:t>
      </w:r>
      <w:r>
        <w:rPr>
          <w:rStyle w:val="Subst"/>
          <w:bCs/>
          <w:iCs/>
        </w:rPr>
        <w:br/>
        <w:t>•</w:t>
      </w:r>
      <w:r>
        <w:rPr>
          <w:rStyle w:val="Subst"/>
          <w:bCs/>
          <w:iCs/>
        </w:rPr>
        <w:tab/>
        <w:t>суммы, уплачиваемые организациям за осуществление работ по договору строительного подряда и иным договорам;</w:t>
      </w:r>
      <w:r>
        <w:rPr>
          <w:rStyle w:val="Subst"/>
          <w:bCs/>
          <w:iCs/>
        </w:rPr>
        <w:br/>
        <w:t>•</w:t>
      </w:r>
      <w:r>
        <w:rPr>
          <w:rStyle w:val="Subst"/>
          <w:bCs/>
          <w:iCs/>
        </w:rPr>
        <w:tab/>
        <w:t>суммы, уплачиваемые организациям за информационные и консультационные услуги, связанные с приобретением основных средств;</w:t>
      </w:r>
      <w:r>
        <w:rPr>
          <w:rStyle w:val="Subst"/>
          <w:bCs/>
          <w:iCs/>
        </w:rPr>
        <w:br/>
        <w:t>•</w:t>
      </w:r>
      <w:r>
        <w:rPr>
          <w:rStyle w:val="Subst"/>
          <w:bCs/>
          <w:iCs/>
        </w:rPr>
        <w:tab/>
        <w:t>таможенные пошлины и таможенные сборы;</w:t>
      </w:r>
      <w:r>
        <w:rPr>
          <w:rStyle w:val="Subst"/>
          <w:bCs/>
          <w:iCs/>
        </w:rPr>
        <w:br/>
        <w:t>•</w:t>
      </w:r>
      <w:r>
        <w:rPr>
          <w:rStyle w:val="Subst"/>
          <w:bCs/>
          <w:iCs/>
        </w:rPr>
        <w:tab/>
        <w:t>невозмещаемые налоги, государственная пошлина, уплачиваемые в связи с приобретением объекта основных средств;</w:t>
      </w:r>
      <w:r>
        <w:rPr>
          <w:rStyle w:val="Subst"/>
          <w:bCs/>
          <w:iCs/>
        </w:rPr>
        <w:br/>
        <w:t>•</w:t>
      </w:r>
      <w:r>
        <w:rPr>
          <w:rStyle w:val="Subst"/>
          <w:bCs/>
          <w:iCs/>
        </w:rPr>
        <w:tab/>
        <w:t xml:space="preserve">вознаграждения, уплачиваемые посреднической организации, через которую приобретен объект основных средств: </w:t>
      </w:r>
      <w:r>
        <w:rPr>
          <w:rStyle w:val="Subst"/>
          <w:bCs/>
          <w:iCs/>
        </w:rPr>
        <w:br/>
        <w:t>•</w:t>
      </w:r>
      <w:r>
        <w:rPr>
          <w:rStyle w:val="Subst"/>
          <w:bCs/>
          <w:iCs/>
        </w:rPr>
        <w:tab/>
        <w:t xml:space="preserve">иные затраты, непосредственно связанные с приобретением, сооружением и </w:t>
      </w:r>
      <w:r>
        <w:rPr>
          <w:rStyle w:val="Subst"/>
          <w:bCs/>
          <w:iCs/>
        </w:rPr>
        <w:lastRenderedPageBreak/>
        <w:t>изготовлением объекта основных средств.</w:t>
      </w:r>
      <w:r>
        <w:rPr>
          <w:rStyle w:val="Subst"/>
          <w:bCs/>
          <w:iCs/>
        </w:rPr>
        <w:br/>
        <w:t>Не включаются в фактические затраты на приобретение, сооружение или изготовление основных средств общехозяйственные и иные аналогичные расходы, кроме случаев, когда они непосредственно связаны с приобретением, сооружением или изготовлением основных средств.</w:t>
      </w:r>
      <w:r>
        <w:rPr>
          <w:rStyle w:val="Subst"/>
          <w:bCs/>
          <w:iCs/>
        </w:rPr>
        <w:br/>
        <w:t>Первоначальной стоимостью основных средств, внесенных в счет вклада в уставный (складочный) капитал Общества, признается их денежная оценка, согласованная с учредителями, если иное не предусмотрено законодательством Российской Федерации.</w:t>
      </w:r>
      <w:r>
        <w:rPr>
          <w:rStyle w:val="Subst"/>
          <w:bCs/>
          <w:iCs/>
        </w:rPr>
        <w:br/>
        <w:t>Основные средства, получаемые в обмен на другое имущество (кроме денежных средств) оцениваются по стоимости обмениваемого имущества, устанавливаемой исходя из цены, по которой в сравнимых обстоятельствах обычно Общество определяет стоимость аналогичных товаров (ценностей).</w:t>
      </w:r>
      <w:r>
        <w:rPr>
          <w:rStyle w:val="Subst"/>
          <w:bCs/>
          <w:iCs/>
        </w:rPr>
        <w:br/>
        <w:t>Первоначальной стоимостью основных средств, полученных Обществом по договору дарения и иных случаях безвозмездного получения, признается их рыночная стоимость с учетом НДС на дату принятия к бухгалтерскому учету в качестве вложений во внеоборотные активы.</w:t>
      </w:r>
      <w:r>
        <w:rPr>
          <w:rStyle w:val="Subst"/>
          <w:bCs/>
          <w:iCs/>
        </w:rPr>
        <w:br/>
        <w:t xml:space="preserve">Стоимость основных средств, полученных безвозмездно отражается по дебету счета «Вложения во внеоборотные активы» в корреспонденции со счетом «Доходы будущих периодов» и дебету учета основных средств в корреспонденции с кредитом счета «Вложения во внеоборотные активы». </w:t>
      </w:r>
      <w:r>
        <w:rPr>
          <w:rStyle w:val="Subst"/>
          <w:bCs/>
          <w:iCs/>
        </w:rPr>
        <w:br/>
        <w:t>Первоначальной стоимостью основных средств, приобретаемых по договорам, предусматривающим исполнение обязательств (оплату) не денежными средствами признается стоимость товаров (ценностей), переданных или подлежащих передаче организацией. Стоимость товаров (ценностей), переданных или подлежащих передаче, устанавливается исходя из рыночной стоимости аналогичных товаров (ценностей).</w:t>
      </w:r>
      <w:r>
        <w:rPr>
          <w:rStyle w:val="Subst"/>
          <w:bCs/>
          <w:iCs/>
        </w:rPr>
        <w:br/>
        <w:t>Затраты по доставке указанных объектов основных средств относятся на увеличение первоначальной стоимости объекта и отражаются по дебету счета «Вложения во внеоборотные активы» в корреспонденции со счетами расчетов.</w:t>
      </w:r>
      <w:r>
        <w:rPr>
          <w:rStyle w:val="Subst"/>
          <w:bCs/>
          <w:iCs/>
        </w:rPr>
        <w:br/>
        <w:t>Срок полезного использования объектов основных средств определяется при принятии объектов к бухгалтерскому учету Комиссией по приему-передаче, вводу в эксплуатацию и списанию имущества, утвержденной приказом Общества на основании Классификации основных средств, включаемых в амортизационные группы, утвержденной постановлением Правительства РФ. При этом оформляется распоряжение, в котором указывается цель приобретения основных средств, амортизационная группа, срок полезного использования.</w:t>
      </w:r>
      <w:r>
        <w:rPr>
          <w:rStyle w:val="Subst"/>
          <w:bCs/>
          <w:iCs/>
        </w:rPr>
        <w:br/>
        <w:t>Принятие объектов основных средств к бухгалтерскому учету осуществляется на основании утвержденного генеральным директором Акта приема-передачи основных средств формы ОС-1, который составляется на каждый инвентарный объект.</w:t>
      </w:r>
      <w:r>
        <w:rPr>
          <w:rStyle w:val="Subst"/>
          <w:bCs/>
          <w:iCs/>
        </w:rPr>
        <w:br/>
        <w:t>Переоценка первоначальной стоимости основных средств не производится.</w:t>
      </w:r>
      <w:r>
        <w:rPr>
          <w:rStyle w:val="Subst"/>
          <w:bCs/>
          <w:iCs/>
        </w:rPr>
        <w:br/>
        <w:t>Амортизация основных средств начисляется линейным способом. Срок полезного использования объектов основных средств устанавливается при принятии объекта к учету исходя из условий эксплуатации самостоятельно (продолжение...)</w:t>
      </w:r>
    </w:p>
    <w:p w:rsidR="000C4574" w:rsidRDefault="000C4574">
      <w:pPr>
        <w:pStyle w:val="2"/>
      </w:pPr>
      <w:r>
        <w:t>7.5. Сведения об общей сумме экспорта, а также о доле, которую составляет экспорт в общем объеме продаж</w:t>
      </w:r>
    </w:p>
    <w:p w:rsidR="000C4574" w:rsidRDefault="000C4574">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C4574" w:rsidRDefault="000C4574">
      <w:pPr>
        <w:pStyle w:val="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0C4574" w:rsidRDefault="000C4574">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0C4574" w:rsidRDefault="000C4574">
      <w:pPr>
        <w:ind w:left="400"/>
      </w:pPr>
      <w:r>
        <w:rPr>
          <w:rStyle w:val="Subst"/>
          <w:bCs/>
          <w:iCs/>
        </w:rPr>
        <w:t>Существенных изменений в составе имущества эмитента, произошедших в течение 12 месяцев до даты окончания отчетного квартала не было</w:t>
      </w:r>
    </w:p>
    <w:p w:rsidR="000C4574" w:rsidRDefault="000C4574">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0C4574" w:rsidRDefault="000C4574">
      <w:pPr>
        <w:ind w:left="200"/>
      </w:pPr>
      <w:r>
        <w:rPr>
          <w:rStyle w:val="Subst"/>
          <w:bCs/>
          <w:iCs/>
        </w:rPr>
        <w:t xml:space="preserve">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w:t>
      </w:r>
      <w:r>
        <w:rPr>
          <w:rStyle w:val="Subst"/>
          <w:bCs/>
          <w:iCs/>
        </w:rPr>
        <w:lastRenderedPageBreak/>
        <w:t>последнего завершенного финансового года и до даты окончания отчетного квартала</w:t>
      </w:r>
    </w:p>
    <w:p w:rsidR="000C4574" w:rsidRDefault="000C4574">
      <w:pPr>
        <w:pStyle w:val="1"/>
      </w:pPr>
      <w:r>
        <w:t>VIII. Дополнительные сведения об эмитенте и о размещенных им эмиссионных ценных бумагах</w:t>
      </w:r>
    </w:p>
    <w:p w:rsidR="000C4574" w:rsidRDefault="000C4574">
      <w:pPr>
        <w:pStyle w:val="2"/>
      </w:pPr>
      <w:r>
        <w:t>8.1. Дополнительные сведения об эмитенте</w:t>
      </w:r>
    </w:p>
    <w:p w:rsidR="000C4574" w:rsidRDefault="000C4574">
      <w:pPr>
        <w:pStyle w:val="2"/>
      </w:pPr>
      <w:r>
        <w:t>8.1.1. Сведения о размере, структуре уставного (складочного) капитала (паевого фонда) эмитента</w:t>
      </w:r>
    </w:p>
    <w:p w:rsidR="000C4574" w:rsidRDefault="000C4574">
      <w:pPr>
        <w:ind w:left="200"/>
      </w:pPr>
      <w:r>
        <w:t>Размер уставного (складочного) капитала (паевого фонда) эмитента на дату окончания последнего отчетного квартала, руб.:</w:t>
      </w:r>
      <w:r>
        <w:rPr>
          <w:rStyle w:val="Subst"/>
          <w:bCs/>
          <w:iCs/>
        </w:rPr>
        <w:t xml:space="preserve"> 3 368 542</w:t>
      </w:r>
    </w:p>
    <w:p w:rsidR="000C4574" w:rsidRDefault="000C4574">
      <w:pPr>
        <w:pStyle w:val="SubHeading"/>
        <w:ind w:left="200"/>
      </w:pPr>
      <w:r>
        <w:t>Обыкновенные акции</w:t>
      </w:r>
    </w:p>
    <w:p w:rsidR="000C4574" w:rsidRDefault="000C4574">
      <w:pPr>
        <w:ind w:left="400"/>
      </w:pPr>
      <w:r>
        <w:t>Общая номинальная стоимость:</w:t>
      </w:r>
      <w:r>
        <w:rPr>
          <w:rStyle w:val="Subst"/>
          <w:bCs/>
          <w:iCs/>
        </w:rPr>
        <w:t xml:space="preserve"> 2 526 406</w:t>
      </w:r>
    </w:p>
    <w:p w:rsidR="000C4574" w:rsidRDefault="000C4574">
      <w:pPr>
        <w:ind w:left="400"/>
      </w:pPr>
      <w:r>
        <w:t>Размер доли в УК, %:</w:t>
      </w:r>
      <w:r>
        <w:rPr>
          <w:rStyle w:val="Subst"/>
          <w:bCs/>
          <w:iCs/>
        </w:rPr>
        <w:t xml:space="preserve"> 74.999985</w:t>
      </w:r>
    </w:p>
    <w:p w:rsidR="000C4574" w:rsidRDefault="000C4574">
      <w:pPr>
        <w:pStyle w:val="SubHeading"/>
        <w:ind w:left="200"/>
      </w:pPr>
      <w:r>
        <w:t>Привилегированные</w:t>
      </w:r>
    </w:p>
    <w:p w:rsidR="000C4574" w:rsidRDefault="000C4574">
      <w:pPr>
        <w:ind w:left="400"/>
      </w:pPr>
      <w:r>
        <w:t>Общая номинальная стоимость:</w:t>
      </w:r>
      <w:r>
        <w:rPr>
          <w:rStyle w:val="Subst"/>
          <w:bCs/>
          <w:iCs/>
        </w:rPr>
        <w:t xml:space="preserve"> 842 136</w:t>
      </w:r>
    </w:p>
    <w:p w:rsidR="000C4574" w:rsidRDefault="000C4574">
      <w:pPr>
        <w:ind w:left="400"/>
      </w:pPr>
      <w:r>
        <w:t>Размер доли в УК, %:</w:t>
      </w:r>
      <w:r>
        <w:rPr>
          <w:rStyle w:val="Subst"/>
          <w:bCs/>
          <w:iCs/>
        </w:rPr>
        <w:t xml:space="preserve"> 25.000015</w:t>
      </w:r>
    </w:p>
    <w:p w:rsidR="000C4574" w:rsidRDefault="000C4574">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соответствует</w:t>
      </w:r>
    </w:p>
    <w:p w:rsidR="000C4574" w:rsidRDefault="000C4574">
      <w:pPr>
        <w:ind w:left="200"/>
      </w:pPr>
    </w:p>
    <w:p w:rsidR="000C4574" w:rsidRDefault="000C4574">
      <w:pPr>
        <w:pStyle w:val="2"/>
      </w:pPr>
      <w:r>
        <w:t>8.1.2. Сведения об изменении размера уставного (складочного) капитала (паевого фонда) эмитента</w:t>
      </w:r>
    </w:p>
    <w:p w:rsidR="000C4574" w:rsidRDefault="000C4574">
      <w:pPr>
        <w:ind w:left="200"/>
      </w:pPr>
      <w:r>
        <w:rPr>
          <w:rStyle w:val="Subst"/>
          <w:bCs/>
          <w:iCs/>
        </w:rPr>
        <w:t>Изменений размера УК за данный период не было</w:t>
      </w:r>
    </w:p>
    <w:p w:rsidR="000C4574" w:rsidRDefault="000C4574">
      <w:pPr>
        <w:pStyle w:val="2"/>
      </w:pPr>
      <w:r>
        <w:t>8.1.3. Сведения о порядке созыва и проведения собрания (заседания) высшего органа управления эмитента</w:t>
      </w:r>
    </w:p>
    <w:p w:rsidR="000C4574" w:rsidRDefault="000C4574">
      <w:pPr>
        <w:ind w:left="200"/>
      </w:pPr>
      <w:r>
        <w:t>Наименование высшего органа управления эмитента:</w:t>
      </w:r>
      <w:r>
        <w:rPr>
          <w:rStyle w:val="Subst"/>
          <w:bCs/>
          <w:iCs/>
        </w:rPr>
        <w:t xml:space="preserve"> Собрание акционеров</w:t>
      </w:r>
    </w:p>
    <w:p w:rsidR="000C4574" w:rsidRDefault="000C4574">
      <w:pPr>
        <w:ind w:left="200"/>
      </w:pPr>
      <w:r>
        <w:t>Порядок уведомления акционеров (участников) о проведении собрания (заседания) высшего органа управления эмитента:</w:t>
      </w:r>
      <w:r>
        <w:br/>
      </w:r>
      <w:r>
        <w:rPr>
          <w:rStyle w:val="Subst"/>
          <w:bCs/>
          <w:iCs/>
        </w:rPr>
        <w:t xml:space="preserve">Сообщение о проведении Собрания акционеров осуществляется </w:t>
      </w:r>
      <w:r>
        <w:rPr>
          <w:rStyle w:val="Subst"/>
          <w:bCs/>
          <w:iCs/>
        </w:rPr>
        <w:br/>
        <w:t>1. в период, когда число владельцев голосующих акций Общества менее 1 000, – путем опубликования сообщения в газете «Сургутская трибуна», а также письменного уведомления акционеров - владельцев более 1 процента голосующих акций Общества;</w:t>
      </w:r>
      <w:r>
        <w:rPr>
          <w:rStyle w:val="Subst"/>
          <w:bCs/>
          <w:iCs/>
        </w:rPr>
        <w:br/>
        <w:t>2. в период, когда число владельцев голосующих акций Общества 1 000 и более, – путем опубликования сообщения в газете «Сургутская трибуна», а также письменного уведомления акционеров - владельцев более 1 процента голосующих акций Общества, а в случае одновременного направления лицам, указанным в списке лиц, имеющих право на участие в Собрании акционеров, бюллетеней для голосования в соответствии с п.9.21 Устава – путем направления сообщения заказным письмом или путем вручения под роспись лицам, включенным в список лиц, имеющих право на участие в Собрании акционеров.</w:t>
      </w:r>
      <w:r>
        <w:rPr>
          <w:rStyle w:val="Subst"/>
          <w:bCs/>
          <w:iCs/>
        </w:rPr>
        <w:br/>
        <w:t>В случае невозможности опубликования сообщения о проведении Собрания акционеров в газете «Сургутская трибуна» Общество направляет указанное сообщение заказным письмом или вручает под роспись лицам, указанным в списке лиц, имеющих право на участие в Собрании акционеров.</w:t>
      </w:r>
      <w:r>
        <w:rPr>
          <w:rStyle w:val="Subst"/>
          <w:bCs/>
          <w:iCs/>
        </w:rPr>
        <w:br/>
        <w:t>Общество публикует (направляет сообщения заказными письмами, вручает под роспись) сообщение о проведении Собрания акционеров не позднее, чем за 20 дней до даты его проведения, а в случае проведения Собрания акционеров, повестка дня которого содержит вопрос о реорганизации Общества,  не позднее чем за 30 дней до даты его проведения.</w:t>
      </w:r>
      <w:r>
        <w:rPr>
          <w:rStyle w:val="Subst"/>
          <w:bCs/>
          <w:iCs/>
        </w:rPr>
        <w:br/>
        <w:t>В случае, предусмотренном абзацем вторым п.9.6 Устава, сообщение о проведении внеочередного Собрания акционеров осуществляется не позднее чем за 50 дней до даты его проведения.</w:t>
      </w:r>
      <w:r>
        <w:rPr>
          <w:rStyle w:val="Subst"/>
          <w:bCs/>
          <w:iCs/>
        </w:rPr>
        <w:br/>
      </w:r>
    </w:p>
    <w:p w:rsidR="000C4574" w:rsidRDefault="000C4574">
      <w:pPr>
        <w:ind w:left="200"/>
      </w:pPr>
      <w:r>
        <w:t xml:space="preserve">Лица (органы), которые вправе созывать (требовать проведения) внеочередного собрания (заседания) </w:t>
      </w:r>
      <w:r>
        <w:lastRenderedPageBreak/>
        <w:t>высшего органа управления эмитента, а также порядок направления (предъявления) таких требований:</w:t>
      </w:r>
      <w:r>
        <w:br/>
      </w:r>
      <w:r>
        <w:rPr>
          <w:rStyle w:val="Subst"/>
          <w:bCs/>
          <w:iCs/>
        </w:rPr>
        <w:t>Внеочередное Собрание акционеров проводится по решению Совета директоров на основании его собственной инициативы, требования Ревизионной комиссии, аудитора Общества, а также акционеров (акционера), владеющих в совокупности не менее чем 10 процентами голосующих акций Общества на дату предъявления указанного требования.</w:t>
      </w:r>
      <w:r>
        <w:rPr>
          <w:rStyle w:val="Subst"/>
          <w:bCs/>
          <w:iCs/>
        </w:rPr>
        <w:br/>
        <w:t>Созыв внеочередного Собрания акционеров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Общества, осуществляется Советом директоров. При этом такое внеочередное Собрание акционеров должно быть проведено в течение 40 дней с момента предъявления требования о проведении внеочередного Собрания акционеров.</w:t>
      </w:r>
      <w:r>
        <w:rPr>
          <w:rStyle w:val="Subst"/>
          <w:bCs/>
          <w:iCs/>
        </w:rPr>
        <w:br/>
        <w:t xml:space="preserve">В случае, если предлагаемая повестка дня внеочередного Собрания акционеров содержит вопрос об избрании членов Совета директоров, то такое Собрание акционеров должно быть проведено в течение 70 дней с момента предъявления требования о проведении внеочередного Собрания акционеров. </w:t>
      </w:r>
      <w:r>
        <w:rPr>
          <w:rStyle w:val="Subst"/>
          <w:bCs/>
          <w:iCs/>
        </w:rPr>
        <w:br/>
        <w:t>В требовании о проведении внеочередного Собрания акционеров должны быть сформулированы вопросы, подлежащие внесению в повестку дня.</w:t>
      </w:r>
      <w:r>
        <w:rPr>
          <w:rStyle w:val="Subst"/>
          <w:bCs/>
          <w:iCs/>
        </w:rPr>
        <w:br/>
        <w:t>Требование о проведении внеочередного Собрания акционеров может содержать формулировки решений по каждому из вопросов, а также предложение о форме проведе¬ния внеочередного Собрания акционеров. Если требование о проведении внеочередного Собрания акционеров содержит предложения о выдвижении кандидатов, на такое предложение распространяются положения п.9.6 настоящей статьи.</w:t>
      </w:r>
      <w:r>
        <w:rPr>
          <w:rStyle w:val="Subst"/>
          <w:bCs/>
          <w:iCs/>
        </w:rPr>
        <w:br/>
        <w:t>Если требование о созыве внеочередного Собрания акционеров исходит от акционеров (акционера), оно должно содержать имена (наименования) акционеров (акционера), требующих созыва Собрания акционеров, количество и категорию (тип) принадлежащих им акций.</w:t>
      </w:r>
      <w:r>
        <w:rPr>
          <w:rStyle w:val="Subst"/>
          <w:bCs/>
          <w:iCs/>
        </w:rPr>
        <w:br/>
        <w:t>Требование о созыве внеочередного Собрания акционеров подписывается лицами (лицом), требующими его созыва.</w:t>
      </w:r>
      <w:r>
        <w:rPr>
          <w:rStyle w:val="Subst"/>
          <w:bCs/>
          <w:iCs/>
        </w:rPr>
        <w:br/>
        <w:t>Совет директоров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Собрания акционеров, созываемого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Общества.</w:t>
      </w:r>
      <w:r>
        <w:rPr>
          <w:rStyle w:val="Subst"/>
          <w:bCs/>
          <w:iCs/>
        </w:rPr>
        <w:br/>
        <w:t xml:space="preserve">Совет директоров Общества при принятии решения о созыве внеочередного Собрания акционеров, осуществляемого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Общества, при отсутствии в требовании о созыве внеочередного Собрания акционеров формулировки решения по вопросам повестки дня внеочередного Собрания акционеров или при отсутствии указания на форму проведения внеочередного Собрания акционеров вправе принять решение по формулировке проектов решений внеочередного Собрания акционеров и форме его проведения. </w:t>
      </w:r>
      <w:r>
        <w:rPr>
          <w:rStyle w:val="Subst"/>
          <w:bCs/>
          <w:iCs/>
        </w:rPr>
        <w:br/>
        <w:t>Решение о созыве внеочередного Собрания акционеров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Общества, или об отказе от созыва Собрания принимается Советом директоров Общества в течение 5 дней с даты предъявления указанного требования. Решение Совета директоров о созыве внеочередного Собрания  акционеров или мотивированное решение об отказе в его созыве направляется лицам, требующим созыва внеочередного Собрания акционеров, в срок не позднее трех дней с момента его принятия.</w:t>
      </w:r>
      <w:r>
        <w:rPr>
          <w:rStyle w:val="Subst"/>
          <w:bCs/>
          <w:iCs/>
        </w:rPr>
        <w:br/>
        <w:t>Совет директоров вправе принять решение об отказе в созыве внеочередного Собрания акционеров по требованию Ревизионной комиссии, аудитора Общества, а также акционеров (акционера), владеющих в совокупности не менее чем 10 процентами голосующих акций, если:</w:t>
      </w:r>
      <w:r>
        <w:rPr>
          <w:rStyle w:val="Subst"/>
          <w:bCs/>
          <w:iCs/>
        </w:rPr>
        <w:br/>
        <w:t>-</w:t>
      </w:r>
      <w:r>
        <w:rPr>
          <w:rStyle w:val="Subst"/>
          <w:bCs/>
          <w:iCs/>
        </w:rPr>
        <w:tab/>
        <w:t>не соблюден предусмотренный настоящим пунктом порядок предъявления  требования о созыве внеочередного Собрания акционеров;</w:t>
      </w:r>
      <w:r>
        <w:rPr>
          <w:rStyle w:val="Subst"/>
          <w:bCs/>
          <w:iCs/>
        </w:rPr>
        <w:br/>
        <w:t>-</w:t>
      </w:r>
      <w:r>
        <w:rPr>
          <w:rStyle w:val="Subst"/>
          <w:bCs/>
          <w:iCs/>
        </w:rPr>
        <w:tab/>
        <w:t>акционеры (акционер), требующие созыва внеочередного Собрания акционеров, не являются владельцами 10 или более процентов голосующих акций Общества на дату предъявления требования;</w:t>
      </w:r>
      <w:r>
        <w:rPr>
          <w:rStyle w:val="Subst"/>
          <w:bCs/>
          <w:iCs/>
        </w:rPr>
        <w:br/>
        <w:t>-</w:t>
      </w:r>
      <w:r>
        <w:rPr>
          <w:rStyle w:val="Subst"/>
          <w:bCs/>
          <w:iCs/>
        </w:rPr>
        <w:tab/>
        <w:t>ни один из вопросов, предложенных для внесения в повестку дня внеочередного Собрания акционеров, не отнесен к его компетенции и (или) не соответствует требованиям Федерального закона «Об акционерных обществах» и иных правовых актов Российской Федерации.</w:t>
      </w:r>
      <w:r>
        <w:rPr>
          <w:rStyle w:val="Subst"/>
          <w:bCs/>
          <w:iCs/>
        </w:rPr>
        <w:br/>
        <w:t xml:space="preserve">Решение Совета директоров Общества об отказе в созыве внеочередного Собрания акционеров может быть обжаловано в суд. </w:t>
      </w:r>
      <w:r>
        <w:rPr>
          <w:rStyle w:val="Subst"/>
          <w:bCs/>
          <w:iCs/>
        </w:rPr>
        <w:br/>
        <w:t xml:space="preserve">В случае, если Совет директоров Общества в срок, установленный настоящим пунктом, не принял решение о созыве внеочередного Собрания акционеров или принял решение об отказе в его созыве, внеочередное Собрание акционеров может быть созвано органами и лицами, требующими его созыва. При  этом органы и лица, созывающие внеочередное Собрание акционеров, обладают </w:t>
      </w:r>
      <w:r>
        <w:rPr>
          <w:rStyle w:val="Subst"/>
          <w:bCs/>
          <w:iCs/>
        </w:rPr>
        <w:lastRenderedPageBreak/>
        <w:t>полномочиями, необходимыми для созыва и проведения Собрания акционеров.</w:t>
      </w:r>
      <w:r>
        <w:rPr>
          <w:rStyle w:val="Subst"/>
          <w:bCs/>
          <w:iCs/>
        </w:rPr>
        <w:br/>
        <w:t>В указанном случае расходы по подготовке и проведению внеочередного Собрания акционеров могут быть возмещены по решению Собрания акционеров за счет средств Общества</w:t>
      </w:r>
      <w:r>
        <w:rPr>
          <w:rStyle w:val="Subst"/>
          <w:bCs/>
          <w:iCs/>
        </w:rPr>
        <w:br/>
      </w:r>
    </w:p>
    <w:p w:rsidR="000C4574" w:rsidRDefault="000C4574">
      <w:pPr>
        <w:ind w:left="200"/>
      </w:pPr>
      <w:r>
        <w:t>Порядок определения даты проведения собрания (заседания) высшего органа управления эмитента:</w:t>
      </w:r>
      <w:r>
        <w:br/>
      </w:r>
      <w:r>
        <w:rPr>
          <w:rStyle w:val="Subst"/>
          <w:bCs/>
          <w:iCs/>
        </w:rPr>
        <w:t>Конкретная дата проведения годового Собрания акционеров и повестка дня определяются Советом директоров</w:t>
      </w:r>
    </w:p>
    <w:p w:rsidR="000C4574" w:rsidRDefault="000C4574">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Акционеры (акционер) Общества, являющиеся в совокупности владельцами не менее чем 2 процентов голосующих акций Общества, в срок не позднее 60 дней после окончания финансового года вправе внести вопросы в повестку дня годового Собрания акционеров и выдвинуть кандидатов в Совет директоров, Ревизионную комиссию и счетную комиссию Общества, число которых не может превышать количественный состав соответствующего органа, установленный на дату выдвижения кандидатов, а также одного кандидата на должность Генерального директора.</w:t>
      </w:r>
      <w:r>
        <w:rPr>
          <w:rStyle w:val="Subst"/>
          <w:bCs/>
          <w:iCs/>
        </w:rPr>
        <w:br/>
        <w:t>Предложение о внесении вопросов в повестку дня Собрания акционеров и предложение о выдвижении кандидатов вносятся в письменной форме с указанием имени (наименования) представивших их акционеров, количества и категории (типа) принадлежащих им акций и должны быть подписаны акционерами (акционером).</w:t>
      </w:r>
      <w:r>
        <w:rPr>
          <w:rStyle w:val="Subst"/>
          <w:bCs/>
          <w:iCs/>
        </w:rPr>
        <w:br/>
        <w:t>Предложение о внесении вопросов в повестку дня должно содержать формулировки предлагаемых вопросов, а также может содержать формулировку решения по каждому предлагаемому вопросу. Предложение о выдвижении кандидатов должно содержать имя каждого предлагаемого кандидата, наименование органа, для избрания в который он предлагается, количество и категории (типы) принадлежащих кандидатам акций Общества, письменные заявления кандидатов о согласии на выдвижение их кандидатур</w:t>
      </w:r>
    </w:p>
    <w:p w:rsidR="000C4574" w:rsidRDefault="000C4574">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 xml:space="preserve">К информации (материалам), подлежащей предоставлению лицам, имеющим право на участие в Собрании акционеров, при подготовке к проведению Собрания акционеров, относятся: годовой отчет Общества, годовая бухгалтерская отчетность, в том числе заключение Ревизионной комиссии и аудитора по результатам проверки годовой бухгалтерской отчетности Общества, рекомендации Совета директоров Общества по распределению прибыли, в том числе по размеру дивиденда по акциям Общества и порядку его выплаты, и убытков Общества по результатам финансового года; сведения о кандидатах в Совет директоров, Ревизионную комиссию Общества, проект изменений и дополнений (новой редакции) Устава Общества, проекты изменений и дополнений (новой редакции) Положения о Собрании акционеров Общества, проекты внутренних документов Общества, проекты решений Собрания акционеров, а также иная информация (материалы), предусмотренная  Уставом. </w:t>
      </w:r>
      <w:r>
        <w:rPr>
          <w:rStyle w:val="Subst"/>
          <w:bCs/>
          <w:iCs/>
        </w:rPr>
        <w:br/>
        <w:t>По решению Совета директоров акционерам Общества одновременно с сообщением о проведении Собрания акционеров должны быть направлены бюллетени для голосования, подлежащие предоставлению акционерам в соответствии с п.9.21 Устава.</w:t>
      </w:r>
      <w:r>
        <w:rPr>
          <w:rStyle w:val="Subst"/>
          <w:bCs/>
          <w:iCs/>
        </w:rPr>
        <w:br/>
        <w:t>Общество обеспечивает доступ лиц, имеющих право на участие в Собрании акционеров, для ознакомления с информацией (материалами), предусмотренной настоящим пунктом, в течение 20 дней, а в случае проведения Собрания акционеров, повестка дня которого содержит вопрос о реорганизации Общества, – 30 дней до даты  проведения Собрания акционеров, в помещении исполнительного органа Общества и иных местах, адреса которых указаны в сообщении о проведении Собрания акционеров.</w:t>
      </w:r>
      <w:r>
        <w:rPr>
          <w:rStyle w:val="Subst"/>
          <w:bCs/>
          <w:iCs/>
        </w:rPr>
        <w:br/>
        <w:t>Информация (материалы), предусмотренная настоящим пунктом, должна быть доступной лицам, принимающим участие в Собрании акционеров, во время его проведения.</w:t>
      </w:r>
      <w:r>
        <w:rPr>
          <w:rStyle w:val="Subst"/>
          <w:bCs/>
          <w:iCs/>
        </w:rPr>
        <w:br/>
        <w:t>Общество по требованию лица, имеющего право на участие в Собрании акционеров, предоставляет ему копии документов, указанных в настоящем пункте, с взиманием платы за их предоставление. Плата, взимаемая за предоставление копий документов, не может превышать затраты на их изготовление</w:t>
      </w:r>
      <w:r>
        <w:rPr>
          <w:rStyle w:val="Subst"/>
          <w:bCs/>
          <w:iCs/>
        </w:rPr>
        <w:br/>
      </w:r>
    </w:p>
    <w:p w:rsidR="000C4574" w:rsidRDefault="000C4574">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 xml:space="preserve">Решения, принятые Собранием акционеров, а также итоги голосования по вопросам повестки дня оглашаются на Собрании акционеров, в ходе которого проводилось голосование, или доводятся не позднее 10 дней после составления протокола об итогах голосования доводятся в форме отчета об итогах голосования до сведения лиц, включенных в список лиц, имеющих право </w:t>
      </w:r>
      <w:r>
        <w:rPr>
          <w:rStyle w:val="Subst"/>
          <w:bCs/>
          <w:iCs/>
        </w:rPr>
        <w:lastRenderedPageBreak/>
        <w:t>на участие в Собрании акционеров, путем опубликования сообщения в газете «Сургутская трибуна», а также путем письменного уведомления акционеров - владельцев более 1 процента голосующих акций Общества</w:t>
      </w:r>
    </w:p>
    <w:p w:rsidR="000C4574" w:rsidRDefault="000C4574">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0C4574" w:rsidRDefault="000C4574">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0C4574" w:rsidRDefault="000C4574">
      <w:pPr>
        <w:ind w:left="200"/>
      </w:pPr>
      <w:r>
        <w:rPr>
          <w:rStyle w:val="Subst"/>
          <w:bCs/>
          <w:iCs/>
        </w:rPr>
        <w:t>1. Полное фирменное наименование: Общество с ограниченной ответственностью "Мегион геология"</w:t>
      </w:r>
    </w:p>
    <w:p w:rsidR="000C4574" w:rsidRDefault="000C4574">
      <w:pPr>
        <w:ind w:left="200"/>
      </w:pPr>
      <w:r>
        <w:t>Сокращенное фирменное наименование:</w:t>
      </w:r>
      <w:r>
        <w:rPr>
          <w:rStyle w:val="Subst"/>
          <w:bCs/>
          <w:iCs/>
        </w:rPr>
        <w:t xml:space="preserve"> ООО "Мегион геология"</w:t>
      </w:r>
    </w:p>
    <w:p w:rsidR="000C4574" w:rsidRDefault="000C4574">
      <w:pPr>
        <w:pStyle w:val="SubHeading"/>
        <w:ind w:left="200"/>
      </w:pPr>
      <w:r>
        <w:t>Место нахождения</w:t>
      </w:r>
    </w:p>
    <w:p w:rsidR="000C4574" w:rsidRDefault="000C4574">
      <w:pPr>
        <w:ind w:left="400"/>
      </w:pPr>
      <w:r>
        <w:rPr>
          <w:rStyle w:val="Subst"/>
          <w:bCs/>
          <w:iCs/>
        </w:rPr>
        <w:t>628681 Россия, Мегион,, Южная 14</w:t>
      </w:r>
    </w:p>
    <w:p w:rsidR="000C4574" w:rsidRDefault="000C4574">
      <w:pPr>
        <w:ind w:left="200"/>
      </w:pPr>
      <w:r>
        <w:t>ИНН:</w:t>
      </w:r>
      <w:r>
        <w:rPr>
          <w:rStyle w:val="Subst"/>
          <w:bCs/>
          <w:iCs/>
        </w:rPr>
        <w:t xml:space="preserve"> 8605022318</w:t>
      </w:r>
    </w:p>
    <w:p w:rsidR="000C4574" w:rsidRDefault="000C4574">
      <w:pPr>
        <w:ind w:left="200"/>
      </w:pPr>
      <w:r>
        <w:t>ОГРН:</w:t>
      </w:r>
      <w:r>
        <w:rPr>
          <w:rStyle w:val="Subst"/>
          <w:bCs/>
          <w:iCs/>
        </w:rPr>
        <w:t xml:space="preserve"> 1108605000173</w:t>
      </w:r>
    </w:p>
    <w:p w:rsidR="000C4574" w:rsidRDefault="000C4574">
      <w:pPr>
        <w:ind w:left="200"/>
      </w:pPr>
      <w:r>
        <w:t>Доля эмитента в уставном (складочном) капитале (паевом фонде) коммерческой организации:</w:t>
      </w:r>
      <w:r>
        <w:rPr>
          <w:rStyle w:val="Subst"/>
          <w:bCs/>
          <w:iCs/>
        </w:rPr>
        <w:t xml:space="preserve"> 45.5%</w:t>
      </w:r>
    </w:p>
    <w:p w:rsidR="000C4574" w:rsidRDefault="000C4574">
      <w:pPr>
        <w:ind w:left="200"/>
      </w:pPr>
      <w:r>
        <w:t>Доля участия лица в уставном капитале эмитента:</w:t>
      </w:r>
      <w:r>
        <w:rPr>
          <w:rStyle w:val="Subst"/>
          <w:bCs/>
          <w:iCs/>
        </w:rPr>
        <w:t xml:space="preserve"> %</w:t>
      </w:r>
    </w:p>
    <w:p w:rsidR="000C4574" w:rsidRDefault="000C4574">
      <w:pPr>
        <w:ind w:left="200"/>
      </w:pPr>
      <w:r>
        <w:t>Доля принадлежащих лицу обыкновенных акций эмитента:</w:t>
      </w:r>
      <w:r>
        <w:rPr>
          <w:rStyle w:val="Subst"/>
          <w:bCs/>
          <w:iCs/>
        </w:rPr>
        <w:t xml:space="preserve"> %</w:t>
      </w:r>
    </w:p>
    <w:p w:rsidR="000C4574" w:rsidRDefault="000C4574">
      <w:pPr>
        <w:pStyle w:val="2"/>
      </w:pPr>
      <w:r>
        <w:t>8.1.5. Сведения о существенных сделках, совершенных эмитентом</w:t>
      </w:r>
    </w:p>
    <w:p w:rsidR="000C4574" w:rsidRDefault="000C4574">
      <w:pPr>
        <w:pStyle w:val="SubHeading"/>
        <w:ind w:left="200"/>
      </w:pPr>
      <w:r>
        <w:t>За 2013 г.</w:t>
      </w:r>
    </w:p>
    <w:p w:rsidR="000C4574" w:rsidRDefault="000C4574">
      <w:pPr>
        <w:ind w:left="400"/>
      </w:pPr>
      <w:r>
        <w:rPr>
          <w:rStyle w:val="Subst"/>
          <w:bCs/>
          <w:iCs/>
        </w:rPr>
        <w:t>Указанные сделки в течение данного периода не совершались</w:t>
      </w:r>
    </w:p>
    <w:p w:rsidR="000C4574" w:rsidRDefault="000C4574">
      <w:pPr>
        <w:pStyle w:val="SubHeading"/>
        <w:ind w:left="200"/>
      </w:pPr>
      <w:r>
        <w:t>За отчетный квартал</w:t>
      </w:r>
    </w:p>
    <w:p w:rsidR="000C4574" w:rsidRDefault="000C4574">
      <w:pPr>
        <w:ind w:left="400"/>
      </w:pPr>
      <w:r>
        <w:rPr>
          <w:rStyle w:val="Subst"/>
          <w:bCs/>
          <w:iCs/>
        </w:rPr>
        <w:t>Указанные сделки в течение данного периода не совершались</w:t>
      </w:r>
    </w:p>
    <w:p w:rsidR="000C4574" w:rsidRDefault="000C4574">
      <w:pPr>
        <w:pStyle w:val="2"/>
      </w:pPr>
      <w:r>
        <w:t>8.1.6. Сведения о кредитных рейтингах эмитента</w:t>
      </w:r>
    </w:p>
    <w:p w:rsidR="000C4574" w:rsidRDefault="000C4574">
      <w:pPr>
        <w:ind w:left="200"/>
      </w:pPr>
      <w:r>
        <w:rPr>
          <w:rStyle w:val="Subst"/>
          <w:bCs/>
          <w:iCs/>
        </w:rPr>
        <w:t>Известных эмитенту кредитных рейтингов нет</w:t>
      </w:r>
    </w:p>
    <w:p w:rsidR="000C4574" w:rsidRDefault="000C4574">
      <w:pPr>
        <w:pStyle w:val="2"/>
      </w:pPr>
      <w:r>
        <w:t>8.2. Сведения о каждой категории (типе) акций эмитента</w:t>
      </w:r>
    </w:p>
    <w:p w:rsidR="000C4574" w:rsidRDefault="000C4574">
      <w:pPr>
        <w:ind w:left="200"/>
      </w:pPr>
      <w:r>
        <w:t>Категория акций:</w:t>
      </w:r>
      <w:r>
        <w:rPr>
          <w:rStyle w:val="Subst"/>
          <w:bCs/>
          <w:iCs/>
        </w:rPr>
        <w:t xml:space="preserve"> обыкновенные</w:t>
      </w:r>
    </w:p>
    <w:p w:rsidR="000C4574" w:rsidRDefault="000C4574">
      <w:pPr>
        <w:ind w:left="200"/>
      </w:pPr>
      <w:r>
        <w:t>Номинальная стоимость каждой акции (руб.):</w:t>
      </w:r>
      <w:r>
        <w:rPr>
          <w:rStyle w:val="Subst"/>
          <w:bCs/>
          <w:iCs/>
        </w:rPr>
        <w:t xml:space="preserve"> 1</w:t>
      </w:r>
    </w:p>
    <w:p w:rsidR="000C4574" w:rsidRDefault="000C4574">
      <w:pPr>
        <w:pStyle w:val="ThinDelim"/>
      </w:pPr>
    </w:p>
    <w:p w:rsidR="000C4574" w:rsidRDefault="000C4574">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2 526 406</w:t>
      </w:r>
    </w:p>
    <w:p w:rsidR="000C4574" w:rsidRDefault="000C4574">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0C4574" w:rsidRDefault="000C4574">
      <w:pPr>
        <w:ind w:left="200"/>
      </w:pPr>
      <w:r>
        <w:t>Количество объявленных акций:</w:t>
      </w:r>
      <w:r>
        <w:rPr>
          <w:rStyle w:val="Subst"/>
          <w:bCs/>
          <w:iCs/>
        </w:rPr>
        <w:t xml:space="preserve"> 2 526 406</w:t>
      </w:r>
    </w:p>
    <w:p w:rsidR="000C4574" w:rsidRDefault="000C4574">
      <w:pPr>
        <w:ind w:left="200"/>
      </w:pPr>
      <w:r>
        <w:t>Количество акций, поступивших в распоряжение (находящихся на балансе) эмитента:</w:t>
      </w:r>
      <w:r>
        <w:rPr>
          <w:rStyle w:val="Subst"/>
          <w:bCs/>
          <w:iCs/>
        </w:rPr>
        <w:t xml:space="preserve"> 2 526 406</w:t>
      </w:r>
    </w:p>
    <w:p w:rsidR="000C4574" w:rsidRDefault="000C4574">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0C4574" w:rsidRDefault="000C4574">
      <w:pPr>
        <w:pStyle w:val="ThinDelim"/>
      </w:pPr>
    </w:p>
    <w:p w:rsidR="000C4574" w:rsidRDefault="000C4574">
      <w:pPr>
        <w:ind w:left="200"/>
      </w:pPr>
      <w:r>
        <w:t>Выпуски акций данной категории (типа):</w:t>
      </w:r>
    </w:p>
    <w:p w:rsidR="000C4574" w:rsidRDefault="000C4574">
      <w:pPr>
        <w:pStyle w:val="ThinDelim"/>
      </w:pPr>
    </w:p>
    <w:tbl>
      <w:tblPr>
        <w:tblW w:w="0" w:type="auto"/>
        <w:tblLayout w:type="fixed"/>
        <w:tblCellMar>
          <w:left w:w="72" w:type="dxa"/>
          <w:right w:w="72" w:type="dxa"/>
        </w:tblCellMar>
        <w:tblLook w:val="0000"/>
      </w:tblPr>
      <w:tblGrid>
        <w:gridCol w:w="1892"/>
        <w:gridCol w:w="7360"/>
      </w:tblGrid>
      <w:tr w:rsidR="000C4574">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0C4574" w:rsidRDefault="000C4574">
            <w:pPr>
              <w:jc w:val="center"/>
            </w:pPr>
            <w:r>
              <w:t xml:space="preserve">Дата государственной </w:t>
            </w:r>
            <w:r>
              <w:lastRenderedPageBreak/>
              <w:t>регистрации</w:t>
            </w:r>
          </w:p>
        </w:tc>
        <w:tc>
          <w:tcPr>
            <w:tcW w:w="7360" w:type="dxa"/>
            <w:tcBorders>
              <w:top w:val="double" w:sz="6" w:space="0" w:color="auto"/>
              <w:left w:val="single" w:sz="6" w:space="0" w:color="auto"/>
              <w:bottom w:val="single" w:sz="6" w:space="0" w:color="auto"/>
              <w:right w:val="double" w:sz="6" w:space="0" w:color="auto"/>
            </w:tcBorders>
          </w:tcPr>
          <w:p w:rsidR="000C4574" w:rsidRDefault="000C4574">
            <w:pPr>
              <w:jc w:val="center"/>
            </w:pPr>
            <w:r>
              <w:lastRenderedPageBreak/>
              <w:t>Государственный регистрационный номер выпуска</w:t>
            </w:r>
          </w:p>
        </w:tc>
      </w:tr>
      <w:tr w:rsidR="000C4574">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0C4574" w:rsidRDefault="000C4574">
            <w:r>
              <w:lastRenderedPageBreak/>
              <w:t>29.05.2009</w:t>
            </w:r>
          </w:p>
        </w:tc>
        <w:tc>
          <w:tcPr>
            <w:tcW w:w="7360" w:type="dxa"/>
            <w:tcBorders>
              <w:top w:val="single" w:sz="6" w:space="0" w:color="auto"/>
              <w:left w:val="single" w:sz="6" w:space="0" w:color="auto"/>
              <w:bottom w:val="double" w:sz="6" w:space="0" w:color="auto"/>
              <w:right w:val="double" w:sz="6" w:space="0" w:color="auto"/>
            </w:tcBorders>
          </w:tcPr>
          <w:p w:rsidR="000C4574" w:rsidRDefault="000C4574">
            <w:r>
              <w:t>10100399-F</w:t>
            </w:r>
          </w:p>
        </w:tc>
      </w:tr>
    </w:tbl>
    <w:p w:rsidR="000C4574" w:rsidRDefault="000C4574"/>
    <w:p w:rsidR="000C4574" w:rsidRDefault="000C4574">
      <w:pPr>
        <w:ind w:left="200"/>
      </w:pPr>
      <w:r>
        <w:t>Права, предоставляемые акциями их владельцам:</w:t>
      </w:r>
      <w:r>
        <w:br/>
      </w:r>
      <w:r>
        <w:rPr>
          <w:rStyle w:val="Subst"/>
          <w:bCs/>
          <w:iCs/>
        </w:rPr>
        <w:t xml:space="preserve">Обыкновенные акции предоставляют их владельцу следующие права: </w:t>
      </w:r>
      <w:r>
        <w:rPr>
          <w:rStyle w:val="Subst"/>
          <w:bCs/>
          <w:iCs/>
        </w:rPr>
        <w:br/>
        <w:t>Участвовать в управлении Обществом лично или через полномочных представителей путем использования права голоса на общем Собрании акционеров;</w:t>
      </w:r>
      <w:r>
        <w:rPr>
          <w:rStyle w:val="Subst"/>
          <w:bCs/>
          <w:iCs/>
        </w:rPr>
        <w:br/>
        <w:t>Принимать участие в очном или заочном голосовании на общих Собраниях акционеров по всем вопросам его компетенции;</w:t>
      </w:r>
      <w:r>
        <w:rPr>
          <w:rStyle w:val="Subst"/>
          <w:bCs/>
          <w:iCs/>
        </w:rPr>
        <w:br/>
        <w:t>Вносить не более двух предложений в повестку дня годового общего Собрания акционеров и выдвигать кандидатов в Совет директоров и Ревизионную комиссию Общества, число которых не может превышать количественного состава этого органа, если акционеры (акционер) Общества являются в совокупности владельцами не менее чем 2 процентов голосующих акций Общества, в срок не позднее 45 дней после окончания финансового года;</w:t>
      </w:r>
      <w:r>
        <w:rPr>
          <w:rStyle w:val="Subst"/>
          <w:bCs/>
          <w:iCs/>
        </w:rPr>
        <w:br/>
        <w:t>Избирать и быть избранным в органы управления Общества в соответствии с Уставом Общества;</w:t>
      </w:r>
      <w:r>
        <w:rPr>
          <w:rStyle w:val="Subst"/>
          <w:bCs/>
          <w:iCs/>
        </w:rPr>
        <w:br/>
        <w:t>Обжаловать в суд решение, принятое общим Собранием акционеров с нарушением требований действующего законодательства, Устава Общества, в случае, если акционер (акционеры) не принимал участие в общем Собрании акционеров или голосовал против принятия такого решения, и указанным решением нарушены его права и законные интересы;</w:t>
      </w:r>
      <w:r>
        <w:rPr>
          <w:rStyle w:val="Subst"/>
          <w:bCs/>
          <w:iCs/>
        </w:rPr>
        <w:br/>
        <w:t>Требовать созыва внеочередного общего Собрания акционеров Общества, если акционер (акционеры) является владельцем не менее чем 10 процентов голосующих акций Общества на дату предъявления требования;</w:t>
      </w:r>
      <w:r>
        <w:rPr>
          <w:rStyle w:val="Subst"/>
          <w:bCs/>
          <w:iCs/>
        </w:rPr>
        <w:br/>
        <w:t>Свободно переуступать принадлежащие ему акции;</w:t>
      </w:r>
      <w:r>
        <w:rPr>
          <w:rStyle w:val="Subst"/>
          <w:bCs/>
          <w:iCs/>
        </w:rPr>
        <w:br/>
        <w:t>Иметь свободный доступ к документам Общества в порядке, предусмотренном Уставом, и получать их копии за плату;</w:t>
      </w:r>
      <w:r>
        <w:rPr>
          <w:rStyle w:val="Subst"/>
          <w:bCs/>
          <w:iCs/>
        </w:rPr>
        <w:br/>
        <w:t>Требовать выкупа Обществом всех или части принадлежащих акционеру (акционерам) акций Общества в случаях, предусмотренным Уставом Общества;</w:t>
      </w:r>
      <w:r>
        <w:rPr>
          <w:rStyle w:val="Subst"/>
          <w:bCs/>
          <w:iCs/>
        </w:rPr>
        <w:br/>
        <w:t>Получать дивиденды по принадлежащим ему акциям;</w:t>
      </w:r>
      <w:r>
        <w:rPr>
          <w:rStyle w:val="Subst"/>
          <w:bCs/>
          <w:iCs/>
        </w:rPr>
        <w:br/>
        <w:t>Получить часть имущества Общества в случае его ликвидации</w:t>
      </w:r>
      <w:r>
        <w:rPr>
          <w:rStyle w:val="Subst"/>
          <w:bCs/>
          <w:iCs/>
        </w:rPr>
        <w:br/>
      </w:r>
    </w:p>
    <w:p w:rsidR="000C4574" w:rsidRDefault="000C4574">
      <w:pPr>
        <w:ind w:left="200"/>
      </w:pPr>
      <w:r>
        <w:t>Иные сведения об акциях, указываемые эмитентом по собственному усмотрению:</w:t>
      </w:r>
      <w:r>
        <w:br/>
      </w:r>
    </w:p>
    <w:p w:rsidR="000C4574" w:rsidRDefault="000C4574">
      <w:pPr>
        <w:ind w:left="200"/>
      </w:pPr>
      <w:r>
        <w:t>Категория акций:</w:t>
      </w:r>
      <w:r>
        <w:rPr>
          <w:rStyle w:val="Subst"/>
          <w:bCs/>
          <w:iCs/>
        </w:rPr>
        <w:t xml:space="preserve"> привилегированные</w:t>
      </w:r>
    </w:p>
    <w:p w:rsidR="000C4574" w:rsidRDefault="000C4574">
      <w:pPr>
        <w:ind w:left="200"/>
      </w:pPr>
      <w:r>
        <w:t>Тип акций:</w:t>
      </w:r>
      <w:r>
        <w:rPr>
          <w:rStyle w:val="Subst"/>
          <w:bCs/>
          <w:iCs/>
        </w:rPr>
        <w:t xml:space="preserve">  А</w:t>
      </w:r>
    </w:p>
    <w:p w:rsidR="000C4574" w:rsidRDefault="000C4574">
      <w:pPr>
        <w:ind w:left="200"/>
      </w:pPr>
      <w:r>
        <w:t>Номинальная стоимость каждой акции (руб.):</w:t>
      </w:r>
      <w:r>
        <w:rPr>
          <w:rStyle w:val="Subst"/>
          <w:bCs/>
          <w:iCs/>
        </w:rPr>
        <w:t xml:space="preserve"> 1</w:t>
      </w:r>
    </w:p>
    <w:p w:rsidR="000C4574" w:rsidRDefault="000C4574">
      <w:pPr>
        <w:pStyle w:val="ThinDelim"/>
      </w:pPr>
    </w:p>
    <w:p w:rsidR="000C4574" w:rsidRDefault="000C4574">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842 136</w:t>
      </w:r>
    </w:p>
    <w:p w:rsidR="000C4574" w:rsidRDefault="000C4574">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0C4574" w:rsidRDefault="000C4574">
      <w:pPr>
        <w:ind w:left="200"/>
      </w:pPr>
      <w:r>
        <w:t>Количество объявленных акций:</w:t>
      </w:r>
      <w:r>
        <w:rPr>
          <w:rStyle w:val="Subst"/>
          <w:bCs/>
          <w:iCs/>
        </w:rPr>
        <w:t xml:space="preserve"> 842 136</w:t>
      </w:r>
    </w:p>
    <w:p w:rsidR="000C4574" w:rsidRDefault="000C4574">
      <w:pPr>
        <w:ind w:left="200"/>
      </w:pPr>
      <w:r>
        <w:t>Количество акций, поступивших в распоряжение (находящихся на балансе) эмитента:</w:t>
      </w:r>
      <w:r>
        <w:rPr>
          <w:rStyle w:val="Subst"/>
          <w:bCs/>
          <w:iCs/>
        </w:rPr>
        <w:t xml:space="preserve"> 842 136</w:t>
      </w:r>
    </w:p>
    <w:p w:rsidR="000C4574" w:rsidRDefault="000C4574">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0C4574" w:rsidRDefault="000C4574">
      <w:pPr>
        <w:pStyle w:val="ThinDelim"/>
      </w:pPr>
    </w:p>
    <w:p w:rsidR="000C4574" w:rsidRDefault="000C4574">
      <w:pPr>
        <w:ind w:left="200"/>
      </w:pPr>
      <w:r>
        <w:t>Выпуски акций данной категории (типа):</w:t>
      </w:r>
    </w:p>
    <w:p w:rsidR="000C4574" w:rsidRDefault="000C4574">
      <w:pPr>
        <w:pStyle w:val="ThinDelim"/>
      </w:pPr>
    </w:p>
    <w:tbl>
      <w:tblPr>
        <w:tblW w:w="0" w:type="auto"/>
        <w:tblLayout w:type="fixed"/>
        <w:tblCellMar>
          <w:left w:w="72" w:type="dxa"/>
          <w:right w:w="72" w:type="dxa"/>
        </w:tblCellMar>
        <w:tblLook w:val="0000"/>
      </w:tblPr>
      <w:tblGrid>
        <w:gridCol w:w="1892"/>
        <w:gridCol w:w="7360"/>
      </w:tblGrid>
      <w:tr w:rsidR="000C4574">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0C4574" w:rsidRDefault="000C4574">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0C4574" w:rsidRDefault="000C4574">
            <w:pPr>
              <w:jc w:val="center"/>
            </w:pPr>
            <w:r>
              <w:t>Государственный регистрационный номер выпуска</w:t>
            </w:r>
          </w:p>
        </w:tc>
      </w:tr>
      <w:tr w:rsidR="000C4574">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0C4574" w:rsidRDefault="000C4574">
            <w:r>
              <w:t>29.05.2009</w:t>
            </w:r>
          </w:p>
        </w:tc>
        <w:tc>
          <w:tcPr>
            <w:tcW w:w="7360" w:type="dxa"/>
            <w:tcBorders>
              <w:top w:val="single" w:sz="6" w:space="0" w:color="auto"/>
              <w:left w:val="single" w:sz="6" w:space="0" w:color="auto"/>
              <w:bottom w:val="double" w:sz="6" w:space="0" w:color="auto"/>
              <w:right w:val="double" w:sz="6" w:space="0" w:color="auto"/>
            </w:tcBorders>
          </w:tcPr>
          <w:p w:rsidR="000C4574" w:rsidRDefault="000C4574">
            <w:r>
              <w:t>2-01-00399-F</w:t>
            </w:r>
          </w:p>
        </w:tc>
      </w:tr>
    </w:tbl>
    <w:p w:rsidR="000C4574" w:rsidRDefault="000C4574"/>
    <w:p w:rsidR="000C4574" w:rsidRDefault="000C4574">
      <w:pPr>
        <w:ind w:left="200"/>
      </w:pPr>
      <w:r>
        <w:lastRenderedPageBreak/>
        <w:t>Права, предоставляемые акциями их владельцам:</w:t>
      </w:r>
      <w:r>
        <w:br/>
      </w:r>
      <w:r>
        <w:rPr>
          <w:rStyle w:val="Subst"/>
          <w:bCs/>
          <w:iCs/>
        </w:rPr>
        <w:t xml:space="preserve">Привилегированные акции предоставляют их владельцу следующие права: </w:t>
      </w:r>
      <w:r>
        <w:rPr>
          <w:rStyle w:val="Subst"/>
          <w:bCs/>
          <w:iCs/>
        </w:rPr>
        <w:br/>
        <w:t>получать ежегодный дивиденд по акциям в размере не менее 10 процентов чистой прибыли по итогам предшествующего финансового года, разделенной на общее количество привилегированных акций Общества. Если при этом сумма дивидендов, выплачиваемая Обществом по каждой обыкновенной акции в определенном году, превышает сумму, подлежащую выплате в качестве дивидендов по каждой привилегированной акции, то размер дивиденда по привилегированным акциям должен быть увеличен до размера дивиденда, выплачиваемого по обыкновенным акциям;</w:t>
      </w:r>
      <w:r>
        <w:rPr>
          <w:rStyle w:val="Subst"/>
          <w:bCs/>
          <w:iCs/>
        </w:rPr>
        <w:br/>
        <w:t>на получение части имущества Общества в случае его ликвидации (ликвидационной стоимости) в размере 100 процентов их номинальной стоимости.</w:t>
      </w:r>
      <w:r>
        <w:rPr>
          <w:rStyle w:val="Subst"/>
          <w:bCs/>
          <w:iCs/>
        </w:rPr>
        <w:br/>
        <w:t>Владельцы привилегированных акций не имеют права голоса на Собрании акционеров, за исключением случаев, предусмотренных настоящим пунктом.</w:t>
      </w:r>
      <w:r>
        <w:rPr>
          <w:rStyle w:val="Subst"/>
          <w:bCs/>
          <w:iCs/>
        </w:rPr>
        <w:br/>
        <w:t>Акционеры - владельцы привилегированных  акций участвуют в Собрании акционеров с правом голоса при решении вопроса о реорганизации или ликвидации Общества.</w:t>
      </w:r>
      <w:r>
        <w:rPr>
          <w:rStyle w:val="Subst"/>
          <w:bCs/>
          <w:iCs/>
        </w:rPr>
        <w:br/>
        <w:t>Акционеры - владельцы привилегированных акций определенного типа приобретают право голоса при решении вопроса о внесении в Устав изменений и дополнений, ограничивающих права акционеров - владельцев привилегированных акций этого типа.</w:t>
      </w:r>
      <w:r>
        <w:rPr>
          <w:rStyle w:val="Subst"/>
          <w:bCs/>
          <w:iCs/>
        </w:rPr>
        <w:br/>
        <w:t>Решение о внесении таких изменений и дополнений в Устав принимается Собранием акционеров, если за него отдано не менее чем три четверти голосов акционеров -  владельцев голосующих акций, принимающих  участие в Собрании акционеров, за исключением голосов акционеров - владельцев привилегированных акций, права по которым ограничиваются, и три четверти голосов всех акционеров - владельцев привилегированных акций каждого типа, права по которым ограничиваются.</w:t>
      </w:r>
      <w:r>
        <w:rPr>
          <w:rStyle w:val="Subst"/>
          <w:bCs/>
          <w:iCs/>
        </w:rPr>
        <w:br/>
        <w:t>Акционеры - владельцы привилегированных акций определенного типа, размер дивиденда по которым определен в Уставе, вправе участвовать в Собрании акционеров с правом голоса при решении всех вопросов, относящихся к его компетенции, начиная с Собрания, следующего за годовым Собранием акционеров, на котором независимо от причин не было принято решение о выплате дивидендов или было принято решение о неполной выплате дивидендов по привилегированным акциям этого типа. Право акционеров - владельцев привилегированных акций такого типа участвовать в Собрании акционеров с правом голоса прекращается с момента первой выплаты по указанным акциям дивидендов в полном размере</w:t>
      </w:r>
      <w:r>
        <w:rPr>
          <w:rStyle w:val="Subst"/>
          <w:bCs/>
          <w:iCs/>
        </w:rPr>
        <w:br/>
      </w:r>
    </w:p>
    <w:p w:rsidR="000C4574" w:rsidRDefault="000C4574" w:rsidP="000C4574">
      <w:pPr>
        <w:ind w:left="200"/>
      </w:pPr>
      <w:r>
        <w:t>Иные сведения об акциях, указываемые эмитентом по собственному усмотрению:</w:t>
      </w:r>
      <w:r>
        <w:br/>
        <w:t>8.3. Сведения о предыдущих выпусках эмиссионных ценных бумаг эмитента, за исключением акций эмитента</w:t>
      </w:r>
    </w:p>
    <w:p w:rsidR="000C4574" w:rsidRDefault="000C4574">
      <w:pPr>
        <w:pStyle w:val="2"/>
      </w:pPr>
      <w:r>
        <w:t>8.3.1. Сведения о выпусках, все ценные бумаги которых погашены</w:t>
      </w:r>
    </w:p>
    <w:p w:rsidR="000C4574" w:rsidRDefault="000C4574">
      <w:pPr>
        <w:ind w:left="200"/>
      </w:pPr>
      <w:r>
        <w:rPr>
          <w:rStyle w:val="Subst"/>
          <w:bCs/>
          <w:iCs/>
        </w:rPr>
        <w:t>Указанных выпусков нет</w:t>
      </w:r>
    </w:p>
    <w:p w:rsidR="000C4574" w:rsidRDefault="000C4574">
      <w:pPr>
        <w:pStyle w:val="2"/>
      </w:pPr>
      <w:r>
        <w:t>8.3.2. Сведения о выпусках, ценные бумаги которых не являются погашенными</w:t>
      </w:r>
    </w:p>
    <w:p w:rsidR="000C4574" w:rsidRDefault="000C4574">
      <w:pPr>
        <w:ind w:left="200"/>
      </w:pPr>
      <w:r>
        <w:rPr>
          <w:rStyle w:val="Subst"/>
          <w:bCs/>
          <w:iCs/>
        </w:rPr>
        <w:t>Указанных выпусков нет</w:t>
      </w:r>
    </w:p>
    <w:p w:rsidR="000C4574" w:rsidRDefault="000C4574">
      <w:pPr>
        <w:pStyle w:val="2"/>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0C4574" w:rsidRDefault="000C4574">
      <w:pPr>
        <w:ind w:left="200"/>
      </w:pPr>
      <w:r>
        <w:rPr>
          <w:rStyle w:val="Subst"/>
          <w:bCs/>
          <w:iCs/>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0C4574" w:rsidRDefault="000C4574">
      <w:pPr>
        <w:pStyle w:val="2"/>
      </w:pPr>
      <w:r>
        <w:t>8.4.1. Условия обеспечения исполнения обязательств по облигациям с ипотечным покрытием</w:t>
      </w:r>
    </w:p>
    <w:p w:rsidR="000C4574" w:rsidRDefault="000C4574">
      <w:pPr>
        <w:ind w:left="200"/>
      </w:pPr>
      <w:r>
        <w:rPr>
          <w:rStyle w:val="Subst"/>
          <w:bCs/>
          <w:iCs/>
        </w:rPr>
        <w:t>Эмитент не размещал облигации с ипотечным покрытием, обязательства по которым еще не исполнены</w:t>
      </w:r>
    </w:p>
    <w:p w:rsidR="000C4574" w:rsidRDefault="000C4574">
      <w:pPr>
        <w:pStyle w:val="2"/>
      </w:pPr>
      <w:r>
        <w:t>8.5. Сведения об организациях, осуществляющих учет прав на эмиссионные ценные бумаги эмитента</w:t>
      </w:r>
    </w:p>
    <w:p w:rsidR="000C4574" w:rsidRDefault="000C4574">
      <w:pPr>
        <w:ind w:left="200"/>
      </w:pPr>
    </w:p>
    <w:p w:rsidR="000C4574" w:rsidRDefault="000C4574">
      <w:pPr>
        <w:ind w:left="200"/>
      </w:pPr>
      <w:r>
        <w:t>Лицо, осуществляющее ведение реестра владельцев именных ценных бумаг эмитента:</w:t>
      </w:r>
      <w:r>
        <w:rPr>
          <w:rStyle w:val="Subst"/>
          <w:bCs/>
          <w:iCs/>
        </w:rPr>
        <w:t xml:space="preserve"> регистратор</w:t>
      </w:r>
    </w:p>
    <w:p w:rsidR="000C4574" w:rsidRDefault="000C4574">
      <w:pPr>
        <w:pStyle w:val="SubHeading"/>
        <w:ind w:left="200"/>
      </w:pPr>
      <w:r>
        <w:lastRenderedPageBreak/>
        <w:t>Сведения о регистраторе</w:t>
      </w:r>
    </w:p>
    <w:p w:rsidR="000C4574" w:rsidRDefault="000C4574">
      <w:pPr>
        <w:ind w:left="400"/>
      </w:pPr>
      <w:r>
        <w:t>Полное фирменное наименование:</w:t>
      </w:r>
      <w:r>
        <w:rPr>
          <w:rStyle w:val="Subst"/>
          <w:bCs/>
          <w:iCs/>
        </w:rPr>
        <w:t xml:space="preserve"> Открытое акционерное общество "Регистратор Р.О.С.Т."</w:t>
      </w:r>
    </w:p>
    <w:p w:rsidR="000C4574" w:rsidRDefault="000C4574">
      <w:pPr>
        <w:ind w:left="400"/>
      </w:pPr>
      <w:r>
        <w:t>Сокращенное фирменное наименование:</w:t>
      </w:r>
      <w:r>
        <w:rPr>
          <w:rStyle w:val="Subst"/>
          <w:bCs/>
          <w:iCs/>
        </w:rPr>
        <w:t xml:space="preserve"> ОАО "Регистратор Р.О.С.Т."</w:t>
      </w:r>
    </w:p>
    <w:p w:rsidR="000C4574" w:rsidRDefault="000C4574">
      <w:pPr>
        <w:ind w:left="400"/>
      </w:pPr>
      <w:r>
        <w:t>Место нахождения:</w:t>
      </w:r>
      <w:r>
        <w:rPr>
          <w:rStyle w:val="Subst"/>
          <w:bCs/>
          <w:iCs/>
        </w:rPr>
        <w:t xml:space="preserve"> 107996, г. Москва, ул. Стромынка д.18, корп.13.</w:t>
      </w:r>
    </w:p>
    <w:p w:rsidR="000C4574" w:rsidRDefault="000C4574">
      <w:pPr>
        <w:ind w:left="400"/>
      </w:pPr>
      <w:r>
        <w:t>ИНН:</w:t>
      </w:r>
      <w:r>
        <w:rPr>
          <w:rStyle w:val="Subst"/>
          <w:bCs/>
          <w:iCs/>
        </w:rPr>
        <w:t xml:space="preserve"> 7726030449</w:t>
      </w:r>
    </w:p>
    <w:p w:rsidR="000C4574" w:rsidRDefault="000C4574">
      <w:pPr>
        <w:ind w:left="400"/>
      </w:pPr>
      <w:r>
        <w:t>ОГРН:</w:t>
      </w:r>
      <w:r>
        <w:rPr>
          <w:rStyle w:val="Subst"/>
          <w:bCs/>
          <w:iCs/>
        </w:rPr>
        <w:t xml:space="preserve"> 1027739216757</w:t>
      </w:r>
    </w:p>
    <w:p w:rsidR="000C4574" w:rsidRDefault="000C4574">
      <w:pPr>
        <w:pStyle w:val="SubHeading"/>
        <w:ind w:left="400"/>
      </w:pPr>
      <w:r>
        <w:t>Данные о лицензии на осуществление деятельности по ведению реестра владельцев ценных бумаг</w:t>
      </w:r>
    </w:p>
    <w:p w:rsidR="000C4574" w:rsidRDefault="000C4574">
      <w:pPr>
        <w:ind w:left="600"/>
      </w:pPr>
      <w:r>
        <w:t>Номер:</w:t>
      </w:r>
      <w:r>
        <w:rPr>
          <w:rStyle w:val="Subst"/>
          <w:bCs/>
          <w:iCs/>
        </w:rPr>
        <w:t xml:space="preserve"> 10-000-1-00264</w:t>
      </w:r>
    </w:p>
    <w:p w:rsidR="000C4574" w:rsidRDefault="000C4574">
      <w:pPr>
        <w:ind w:left="600"/>
      </w:pPr>
      <w:r>
        <w:t>Дата выдачи:</w:t>
      </w:r>
      <w:r>
        <w:rPr>
          <w:rStyle w:val="Subst"/>
          <w:bCs/>
          <w:iCs/>
        </w:rPr>
        <w:t xml:space="preserve"> 03.12.2002</w:t>
      </w:r>
    </w:p>
    <w:p w:rsidR="000C4574" w:rsidRDefault="000C4574">
      <w:pPr>
        <w:ind w:left="600"/>
      </w:pPr>
      <w:r>
        <w:t>Дата окончания действия:</w:t>
      </w:r>
    </w:p>
    <w:p w:rsidR="000C4574" w:rsidRDefault="000C4574">
      <w:pPr>
        <w:ind w:left="800"/>
      </w:pPr>
      <w:r>
        <w:rPr>
          <w:rStyle w:val="Subst"/>
          <w:bCs/>
          <w:iCs/>
        </w:rPr>
        <w:t>Бессрочная</w:t>
      </w:r>
    </w:p>
    <w:p w:rsidR="000C4574" w:rsidRDefault="000C4574">
      <w:pPr>
        <w:ind w:left="600"/>
      </w:pPr>
      <w:r>
        <w:t>Наименование органа, выдавшего лицензию:</w:t>
      </w:r>
      <w:r>
        <w:rPr>
          <w:rStyle w:val="Subst"/>
          <w:bCs/>
          <w:iCs/>
        </w:rPr>
        <w:t xml:space="preserve"> ФКЦБ (ФСФР) России</w:t>
      </w:r>
    </w:p>
    <w:p w:rsidR="000C4574" w:rsidRDefault="000C4574">
      <w:pPr>
        <w:ind w:left="400"/>
      </w:pPr>
      <w:r>
        <w:t>Дата, с которой регистратор осуществляет ведение реестра  владельцев ценных бумаг эмитента:</w:t>
      </w:r>
      <w:r>
        <w:rPr>
          <w:rStyle w:val="Subst"/>
          <w:bCs/>
          <w:iCs/>
        </w:rPr>
        <w:t xml:space="preserve"> 01.11.2002</w:t>
      </w:r>
    </w:p>
    <w:p w:rsidR="000C4574" w:rsidRDefault="000C4574">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0C4574" w:rsidRDefault="000C4574">
      <w:pPr>
        <w:ind w:left="200"/>
      </w:pPr>
      <w:r>
        <w:rPr>
          <w:rStyle w:val="Subst"/>
          <w:bCs/>
          <w:iCs/>
        </w:rPr>
        <w:t>1.</w:t>
      </w:r>
      <w:r>
        <w:rPr>
          <w:rStyle w:val="Subst"/>
          <w:bCs/>
          <w:iCs/>
        </w:rPr>
        <w:tab/>
        <w:t>Федеральный закон от 10.12.2003г. № 173-ФЗ «О валютном регулировании и валютном контроле»;</w:t>
      </w:r>
      <w:r>
        <w:rPr>
          <w:rStyle w:val="Subst"/>
          <w:bCs/>
          <w:iCs/>
        </w:rPr>
        <w:br/>
        <w:t>2.</w:t>
      </w:r>
      <w:r>
        <w:rPr>
          <w:rStyle w:val="Subst"/>
          <w:bCs/>
          <w:iCs/>
        </w:rPr>
        <w:tab/>
        <w:t>Федеральный закон от 09.07.1999г. №160-ФЗ «Об иностранных инвестициях в РФ»;</w:t>
      </w:r>
      <w:r>
        <w:rPr>
          <w:rStyle w:val="Subst"/>
          <w:bCs/>
          <w:iCs/>
        </w:rPr>
        <w:br/>
        <w:t>3.</w:t>
      </w:r>
      <w:r>
        <w:rPr>
          <w:rStyle w:val="Subst"/>
          <w:bCs/>
          <w:iCs/>
        </w:rPr>
        <w:tab/>
        <w:t>Ратифицированные соответствующими Федеральными законами Российской Федерации Соглашения об избежание двойного налогообложения, заключенные между Российской Федерацией и иностранными государствами, резидентами которых являются владельцы ценных бумаг.</w:t>
      </w:r>
      <w:r>
        <w:rPr>
          <w:rStyle w:val="Subst"/>
          <w:bCs/>
          <w:iCs/>
        </w:rPr>
        <w:br/>
      </w:r>
    </w:p>
    <w:p w:rsidR="000C4574" w:rsidRDefault="000C4574">
      <w:pPr>
        <w:pStyle w:val="2"/>
      </w:pPr>
      <w:r>
        <w:t>8.7. Описание порядка налогообложения доходов по размещенным и размещаемым эмиссионным ценным бумагам эмитента</w:t>
      </w:r>
    </w:p>
    <w:p w:rsidR="000C4574" w:rsidRDefault="000C4574" w:rsidP="000C4574">
      <w:pPr>
        <w:ind w:left="200"/>
      </w:pPr>
      <w:r>
        <w:rPr>
          <w:rStyle w:val="Subst"/>
          <w:bCs/>
          <w:iCs/>
        </w:rPr>
        <w:t>Порядок налогообложения доходов, полученных от источников в Российской Федерации, юридическими лицами  регулируется нормами главы 25 «Налог на прибыль организаций», а доходов, полученных  физическими лицами, регулируется как нормами главы 25, так и нормами главы 23 «Налог на доходы физических лиц».</w:t>
      </w:r>
      <w:r>
        <w:rPr>
          <w:rStyle w:val="Subst"/>
          <w:bCs/>
          <w:iCs/>
        </w:rPr>
        <w:br/>
        <w:t>В соответствии  со статьей 214 Налогового кодекса РФ установлены особенности уплаты налога на доходы физических лиц от долевого участия в организации. Причем пунктом 2 статьи 214 Налогового кодекса РФ определено, что если источником дохода налогоплательщика, полученного в виде дивидендов, является российская организация, то указанная организация признается налоговым агентом и определяет сумму налога отдельно по каждому налогоплательщику применительно к каждой выплате указанных доходов по ставке, предусмотренной пунктом 4 статьи 224 Налогового кодекса РФ в порядке, предусмотренном статьей 275 Налогового кодекса РФ.</w:t>
      </w:r>
      <w:r>
        <w:rPr>
          <w:rStyle w:val="Subst"/>
          <w:bCs/>
          <w:iCs/>
        </w:rPr>
        <w:br/>
        <w:t>Исчисление налога на прибыль в отношении дивидендов, полученных физическими лицами – резидентами Российской Федерации, производится по ставке 9 процентов в соответствии с пунктом 4 статьи 224 Налогового Кодекса РФ, физических лиц – нерезидентов Российской Федерации в соответствии  с пунктом 3 статьи 275 Налогового Кодекса РФ по ставке 30 процентов.</w:t>
      </w:r>
      <w:r>
        <w:rPr>
          <w:rStyle w:val="Subst"/>
          <w:bCs/>
          <w:iCs/>
        </w:rPr>
        <w:br/>
        <w:t>Исчисление налога на прибыль в отношении дивидендов, полученных российскими организациями, производится в порядке, установленном статьей 275 Налогового кодекса РФ, по ставке 9 процентов в соответствии с пунктом 3 статьи 284 Налогового кодекса РФ.</w:t>
      </w:r>
      <w:r>
        <w:rPr>
          <w:rStyle w:val="Subst"/>
          <w:bCs/>
          <w:iCs/>
        </w:rPr>
        <w:br/>
        <w:t>В соответствии с российским законодательством иностранные юридические лица, получающие доходы в виде дивидендов, не связанные с их деятельностью в Российской Федерации через постоянное представительство, подлежат налогообложению у источника выплаты по ставке 15 процентов, если иное не предусмотрено действующими международными соглашениями  об избежание двойного налогообложения доходов.</w:t>
      </w:r>
      <w:r>
        <w:rPr>
          <w:rStyle w:val="Subst"/>
          <w:bCs/>
          <w:iCs/>
        </w:rPr>
        <w:br/>
        <w:t>В отношениях между Россией и Республикой Кипр действует Соглашение между Правительством РФ и Правительством Республики Кипр об избежание двойного налогообложения в отношении налогов на доходы и капитал.</w:t>
      </w:r>
      <w:r>
        <w:rPr>
          <w:rStyle w:val="Subst"/>
          <w:bCs/>
          <w:iCs/>
        </w:rPr>
        <w:br/>
      </w:r>
      <w:r>
        <w:rPr>
          <w:rStyle w:val="Subst"/>
          <w:bCs/>
          <w:iCs/>
        </w:rPr>
        <w:lastRenderedPageBreak/>
        <w:t>Согласно положениям статьи 10 «Дивиденды» вышеупомянутого Соглашения право облагать налогом дивиденды принадлежит как стране, резидентом которой является получатель такого дохода, так и стране – источнику возникновения дохода. В последнем случае ставка налога на дивиденды в стране – источнике не должна превышать:</w:t>
      </w:r>
      <w:r>
        <w:rPr>
          <w:rStyle w:val="Subst"/>
          <w:bCs/>
          <w:iCs/>
        </w:rPr>
        <w:br/>
        <w:t>а) 5 процентов от общей суммы дивидендов, если лицо, имеющее фактическое право на дивиденды, прямо вложило в капитал компании сумму эквивалентную не менее 100.000 долларов США.</w:t>
      </w:r>
      <w:r>
        <w:rPr>
          <w:rStyle w:val="Subst"/>
          <w:bCs/>
          <w:iCs/>
        </w:rPr>
        <w:br/>
      </w:r>
      <w:r>
        <w:t>8.8. Сведения об объявленных (начисленных) и о выплаченных дивидендах по акциям эмитента, а также о доходах по облигациям эмитента</w:t>
      </w:r>
    </w:p>
    <w:p w:rsidR="000C4574" w:rsidRDefault="000C4574">
      <w:pPr>
        <w:pStyle w:val="2"/>
      </w:pPr>
      <w:r>
        <w:t>8.8.1. Сведения об объявленных и выплаченных дивидендах по акциям эмитента</w:t>
      </w:r>
    </w:p>
    <w:p w:rsidR="000C4574" w:rsidRDefault="000C4574">
      <w:pPr>
        <w:pStyle w:val="SubHeading"/>
        <w:ind w:left="200"/>
      </w:pPr>
      <w:r>
        <w:t>Дивидендный период</w:t>
      </w:r>
    </w:p>
    <w:p w:rsidR="000C4574" w:rsidRDefault="000C4574">
      <w:pPr>
        <w:ind w:left="400"/>
      </w:pPr>
      <w:r>
        <w:t>Год:</w:t>
      </w:r>
      <w:r>
        <w:rPr>
          <w:rStyle w:val="Subst"/>
          <w:bCs/>
          <w:iCs/>
        </w:rPr>
        <w:t xml:space="preserve"> 2004</w:t>
      </w:r>
    </w:p>
    <w:p w:rsidR="000C4574" w:rsidRDefault="000C4574">
      <w:pPr>
        <w:ind w:left="400"/>
      </w:pPr>
      <w:r>
        <w:t>Период:</w:t>
      </w:r>
      <w:r>
        <w:rPr>
          <w:rStyle w:val="Subst"/>
          <w:bCs/>
          <w:iCs/>
        </w:rPr>
        <w:t xml:space="preserve"> полный год</w:t>
      </w:r>
    </w:p>
    <w:p w:rsidR="000C4574" w:rsidRDefault="000C4574">
      <w:pPr>
        <w:ind w:left="200"/>
      </w:pPr>
    </w:p>
    <w:p w:rsidR="000C4574" w:rsidRDefault="000C4574">
      <w:pPr>
        <w:ind w:left="200"/>
      </w:pPr>
      <w:r>
        <w:t>Орган управления эмитента, принявший решение об объявлении дивидендов:</w:t>
      </w:r>
      <w:r>
        <w:rPr>
          <w:rStyle w:val="Subst"/>
          <w:bCs/>
          <w:iCs/>
        </w:rPr>
        <w:t xml:space="preserve"> Общее собрание акционеров</w:t>
      </w:r>
    </w:p>
    <w:p w:rsidR="000C4574" w:rsidRDefault="000C457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21.06.2005</w:t>
      </w:r>
    </w:p>
    <w:p w:rsidR="000C4574" w:rsidRDefault="000C4574">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05.05.2005</w:t>
      </w:r>
    </w:p>
    <w:p w:rsidR="000C4574" w:rsidRDefault="000C4574">
      <w:pPr>
        <w:ind w:left="200"/>
      </w:pPr>
      <w:r>
        <w:t>Дата составления протокола:</w:t>
      </w:r>
      <w:r>
        <w:rPr>
          <w:rStyle w:val="Subst"/>
          <w:bCs/>
          <w:iCs/>
        </w:rPr>
        <w:t xml:space="preserve"> 28.06.2005</w:t>
      </w:r>
    </w:p>
    <w:p w:rsidR="000C4574" w:rsidRDefault="000C4574">
      <w:pPr>
        <w:ind w:left="200"/>
      </w:pPr>
      <w:r>
        <w:t>Номер протокола:</w:t>
      </w:r>
      <w:r>
        <w:rPr>
          <w:rStyle w:val="Subst"/>
          <w:bCs/>
          <w:iCs/>
        </w:rPr>
        <w:t xml:space="preserve"> 15</w:t>
      </w:r>
    </w:p>
    <w:p w:rsidR="000C4574" w:rsidRDefault="000C4574">
      <w:pPr>
        <w:pStyle w:val="ThinDelim"/>
      </w:pPr>
    </w:p>
    <w:p w:rsidR="000C4574" w:rsidRDefault="000C4574">
      <w:pPr>
        <w:ind w:left="200"/>
      </w:pPr>
      <w:r>
        <w:t>Категория (тип) акций:</w:t>
      </w:r>
      <w:r>
        <w:rPr>
          <w:rStyle w:val="Subst"/>
          <w:bCs/>
          <w:iCs/>
        </w:rPr>
        <w:t xml:space="preserve"> обыкновенные</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0</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0</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0</w:t>
      </w:r>
    </w:p>
    <w:p w:rsidR="000C4574" w:rsidRDefault="000C4574">
      <w:pPr>
        <w:ind w:left="200"/>
      </w:pPr>
      <w:r>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p>
    <w:p w:rsidR="000C4574" w:rsidRDefault="000C4574">
      <w:pPr>
        <w:ind w:left="200"/>
      </w:pPr>
    </w:p>
    <w:p w:rsidR="000C4574" w:rsidRDefault="000C4574">
      <w:pPr>
        <w:ind w:left="200"/>
      </w:pPr>
      <w:r>
        <w:t>Категория (тип) акций:</w:t>
      </w:r>
      <w:r>
        <w:rPr>
          <w:rStyle w:val="Subst"/>
          <w:bCs/>
          <w:iCs/>
        </w:rPr>
        <w:t xml:space="preserve"> привилегированные, тип А</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0.75</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632 000</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632 000</w:t>
      </w:r>
    </w:p>
    <w:p w:rsidR="000C4574" w:rsidRDefault="000C4574">
      <w:pPr>
        <w:ind w:left="200"/>
      </w:pPr>
      <w:r>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100</w:t>
      </w:r>
    </w:p>
    <w:p w:rsidR="000C4574" w:rsidRDefault="000C4574">
      <w:pPr>
        <w:ind w:left="200"/>
      </w:pPr>
    </w:p>
    <w:p w:rsidR="000C4574" w:rsidRDefault="000C4574">
      <w:pPr>
        <w:ind w:left="200"/>
      </w:pPr>
      <w:r>
        <w:t>Срок, отведенный для выплаты объявленных дивидендов по акциям эмитента:</w:t>
      </w:r>
      <w:r>
        <w:br/>
      </w:r>
      <w:r>
        <w:rPr>
          <w:rStyle w:val="Subst"/>
          <w:bCs/>
          <w:iCs/>
        </w:rPr>
        <w:t>до 20.08.2005 года</w:t>
      </w:r>
    </w:p>
    <w:p w:rsidR="000C4574" w:rsidRDefault="000C4574">
      <w:pPr>
        <w:ind w:left="200"/>
      </w:pPr>
      <w:r>
        <w:t>Форма и иные условия выплаты объявленных дивидендов по акциям эмитента:</w:t>
      </w:r>
      <w:r>
        <w:br/>
      </w:r>
      <w:r>
        <w:rPr>
          <w:rStyle w:val="Subst"/>
          <w:bCs/>
          <w:iCs/>
        </w:rPr>
        <w:br/>
      </w:r>
    </w:p>
    <w:p w:rsidR="000C4574" w:rsidRDefault="000C4574">
      <w:pPr>
        <w:ind w:left="200"/>
      </w:pPr>
      <w:r>
        <w:rPr>
          <w:rStyle w:val="Subst"/>
          <w:bCs/>
          <w:iCs/>
        </w:rPr>
        <w:lastRenderedPageBreak/>
        <w:t>Объявленные дивиденды по акциям эмитента выплачены эмитентом не в полном объеме</w:t>
      </w:r>
    </w:p>
    <w:p w:rsidR="000C4574" w:rsidRDefault="000C4574">
      <w:pPr>
        <w:ind w:left="200"/>
      </w:pPr>
      <w:r>
        <w:t>Причины невыплаты объявленных дивидендов:</w:t>
      </w:r>
      <w:r>
        <w:br/>
      </w:r>
      <w:r>
        <w:rPr>
          <w:rStyle w:val="Subst"/>
          <w:bCs/>
          <w:iCs/>
        </w:rPr>
        <w:t>Порок формирования реестра, счета неустановленных лиц.</w:t>
      </w:r>
    </w:p>
    <w:p w:rsidR="000C4574" w:rsidRDefault="000C4574">
      <w:pPr>
        <w:pStyle w:val="SubHeading"/>
        <w:ind w:left="200"/>
      </w:pPr>
      <w:r>
        <w:t>Дивидендный период</w:t>
      </w:r>
    </w:p>
    <w:p w:rsidR="000C4574" w:rsidRDefault="000C4574">
      <w:pPr>
        <w:ind w:left="400"/>
      </w:pPr>
      <w:r>
        <w:t>Год:</w:t>
      </w:r>
      <w:r>
        <w:rPr>
          <w:rStyle w:val="Subst"/>
          <w:bCs/>
          <w:iCs/>
        </w:rPr>
        <w:t xml:space="preserve"> 2006</w:t>
      </w:r>
    </w:p>
    <w:p w:rsidR="000C4574" w:rsidRDefault="000C4574">
      <w:pPr>
        <w:ind w:left="400"/>
      </w:pPr>
      <w:r>
        <w:t>Период:</w:t>
      </w:r>
      <w:r>
        <w:rPr>
          <w:rStyle w:val="Subst"/>
          <w:bCs/>
          <w:iCs/>
        </w:rPr>
        <w:t xml:space="preserve"> полный год</w:t>
      </w:r>
    </w:p>
    <w:p w:rsidR="000C4574" w:rsidRDefault="000C4574">
      <w:pPr>
        <w:ind w:left="200"/>
      </w:pPr>
    </w:p>
    <w:p w:rsidR="000C4574" w:rsidRDefault="000C4574">
      <w:pPr>
        <w:ind w:left="200"/>
      </w:pPr>
      <w:r>
        <w:t>Орган управления эмитента, принявший решение об объявлении дивидендов:</w:t>
      </w:r>
      <w:r>
        <w:rPr>
          <w:rStyle w:val="Subst"/>
          <w:bCs/>
          <w:iCs/>
        </w:rPr>
        <w:t xml:space="preserve"> Общее собрание акционеров</w:t>
      </w:r>
    </w:p>
    <w:p w:rsidR="000C4574" w:rsidRDefault="000C457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19.06.2007</w:t>
      </w:r>
    </w:p>
    <w:p w:rsidR="000C4574" w:rsidRDefault="000C4574">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03.05.2007</w:t>
      </w:r>
    </w:p>
    <w:p w:rsidR="000C4574" w:rsidRDefault="000C4574">
      <w:pPr>
        <w:ind w:left="200"/>
      </w:pPr>
      <w:r>
        <w:t>Дата составления протокола:</w:t>
      </w:r>
      <w:r>
        <w:rPr>
          <w:rStyle w:val="Subst"/>
          <w:bCs/>
          <w:iCs/>
        </w:rPr>
        <w:t xml:space="preserve"> 29.06.2007</w:t>
      </w:r>
    </w:p>
    <w:p w:rsidR="000C4574" w:rsidRDefault="000C4574">
      <w:pPr>
        <w:ind w:left="200"/>
      </w:pPr>
      <w:r>
        <w:t>Номер протокола:</w:t>
      </w:r>
      <w:r>
        <w:rPr>
          <w:rStyle w:val="Subst"/>
          <w:bCs/>
          <w:iCs/>
        </w:rPr>
        <w:t xml:space="preserve"> 17</w:t>
      </w:r>
    </w:p>
    <w:p w:rsidR="000C4574" w:rsidRDefault="000C4574">
      <w:pPr>
        <w:pStyle w:val="ThinDelim"/>
      </w:pPr>
    </w:p>
    <w:p w:rsidR="000C4574" w:rsidRDefault="000C4574">
      <w:pPr>
        <w:ind w:left="200"/>
      </w:pPr>
      <w:r>
        <w:t>Категория (тип) акций:</w:t>
      </w:r>
      <w:r>
        <w:rPr>
          <w:rStyle w:val="Subst"/>
          <w:bCs/>
          <w:iCs/>
        </w:rPr>
        <w:t xml:space="preserve"> обыкновенные</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0</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0</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0</w:t>
      </w:r>
    </w:p>
    <w:p w:rsidR="000C4574" w:rsidRDefault="000C4574">
      <w:pPr>
        <w:ind w:left="200"/>
      </w:pPr>
      <w:r>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p>
    <w:p w:rsidR="000C4574" w:rsidRDefault="000C4574">
      <w:pPr>
        <w:ind w:left="200"/>
      </w:pPr>
    </w:p>
    <w:p w:rsidR="000C4574" w:rsidRDefault="000C4574">
      <w:pPr>
        <w:ind w:left="200"/>
      </w:pPr>
      <w:r>
        <w:t>Категория (тип) акций:</w:t>
      </w:r>
      <w:r>
        <w:rPr>
          <w:rStyle w:val="Subst"/>
          <w:bCs/>
          <w:iCs/>
        </w:rPr>
        <w:t xml:space="preserve"> привилегированные, тип А</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32.7</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27 537 847.2</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27 537 847.2</w:t>
      </w:r>
    </w:p>
    <w:p w:rsidR="000C4574" w:rsidRDefault="000C4574">
      <w:pPr>
        <w:ind w:left="200"/>
      </w:pPr>
      <w:r>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100</w:t>
      </w:r>
    </w:p>
    <w:p w:rsidR="000C4574" w:rsidRDefault="000C4574">
      <w:pPr>
        <w:ind w:left="200"/>
      </w:pPr>
    </w:p>
    <w:p w:rsidR="000C4574" w:rsidRDefault="000C4574">
      <w:pPr>
        <w:ind w:left="200"/>
      </w:pPr>
      <w:r>
        <w:t>Срок, отведенный для выплаты объявленных дивидендов по акциям эмитента:</w:t>
      </w:r>
      <w:r>
        <w:br/>
      </w:r>
      <w:r>
        <w:rPr>
          <w:rStyle w:val="Subst"/>
          <w:bCs/>
          <w:iCs/>
        </w:rPr>
        <w:t>до 28.08.2007 года</w:t>
      </w:r>
    </w:p>
    <w:p w:rsidR="000C4574" w:rsidRDefault="000C4574">
      <w:pPr>
        <w:ind w:left="200"/>
      </w:pPr>
      <w:r>
        <w:t>Форма и иные условия выплаты объявленных дивидендов по акциям эмитента:</w:t>
      </w:r>
      <w:r>
        <w:br/>
      </w:r>
      <w:r>
        <w:rPr>
          <w:rStyle w:val="Subst"/>
          <w:bCs/>
          <w:iCs/>
        </w:rPr>
        <w:t>Выплата осуществлялась в денежной форме</w:t>
      </w:r>
      <w:r>
        <w:rPr>
          <w:rStyle w:val="Subst"/>
          <w:bCs/>
          <w:iCs/>
        </w:rPr>
        <w:br/>
        <w:t>Объявленные дивиденды по акциям эмитента выплачены эмитентом не в полном объеме</w:t>
      </w:r>
      <w:r>
        <w:rPr>
          <w:rStyle w:val="Subst"/>
          <w:bCs/>
          <w:iCs/>
        </w:rPr>
        <w:br/>
      </w:r>
    </w:p>
    <w:p w:rsidR="000C4574" w:rsidRDefault="000C4574">
      <w:pPr>
        <w:ind w:left="200"/>
      </w:pPr>
      <w:r>
        <w:rPr>
          <w:rStyle w:val="Subst"/>
          <w:bCs/>
          <w:iCs/>
        </w:rPr>
        <w:t>Объявленные дивиденды по акциям эмитента выплачены эмитентом не в полном объеме</w:t>
      </w:r>
    </w:p>
    <w:p w:rsidR="000C4574" w:rsidRDefault="000C4574">
      <w:pPr>
        <w:ind w:left="200"/>
      </w:pPr>
      <w:r>
        <w:t>Причины невыплаты объявленных дивидендов:</w:t>
      </w:r>
      <w:r>
        <w:br/>
      </w:r>
      <w:r>
        <w:rPr>
          <w:rStyle w:val="Subst"/>
          <w:bCs/>
          <w:iCs/>
        </w:rPr>
        <w:t>Порок формирования реестра, счета неустановленных лиц.</w:t>
      </w:r>
    </w:p>
    <w:p w:rsidR="000C4574" w:rsidRDefault="000C4574">
      <w:pPr>
        <w:pStyle w:val="SubHeading"/>
        <w:ind w:left="200"/>
      </w:pPr>
      <w:r>
        <w:t>Дивидендный период</w:t>
      </w:r>
    </w:p>
    <w:p w:rsidR="000C4574" w:rsidRDefault="000C4574">
      <w:pPr>
        <w:ind w:left="400"/>
      </w:pPr>
      <w:r>
        <w:t>Год:</w:t>
      </w:r>
      <w:r>
        <w:rPr>
          <w:rStyle w:val="Subst"/>
          <w:bCs/>
          <w:iCs/>
        </w:rPr>
        <w:t xml:space="preserve"> 2008</w:t>
      </w:r>
    </w:p>
    <w:p w:rsidR="000C4574" w:rsidRDefault="000C4574">
      <w:pPr>
        <w:ind w:left="400"/>
      </w:pPr>
      <w:r>
        <w:lastRenderedPageBreak/>
        <w:t>Период:</w:t>
      </w:r>
      <w:r>
        <w:rPr>
          <w:rStyle w:val="Subst"/>
          <w:bCs/>
          <w:iCs/>
        </w:rPr>
        <w:t xml:space="preserve"> полный год</w:t>
      </w:r>
    </w:p>
    <w:p w:rsidR="000C4574" w:rsidRDefault="000C4574">
      <w:pPr>
        <w:ind w:left="200"/>
      </w:pPr>
    </w:p>
    <w:p w:rsidR="000C4574" w:rsidRDefault="000C4574">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0C4574" w:rsidRDefault="000C457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24.06.2009</w:t>
      </w:r>
    </w:p>
    <w:p w:rsidR="000C4574" w:rsidRDefault="000C4574">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10.05.2009</w:t>
      </w:r>
    </w:p>
    <w:p w:rsidR="000C4574" w:rsidRDefault="000C4574">
      <w:pPr>
        <w:ind w:left="200"/>
      </w:pPr>
      <w:r>
        <w:t>Дата составления протокола:</w:t>
      </w:r>
      <w:r>
        <w:rPr>
          <w:rStyle w:val="Subst"/>
          <w:bCs/>
          <w:iCs/>
        </w:rPr>
        <w:t xml:space="preserve"> 30.06.2009</w:t>
      </w:r>
    </w:p>
    <w:p w:rsidR="000C4574" w:rsidRDefault="000C4574">
      <w:pPr>
        <w:ind w:left="200"/>
      </w:pPr>
      <w:r>
        <w:t>Номер протокола:</w:t>
      </w:r>
      <w:r>
        <w:rPr>
          <w:rStyle w:val="Subst"/>
          <w:bCs/>
          <w:iCs/>
        </w:rPr>
        <w:t xml:space="preserve"> 19</w:t>
      </w:r>
    </w:p>
    <w:p w:rsidR="000C4574" w:rsidRDefault="000C4574">
      <w:pPr>
        <w:pStyle w:val="ThinDelim"/>
      </w:pPr>
    </w:p>
    <w:p w:rsidR="000C4574" w:rsidRDefault="000C4574">
      <w:pPr>
        <w:ind w:left="200"/>
      </w:pPr>
      <w:r>
        <w:t>Категория (тип) акций:</w:t>
      </w:r>
      <w:r>
        <w:rPr>
          <w:rStyle w:val="Subst"/>
          <w:bCs/>
          <w:iCs/>
        </w:rPr>
        <w:t xml:space="preserve"> обыкновенные</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0</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0</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0</w:t>
      </w:r>
    </w:p>
    <w:p w:rsidR="000C4574" w:rsidRDefault="000C4574">
      <w:pPr>
        <w:ind w:left="200"/>
      </w:pPr>
      <w:r>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p>
    <w:p w:rsidR="000C4574" w:rsidRDefault="000C4574">
      <w:pPr>
        <w:ind w:left="200"/>
      </w:pPr>
    </w:p>
    <w:p w:rsidR="000C4574" w:rsidRDefault="000C4574">
      <w:pPr>
        <w:ind w:left="200"/>
      </w:pPr>
      <w:r>
        <w:t>Категория (тип) акций:</w:t>
      </w:r>
      <w:r>
        <w:rPr>
          <w:rStyle w:val="Subst"/>
          <w:bCs/>
          <w:iCs/>
        </w:rPr>
        <w:t xml:space="preserve"> привилегированные, тип А</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145.85</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122 826 000</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122 826 000</w:t>
      </w:r>
    </w:p>
    <w:p w:rsidR="000C4574" w:rsidRDefault="000C4574">
      <w:pPr>
        <w:ind w:left="200"/>
      </w:pPr>
      <w:r>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100</w:t>
      </w:r>
    </w:p>
    <w:p w:rsidR="000C4574" w:rsidRDefault="000C4574">
      <w:pPr>
        <w:ind w:left="200"/>
      </w:pPr>
    </w:p>
    <w:p w:rsidR="000C4574" w:rsidRDefault="000C4574">
      <w:pPr>
        <w:ind w:left="200"/>
      </w:pPr>
      <w:r>
        <w:t>Срок, отведенный для выплаты объявленных дивидендов по акциям эмитента:</w:t>
      </w:r>
      <w:r>
        <w:br/>
      </w:r>
      <w:r>
        <w:rPr>
          <w:rStyle w:val="Subst"/>
          <w:bCs/>
          <w:iCs/>
        </w:rPr>
        <w:t>до 21.09.2009 года</w:t>
      </w:r>
    </w:p>
    <w:p w:rsidR="000C4574" w:rsidRDefault="000C4574">
      <w:pPr>
        <w:ind w:left="200"/>
      </w:pPr>
      <w:r>
        <w:t>Форма и иные условия выплаты объявленных дивидендов по акциям эмитента:</w:t>
      </w:r>
      <w:r>
        <w:br/>
      </w:r>
      <w:r>
        <w:rPr>
          <w:rStyle w:val="Subst"/>
          <w:bCs/>
          <w:iCs/>
        </w:rPr>
        <w:t>Выплата осуществлялась в денежной форме.</w:t>
      </w:r>
      <w:r>
        <w:rPr>
          <w:rStyle w:val="Subst"/>
          <w:bCs/>
          <w:iCs/>
        </w:rPr>
        <w:br/>
        <w:t>Объявленные дивиденды по акциям эмитента выплачены эмитентом не в полном объеме</w:t>
      </w:r>
      <w:r>
        <w:rPr>
          <w:rStyle w:val="Subst"/>
          <w:bCs/>
          <w:iCs/>
        </w:rPr>
        <w:br/>
      </w:r>
    </w:p>
    <w:p w:rsidR="000C4574" w:rsidRDefault="000C4574">
      <w:pPr>
        <w:ind w:left="200"/>
      </w:pPr>
      <w:r>
        <w:rPr>
          <w:rStyle w:val="Subst"/>
          <w:bCs/>
          <w:iCs/>
        </w:rPr>
        <w:t>Объявленные дивиденды по акциям эмитента выплачены эмитентом не в полном объеме</w:t>
      </w:r>
    </w:p>
    <w:p w:rsidR="000C4574" w:rsidRDefault="000C4574">
      <w:pPr>
        <w:ind w:left="200"/>
      </w:pPr>
      <w:r>
        <w:t>Причины невыплаты объявленных дивидендов:</w:t>
      </w:r>
      <w:r>
        <w:br/>
      </w:r>
      <w:r>
        <w:rPr>
          <w:rStyle w:val="Subst"/>
          <w:bCs/>
          <w:iCs/>
        </w:rPr>
        <w:t>Порок формирования реестра, счета неустановленных лиц.</w:t>
      </w:r>
    </w:p>
    <w:p w:rsidR="000C4574" w:rsidRDefault="000C4574">
      <w:pPr>
        <w:pStyle w:val="SubHeading"/>
        <w:ind w:left="200"/>
      </w:pPr>
      <w:r>
        <w:t>Дивидендный период</w:t>
      </w:r>
    </w:p>
    <w:p w:rsidR="000C4574" w:rsidRDefault="000C4574">
      <w:pPr>
        <w:ind w:left="400"/>
      </w:pPr>
      <w:r>
        <w:t>Год:</w:t>
      </w:r>
      <w:r>
        <w:rPr>
          <w:rStyle w:val="Subst"/>
          <w:bCs/>
          <w:iCs/>
        </w:rPr>
        <w:t xml:space="preserve"> 2009</w:t>
      </w:r>
    </w:p>
    <w:p w:rsidR="000C4574" w:rsidRDefault="000C4574">
      <w:pPr>
        <w:ind w:left="400"/>
      </w:pPr>
      <w:r>
        <w:t>Период:</w:t>
      </w:r>
      <w:r>
        <w:rPr>
          <w:rStyle w:val="Subst"/>
          <w:bCs/>
          <w:iCs/>
        </w:rPr>
        <w:t xml:space="preserve"> полный год</w:t>
      </w:r>
    </w:p>
    <w:p w:rsidR="000C4574" w:rsidRDefault="000C4574">
      <w:pPr>
        <w:ind w:left="200"/>
      </w:pPr>
    </w:p>
    <w:p w:rsidR="000C4574" w:rsidRDefault="000C4574">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0C4574" w:rsidRDefault="000C457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23.06.2010</w:t>
      </w:r>
    </w:p>
    <w:p w:rsidR="000C4574" w:rsidRDefault="000C4574">
      <w:pPr>
        <w:ind w:left="200"/>
      </w:pPr>
      <w:r>
        <w:lastRenderedPageBreak/>
        <w:t>Дата, на которую был составлен список лиц, имеющих право на получение дивидендов за данный дивидендный период:</w:t>
      </w:r>
      <w:r>
        <w:rPr>
          <w:rStyle w:val="Subst"/>
          <w:bCs/>
          <w:iCs/>
        </w:rPr>
        <w:t xml:space="preserve"> 07.05.2010</w:t>
      </w:r>
    </w:p>
    <w:p w:rsidR="000C4574" w:rsidRDefault="000C4574">
      <w:pPr>
        <w:ind w:left="200"/>
      </w:pPr>
      <w:r>
        <w:t>Дата составления протокола:</w:t>
      </w:r>
      <w:r>
        <w:rPr>
          <w:rStyle w:val="Subst"/>
          <w:bCs/>
          <w:iCs/>
        </w:rPr>
        <w:t xml:space="preserve"> 30.06.2010</w:t>
      </w:r>
    </w:p>
    <w:p w:rsidR="000C4574" w:rsidRDefault="000C4574">
      <w:pPr>
        <w:ind w:left="200"/>
      </w:pPr>
      <w:r>
        <w:t>Номер протокола:</w:t>
      </w:r>
      <w:r>
        <w:rPr>
          <w:rStyle w:val="Subst"/>
          <w:bCs/>
          <w:iCs/>
        </w:rPr>
        <w:t xml:space="preserve"> 20</w:t>
      </w:r>
    </w:p>
    <w:p w:rsidR="000C4574" w:rsidRDefault="000C4574">
      <w:pPr>
        <w:pStyle w:val="ThinDelim"/>
      </w:pPr>
    </w:p>
    <w:p w:rsidR="000C4574" w:rsidRDefault="000C4574">
      <w:pPr>
        <w:ind w:left="200"/>
      </w:pPr>
      <w:r>
        <w:t>Категория (тип) акций:</w:t>
      </w:r>
      <w:r>
        <w:rPr>
          <w:rStyle w:val="Subst"/>
          <w:bCs/>
          <w:iCs/>
        </w:rPr>
        <w:t xml:space="preserve"> обыкновенные</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0</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0</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0</w:t>
      </w:r>
    </w:p>
    <w:p w:rsidR="000C4574" w:rsidRDefault="000C4574">
      <w:pPr>
        <w:ind w:left="200"/>
      </w:pPr>
      <w:r>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p>
    <w:p w:rsidR="000C4574" w:rsidRDefault="000C4574">
      <w:pPr>
        <w:ind w:left="200"/>
      </w:pPr>
    </w:p>
    <w:p w:rsidR="000C4574" w:rsidRDefault="000C4574">
      <w:pPr>
        <w:ind w:left="200"/>
      </w:pPr>
      <w:r>
        <w:t>Категория (тип) акций:</w:t>
      </w:r>
      <w:r>
        <w:rPr>
          <w:rStyle w:val="Subst"/>
          <w:bCs/>
          <w:iCs/>
        </w:rPr>
        <w:t xml:space="preserve"> привилегированные, тип А</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301.03</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253 508 200.08</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216 766 511.51</w:t>
      </w:r>
    </w:p>
    <w:p w:rsidR="000C4574" w:rsidRDefault="000C4574">
      <w:pPr>
        <w:ind w:left="200"/>
      </w:pPr>
      <w:r>
        <w:t>Источник выплаты объявленных дивидендов:</w:t>
      </w:r>
      <w:r>
        <w:rPr>
          <w:rStyle w:val="Subst"/>
          <w:bCs/>
          <w:iCs/>
        </w:rPr>
        <w:t xml:space="preserve"> чистая прибыль</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85.5</w:t>
      </w:r>
    </w:p>
    <w:p w:rsidR="000C4574" w:rsidRDefault="000C4574">
      <w:pPr>
        <w:ind w:left="200"/>
      </w:pPr>
    </w:p>
    <w:p w:rsidR="000C4574" w:rsidRDefault="000C4574">
      <w:pPr>
        <w:ind w:left="200"/>
      </w:pPr>
      <w:r>
        <w:t>Срок, отведенный для выплаты объявленных дивидендов по акциям эмитента:</w:t>
      </w:r>
      <w:r>
        <w:br/>
      </w:r>
      <w:r>
        <w:rPr>
          <w:rStyle w:val="Subst"/>
          <w:bCs/>
          <w:iCs/>
        </w:rPr>
        <w:t>20.09.2010 года</w:t>
      </w:r>
    </w:p>
    <w:p w:rsidR="000C4574" w:rsidRDefault="000C4574">
      <w:pPr>
        <w:ind w:left="200"/>
      </w:pPr>
      <w:r>
        <w:t>Форма и иные условия выплаты объявленных дивидендов по акциям эмитента:</w:t>
      </w:r>
      <w:r>
        <w:br/>
      </w:r>
      <w:r>
        <w:rPr>
          <w:rStyle w:val="Subst"/>
          <w:bCs/>
          <w:iCs/>
        </w:rPr>
        <w:t>Выплата осуществлялась в денежной форме.</w:t>
      </w:r>
      <w:r>
        <w:rPr>
          <w:rStyle w:val="Subst"/>
          <w:bCs/>
          <w:iCs/>
        </w:rPr>
        <w:br/>
        <w:t>Объявленные дивиденды по акциям эмитента выплачены эмитентом не в полном объеме</w:t>
      </w:r>
      <w:r>
        <w:rPr>
          <w:rStyle w:val="Subst"/>
          <w:bCs/>
          <w:iCs/>
        </w:rPr>
        <w:br/>
      </w:r>
    </w:p>
    <w:p w:rsidR="000C4574" w:rsidRDefault="000C4574">
      <w:pPr>
        <w:ind w:left="200"/>
      </w:pPr>
      <w:r>
        <w:rPr>
          <w:rStyle w:val="Subst"/>
          <w:bCs/>
          <w:iCs/>
        </w:rPr>
        <w:t>Объявленные дивиденды по акциям эмитента выплачены эмитентом не в полном объеме</w:t>
      </w:r>
    </w:p>
    <w:p w:rsidR="000C4574" w:rsidRDefault="000C4574">
      <w:pPr>
        <w:ind w:left="200"/>
      </w:pPr>
      <w:r>
        <w:t>Причины невыплаты объявленных дивидендов:</w:t>
      </w:r>
      <w:r>
        <w:br/>
      </w:r>
      <w:r>
        <w:rPr>
          <w:rStyle w:val="Subst"/>
          <w:bCs/>
          <w:iCs/>
        </w:rPr>
        <w:t>Порок формирования реестра, счета неустановленных лиц.</w:t>
      </w:r>
    </w:p>
    <w:p w:rsidR="000C4574" w:rsidRDefault="000C4574">
      <w:pPr>
        <w:pStyle w:val="SubHeading"/>
        <w:ind w:left="200"/>
      </w:pPr>
      <w:r>
        <w:t>Дивидендный период</w:t>
      </w:r>
    </w:p>
    <w:p w:rsidR="000C4574" w:rsidRDefault="000C4574">
      <w:pPr>
        <w:ind w:left="400"/>
      </w:pPr>
      <w:r>
        <w:t>Год:</w:t>
      </w:r>
      <w:r>
        <w:rPr>
          <w:rStyle w:val="Subst"/>
          <w:bCs/>
          <w:iCs/>
        </w:rPr>
        <w:t xml:space="preserve"> 2010</w:t>
      </w:r>
    </w:p>
    <w:p w:rsidR="000C4574" w:rsidRDefault="000C4574">
      <w:pPr>
        <w:ind w:left="400"/>
      </w:pPr>
      <w:r>
        <w:t>Период:</w:t>
      </w:r>
      <w:r>
        <w:rPr>
          <w:rStyle w:val="Subst"/>
          <w:bCs/>
          <w:iCs/>
        </w:rPr>
        <w:t xml:space="preserve"> полный год</w:t>
      </w:r>
    </w:p>
    <w:p w:rsidR="000C4574" w:rsidRDefault="000C4574">
      <w:pPr>
        <w:ind w:left="200"/>
      </w:pPr>
    </w:p>
    <w:p w:rsidR="000C4574" w:rsidRDefault="000C4574">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0C4574" w:rsidRDefault="000C457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22.06.2011</w:t>
      </w:r>
    </w:p>
    <w:p w:rsidR="000C4574" w:rsidRDefault="000C4574">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06.05.2011</w:t>
      </w:r>
    </w:p>
    <w:p w:rsidR="000C4574" w:rsidRDefault="000C4574">
      <w:pPr>
        <w:ind w:left="200"/>
      </w:pPr>
      <w:r>
        <w:t>Дата составления протокола:</w:t>
      </w:r>
      <w:r>
        <w:rPr>
          <w:rStyle w:val="Subst"/>
          <w:bCs/>
          <w:iCs/>
        </w:rPr>
        <w:t xml:space="preserve"> 29.06.2011</w:t>
      </w:r>
    </w:p>
    <w:p w:rsidR="000C4574" w:rsidRDefault="000C4574">
      <w:pPr>
        <w:ind w:left="200"/>
      </w:pPr>
      <w:r>
        <w:t>Номер протокола:</w:t>
      </w:r>
      <w:r>
        <w:rPr>
          <w:rStyle w:val="Subst"/>
          <w:bCs/>
          <w:iCs/>
        </w:rPr>
        <w:t xml:space="preserve"> 21</w:t>
      </w:r>
    </w:p>
    <w:p w:rsidR="000C4574" w:rsidRDefault="000C4574">
      <w:pPr>
        <w:pStyle w:val="ThinDelim"/>
      </w:pPr>
    </w:p>
    <w:p w:rsidR="000C4574" w:rsidRDefault="000C4574">
      <w:pPr>
        <w:ind w:left="200"/>
      </w:pPr>
      <w:r>
        <w:t>Категория (тип) акций:</w:t>
      </w:r>
      <w:r>
        <w:rPr>
          <w:rStyle w:val="Subst"/>
          <w:bCs/>
          <w:iCs/>
        </w:rPr>
        <w:t xml:space="preserve"> обыкновенные</w:t>
      </w:r>
    </w:p>
    <w:p w:rsidR="000C4574" w:rsidRDefault="000C4574">
      <w:pPr>
        <w:ind w:left="200"/>
      </w:pPr>
      <w:r>
        <w:lastRenderedPageBreak/>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0</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0</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0</w:t>
      </w:r>
    </w:p>
    <w:p w:rsidR="000C4574" w:rsidRDefault="000C4574">
      <w:pPr>
        <w:ind w:left="200"/>
      </w:pPr>
      <w:r>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p>
    <w:p w:rsidR="000C4574" w:rsidRDefault="000C4574">
      <w:pPr>
        <w:ind w:left="200"/>
      </w:pPr>
    </w:p>
    <w:p w:rsidR="000C4574" w:rsidRDefault="000C4574">
      <w:pPr>
        <w:ind w:left="200"/>
      </w:pPr>
      <w:r>
        <w:t>Категория (тип) акций:</w:t>
      </w:r>
      <w:r>
        <w:rPr>
          <w:rStyle w:val="Subst"/>
          <w:bCs/>
          <w:iCs/>
        </w:rPr>
        <w:t xml:space="preserve"> привилегированные, тип А</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166.7</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140 383 584.37</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125 193 501.08</w:t>
      </w:r>
    </w:p>
    <w:p w:rsidR="000C4574" w:rsidRDefault="000C4574">
      <w:pPr>
        <w:ind w:left="200"/>
      </w:pPr>
      <w:r>
        <w:t>Источник выплаты объявленных дивидендов:</w:t>
      </w:r>
      <w:r>
        <w:rPr>
          <w:rStyle w:val="Subst"/>
          <w:bCs/>
          <w:iCs/>
        </w:rPr>
        <w:t xml:space="preserve"> читая прибыль</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89.18</w:t>
      </w:r>
    </w:p>
    <w:p w:rsidR="000C4574" w:rsidRDefault="000C4574">
      <w:pPr>
        <w:ind w:left="200"/>
      </w:pPr>
    </w:p>
    <w:p w:rsidR="000C4574" w:rsidRDefault="000C4574">
      <w:pPr>
        <w:ind w:left="200"/>
      </w:pPr>
      <w:r>
        <w:t>Срок, отведенный для выплаты объявленных дивидендов по акциям эмитента:</w:t>
      </w:r>
      <w:r>
        <w:br/>
      </w:r>
      <w:r>
        <w:rPr>
          <w:rStyle w:val="Subst"/>
          <w:bCs/>
          <w:iCs/>
        </w:rPr>
        <w:t>20.09.2011</w:t>
      </w:r>
    </w:p>
    <w:p w:rsidR="000C4574" w:rsidRDefault="000C4574">
      <w:pPr>
        <w:ind w:left="200"/>
      </w:pPr>
      <w:r>
        <w:t>Форма и иные условия выплаты объявленных дивидендов по акциям эмитента:</w:t>
      </w:r>
      <w:r>
        <w:br/>
      </w:r>
      <w:r>
        <w:rPr>
          <w:rStyle w:val="Subst"/>
          <w:bCs/>
          <w:iCs/>
        </w:rPr>
        <w:t>Выплата осуществлялась в денежной форме.</w:t>
      </w:r>
      <w:r>
        <w:rPr>
          <w:rStyle w:val="Subst"/>
          <w:bCs/>
          <w:iCs/>
        </w:rPr>
        <w:br/>
        <w:t>Объявленные дивиденды по акциям эмитента выплачены эмитентом не в полном объеме</w:t>
      </w:r>
      <w:r>
        <w:rPr>
          <w:rStyle w:val="Subst"/>
          <w:bCs/>
          <w:iCs/>
        </w:rPr>
        <w:br/>
      </w:r>
    </w:p>
    <w:p w:rsidR="000C4574" w:rsidRDefault="000C4574">
      <w:pPr>
        <w:ind w:left="200"/>
      </w:pPr>
      <w:r>
        <w:rPr>
          <w:rStyle w:val="Subst"/>
          <w:bCs/>
          <w:iCs/>
        </w:rPr>
        <w:t>Объявленные дивиденды по акциям эмитента выплачены эмитентом не в полном объеме</w:t>
      </w:r>
    </w:p>
    <w:p w:rsidR="000C4574" w:rsidRDefault="000C4574">
      <w:pPr>
        <w:ind w:left="200"/>
      </w:pPr>
      <w:r>
        <w:t>Причины невыплаты объявленных дивидендов:</w:t>
      </w:r>
      <w:r>
        <w:br/>
      </w:r>
      <w:r>
        <w:rPr>
          <w:rStyle w:val="Subst"/>
          <w:bCs/>
          <w:iCs/>
        </w:rPr>
        <w:t>Порок формирования реестра, счета неустановленных лиц.</w:t>
      </w:r>
    </w:p>
    <w:p w:rsidR="000C4574" w:rsidRDefault="000C4574">
      <w:pPr>
        <w:pStyle w:val="SubHeading"/>
        <w:ind w:left="200"/>
      </w:pPr>
      <w:r>
        <w:t>Дивидендный период</w:t>
      </w:r>
    </w:p>
    <w:p w:rsidR="000C4574" w:rsidRDefault="000C4574">
      <w:pPr>
        <w:ind w:left="400"/>
      </w:pPr>
      <w:r>
        <w:t>Год:</w:t>
      </w:r>
      <w:r>
        <w:rPr>
          <w:rStyle w:val="Subst"/>
          <w:bCs/>
          <w:iCs/>
        </w:rPr>
        <w:t xml:space="preserve"> 2011</w:t>
      </w:r>
    </w:p>
    <w:p w:rsidR="000C4574" w:rsidRDefault="000C4574">
      <w:pPr>
        <w:ind w:left="400"/>
      </w:pPr>
      <w:r>
        <w:t>Период:</w:t>
      </w:r>
      <w:r>
        <w:rPr>
          <w:rStyle w:val="Subst"/>
          <w:bCs/>
          <w:iCs/>
        </w:rPr>
        <w:t xml:space="preserve"> полный год</w:t>
      </w:r>
    </w:p>
    <w:p w:rsidR="000C4574" w:rsidRDefault="000C4574">
      <w:pPr>
        <w:ind w:left="200"/>
      </w:pPr>
    </w:p>
    <w:p w:rsidR="000C4574" w:rsidRDefault="000C4574">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0C4574" w:rsidRDefault="000C457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22.06.2011</w:t>
      </w:r>
    </w:p>
    <w:p w:rsidR="000C4574" w:rsidRDefault="000C4574">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06.05.2011</w:t>
      </w:r>
    </w:p>
    <w:p w:rsidR="000C4574" w:rsidRDefault="000C4574">
      <w:pPr>
        <w:ind w:left="200"/>
      </w:pPr>
      <w:r>
        <w:t>Дата составления протокола:</w:t>
      </w:r>
      <w:r>
        <w:rPr>
          <w:rStyle w:val="Subst"/>
          <w:bCs/>
          <w:iCs/>
        </w:rPr>
        <w:t xml:space="preserve"> 20.06.2012</w:t>
      </w:r>
    </w:p>
    <w:p w:rsidR="000C4574" w:rsidRDefault="000C4574">
      <w:pPr>
        <w:ind w:left="200"/>
      </w:pPr>
      <w:r>
        <w:t>Номер протокола:</w:t>
      </w:r>
      <w:r>
        <w:rPr>
          <w:rStyle w:val="Subst"/>
          <w:bCs/>
          <w:iCs/>
        </w:rPr>
        <w:t xml:space="preserve"> 23</w:t>
      </w:r>
    </w:p>
    <w:p w:rsidR="000C4574" w:rsidRDefault="000C4574">
      <w:pPr>
        <w:pStyle w:val="ThinDelim"/>
      </w:pPr>
    </w:p>
    <w:p w:rsidR="000C4574" w:rsidRDefault="000C4574">
      <w:pPr>
        <w:ind w:left="200"/>
      </w:pPr>
      <w:r>
        <w:t>Категория (тип) акций:</w:t>
      </w:r>
      <w:r>
        <w:rPr>
          <w:rStyle w:val="Subst"/>
          <w:bCs/>
          <w:iCs/>
        </w:rPr>
        <w:t xml:space="preserve"> обыкновенные</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0</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0</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0</w:t>
      </w:r>
    </w:p>
    <w:p w:rsidR="000C4574" w:rsidRDefault="000C4574">
      <w:pPr>
        <w:ind w:left="200"/>
      </w:pPr>
      <w:r>
        <w:lastRenderedPageBreak/>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p>
    <w:p w:rsidR="000C4574" w:rsidRDefault="000C4574">
      <w:pPr>
        <w:ind w:left="200"/>
      </w:pPr>
    </w:p>
    <w:p w:rsidR="000C4574" w:rsidRDefault="000C4574">
      <w:pPr>
        <w:ind w:left="200"/>
      </w:pPr>
      <w:r>
        <w:t>Категория (тип) акций:</w:t>
      </w:r>
      <w:r>
        <w:rPr>
          <w:rStyle w:val="Subst"/>
          <w:bCs/>
          <w:iCs/>
        </w:rPr>
        <w:t xml:space="preserve"> привилегированные, тип А</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0</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0</w:t>
      </w: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r>
        <w:rPr>
          <w:rStyle w:val="Subst"/>
          <w:bCs/>
          <w:iCs/>
        </w:rPr>
        <w:t>0</w:t>
      </w:r>
    </w:p>
    <w:p w:rsidR="000C4574" w:rsidRDefault="000C4574">
      <w:pPr>
        <w:ind w:left="200"/>
      </w:pPr>
      <w:r>
        <w:t>Источник выплаты объявленных дивидендов:</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p>
    <w:p w:rsidR="000C4574" w:rsidRDefault="000C4574">
      <w:pPr>
        <w:ind w:left="200"/>
      </w:pPr>
    </w:p>
    <w:p w:rsidR="000C4574" w:rsidRDefault="000C4574">
      <w:pPr>
        <w:ind w:left="200"/>
      </w:pPr>
      <w:r>
        <w:t>Срок, отведенный для выплаты объявленных дивидендов по акциям эмитента:</w:t>
      </w:r>
      <w:r>
        <w:br/>
      </w:r>
    </w:p>
    <w:p w:rsidR="000C4574" w:rsidRDefault="000C4574">
      <w:pPr>
        <w:ind w:left="200"/>
      </w:pPr>
      <w:r>
        <w:t>Форма и иные условия выплаты объявленных дивидендов по акциям эмитента:</w:t>
      </w:r>
      <w:r>
        <w:br/>
      </w:r>
    </w:p>
    <w:p w:rsidR="000C4574" w:rsidRDefault="000C4574">
      <w:pPr>
        <w:pStyle w:val="SubHeading"/>
        <w:ind w:left="200"/>
      </w:pPr>
      <w:r>
        <w:t>Дивидендный период</w:t>
      </w:r>
    </w:p>
    <w:p w:rsidR="000C4574" w:rsidRDefault="000C4574">
      <w:pPr>
        <w:ind w:left="400"/>
      </w:pPr>
      <w:r>
        <w:t>Год:</w:t>
      </w:r>
      <w:r>
        <w:rPr>
          <w:rStyle w:val="Subst"/>
          <w:bCs/>
          <w:iCs/>
        </w:rPr>
        <w:t xml:space="preserve"> 2012</w:t>
      </w:r>
    </w:p>
    <w:p w:rsidR="000C4574" w:rsidRDefault="000C4574">
      <w:pPr>
        <w:ind w:left="400"/>
      </w:pPr>
      <w:r>
        <w:t>Период:</w:t>
      </w:r>
      <w:r>
        <w:rPr>
          <w:rStyle w:val="Subst"/>
          <w:bCs/>
          <w:iCs/>
        </w:rPr>
        <w:t xml:space="preserve"> полный год</w:t>
      </w:r>
    </w:p>
    <w:p w:rsidR="000C4574" w:rsidRDefault="000C4574">
      <w:pPr>
        <w:ind w:left="200"/>
      </w:pPr>
    </w:p>
    <w:p w:rsidR="000C4574" w:rsidRDefault="000C4574">
      <w:pPr>
        <w:ind w:left="200"/>
      </w:pPr>
      <w:r>
        <w:t>Орган управления эмитента, принявший решение об объявлении дивидендов:</w:t>
      </w:r>
      <w:r>
        <w:rPr>
          <w:rStyle w:val="Subst"/>
          <w:bCs/>
          <w:iCs/>
        </w:rPr>
        <w:t xml:space="preserve"> Общее собрание акционеров (участников)</w:t>
      </w:r>
    </w:p>
    <w:p w:rsidR="000C4574" w:rsidRDefault="000C4574">
      <w:pPr>
        <w:ind w:left="200"/>
      </w:pPr>
      <w:r>
        <w:t>Дата проведения собрания (заседания) органа управления эмитента, на котором принято решение о выплате (объявлении) дивидендов:</w:t>
      </w:r>
      <w:r>
        <w:rPr>
          <w:rStyle w:val="Subst"/>
          <w:bCs/>
          <w:iCs/>
        </w:rPr>
        <w:t xml:space="preserve"> 19.06.2013</w:t>
      </w:r>
    </w:p>
    <w:p w:rsidR="000C4574" w:rsidRDefault="000C4574">
      <w:pPr>
        <w:ind w:left="200"/>
      </w:pPr>
      <w:r>
        <w:t>Дата, на которую был составлен список лиц, имеющих право на получение дивидендов за данный дивидендный период:</w:t>
      </w:r>
      <w:r>
        <w:rPr>
          <w:rStyle w:val="Subst"/>
          <w:bCs/>
          <w:iCs/>
        </w:rPr>
        <w:t xml:space="preserve"> 02.05.2013</w:t>
      </w:r>
    </w:p>
    <w:p w:rsidR="000C4574" w:rsidRDefault="000C4574">
      <w:pPr>
        <w:ind w:left="200"/>
      </w:pPr>
      <w:r>
        <w:t>Дата составления протокола:</w:t>
      </w:r>
      <w:r>
        <w:rPr>
          <w:rStyle w:val="Subst"/>
          <w:bCs/>
          <w:iCs/>
        </w:rPr>
        <w:t xml:space="preserve"> 19.06.2013</w:t>
      </w:r>
    </w:p>
    <w:p w:rsidR="000C4574" w:rsidRDefault="000C4574">
      <w:pPr>
        <w:ind w:left="200"/>
      </w:pPr>
      <w:r>
        <w:t>Номер протокола:</w:t>
      </w:r>
      <w:r>
        <w:rPr>
          <w:rStyle w:val="Subst"/>
          <w:bCs/>
          <w:iCs/>
        </w:rPr>
        <w:t xml:space="preserve"> 24</w:t>
      </w:r>
    </w:p>
    <w:p w:rsidR="000C4574" w:rsidRDefault="000C4574">
      <w:pPr>
        <w:pStyle w:val="ThinDelim"/>
      </w:pPr>
    </w:p>
    <w:p w:rsidR="000C4574" w:rsidRDefault="000C4574">
      <w:pPr>
        <w:ind w:left="200"/>
      </w:pPr>
      <w:r>
        <w:t>Категория (тип) акций:</w:t>
      </w:r>
      <w:r>
        <w:rPr>
          <w:rStyle w:val="Subst"/>
          <w:bCs/>
          <w:iCs/>
        </w:rPr>
        <w:t xml:space="preserve"> обыкновенные</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p>
    <w:p w:rsidR="000C4574" w:rsidRDefault="000C4574">
      <w:pPr>
        <w:ind w:left="200"/>
      </w:pPr>
      <w:r>
        <w:t>Общий размер дивидендов, выплаченных по всем акциям эмитента одной категории (типа), руб.:</w:t>
      </w:r>
    </w:p>
    <w:p w:rsidR="000C4574" w:rsidRDefault="000C4574">
      <w:pPr>
        <w:ind w:left="200"/>
      </w:pPr>
    </w:p>
    <w:p w:rsidR="000C4574" w:rsidRDefault="000C4574">
      <w:pPr>
        <w:ind w:left="200"/>
      </w:pPr>
      <w:r>
        <w:t>Источник выплаты объявленных дивидендов:</w:t>
      </w:r>
      <w:r>
        <w:rPr>
          <w:rStyle w:val="Subst"/>
          <w:bCs/>
          <w:iCs/>
        </w:rPr>
        <w:t xml:space="preserve"> чистая прибыль предприятия</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p>
    <w:p w:rsidR="000C4574" w:rsidRDefault="000C4574">
      <w:pPr>
        <w:ind w:left="200"/>
      </w:pPr>
    </w:p>
    <w:p w:rsidR="000C4574" w:rsidRDefault="000C4574">
      <w:pPr>
        <w:ind w:left="200"/>
      </w:pPr>
      <w:r>
        <w:t>Категория (тип) акций:</w:t>
      </w:r>
      <w:r>
        <w:rPr>
          <w:rStyle w:val="Subst"/>
          <w:bCs/>
          <w:iCs/>
        </w:rPr>
        <w:t xml:space="preserve"> привилегированные, тип А</w:t>
      </w:r>
    </w:p>
    <w:p w:rsidR="000C4574" w:rsidRDefault="000C4574">
      <w:pPr>
        <w:ind w:left="200"/>
      </w:pPr>
      <w:r>
        <w:t>Размер объявленных дивидендов по акциям данной категории (типа) в расчете на одну акцию, руб.:</w:t>
      </w:r>
    </w:p>
    <w:p w:rsidR="000C4574" w:rsidRDefault="000C4574">
      <w:pPr>
        <w:ind w:left="200"/>
      </w:pPr>
      <w:r>
        <w:rPr>
          <w:rStyle w:val="Subst"/>
          <w:bCs/>
          <w:iCs/>
        </w:rPr>
        <w:t>89.49</w:t>
      </w:r>
    </w:p>
    <w:p w:rsidR="000C4574" w:rsidRDefault="000C4574">
      <w:pPr>
        <w:ind w:left="200"/>
      </w:pPr>
      <w:r>
        <w:t>Размер объявленных дивидендов в совокупности по всем акциям данной категории (типа), руб.:</w:t>
      </w:r>
    </w:p>
    <w:p w:rsidR="000C4574" w:rsidRDefault="000C4574">
      <w:pPr>
        <w:ind w:left="200"/>
      </w:pPr>
      <w:r>
        <w:rPr>
          <w:rStyle w:val="Subst"/>
          <w:bCs/>
          <w:iCs/>
        </w:rPr>
        <w:t>75 362 750.64</w:t>
      </w:r>
    </w:p>
    <w:p w:rsidR="000C4574" w:rsidRDefault="000C4574">
      <w:pPr>
        <w:ind w:left="200"/>
      </w:pPr>
      <w:r>
        <w:lastRenderedPageBreak/>
        <w:t>Общий размер дивидендов, выплаченных по всем акциям эмитента одной категории (типа), руб.:</w:t>
      </w:r>
    </w:p>
    <w:p w:rsidR="000C4574" w:rsidRDefault="000C4574">
      <w:pPr>
        <w:ind w:left="200"/>
      </w:pPr>
      <w:r>
        <w:rPr>
          <w:rStyle w:val="Subst"/>
          <w:bCs/>
          <w:iCs/>
        </w:rPr>
        <w:t>68 629 064.54</w:t>
      </w:r>
    </w:p>
    <w:p w:rsidR="000C4574" w:rsidRDefault="000C4574">
      <w:pPr>
        <w:ind w:left="200"/>
      </w:pPr>
      <w:r>
        <w:t>Источник выплаты объявленных дивидендов:</w:t>
      </w:r>
      <w:r>
        <w:rPr>
          <w:rStyle w:val="Subst"/>
          <w:bCs/>
          <w:iCs/>
        </w:rPr>
        <w:t xml:space="preserve"> чистая прибыль предприятия</w:t>
      </w:r>
    </w:p>
    <w:p w:rsidR="000C4574" w:rsidRDefault="000C4574">
      <w:pPr>
        <w:ind w:left="200"/>
      </w:pPr>
      <w:r>
        <w:t>Доля объявленных дивидендов в чистой прибыли отчетного года, %:</w:t>
      </w:r>
    </w:p>
    <w:p w:rsidR="000C4574" w:rsidRDefault="000C4574">
      <w:pPr>
        <w:ind w:left="200"/>
      </w:pPr>
      <w:r>
        <w:t>Доля выплаченных дивидендов в общем размере объявленных дивидендов по акциям данной категории (типа), %:</w:t>
      </w:r>
      <w:r>
        <w:rPr>
          <w:rStyle w:val="Subst"/>
          <w:bCs/>
          <w:iCs/>
        </w:rPr>
        <w:t xml:space="preserve"> 91.06</w:t>
      </w:r>
    </w:p>
    <w:p w:rsidR="000C4574" w:rsidRDefault="000C4574">
      <w:pPr>
        <w:ind w:left="200"/>
      </w:pPr>
    </w:p>
    <w:p w:rsidR="000C4574" w:rsidRDefault="000C4574">
      <w:pPr>
        <w:ind w:left="200"/>
      </w:pPr>
      <w:r>
        <w:t>Срок, отведенный для выплаты объявленных дивидендов по акциям эмитента:</w:t>
      </w:r>
      <w:r>
        <w:br/>
      </w:r>
    </w:p>
    <w:p w:rsidR="000C4574" w:rsidRDefault="000C4574" w:rsidP="000C4574">
      <w:pPr>
        <w:ind w:left="200"/>
      </w:pPr>
      <w:r>
        <w:t>Форма и иные условия выплаты объявленных дивидендов по акциям эмитента:</w:t>
      </w:r>
    </w:p>
    <w:p w:rsidR="000C4574" w:rsidRDefault="000C4574" w:rsidP="000C4574">
      <w:pPr>
        <w:ind w:left="200"/>
      </w:pPr>
      <w:r>
        <w:t>8.8.2. Сведения о начисленных и выплаченных доходах по облигациям эмитента</w:t>
      </w:r>
    </w:p>
    <w:p w:rsidR="000C4574" w:rsidRDefault="000C4574">
      <w:pPr>
        <w:ind w:left="200"/>
      </w:pPr>
      <w:r>
        <w:rPr>
          <w:rStyle w:val="Subst"/>
          <w:bCs/>
          <w:iCs/>
        </w:rPr>
        <w:t>Эмитент не осуществлял эмиссию облигаций</w:t>
      </w:r>
    </w:p>
    <w:p w:rsidR="000C4574" w:rsidRDefault="000C4574">
      <w:pPr>
        <w:pStyle w:val="2"/>
      </w:pPr>
      <w:r>
        <w:t>8.9. Иные сведения</w:t>
      </w:r>
    </w:p>
    <w:p w:rsidR="000C4574" w:rsidRDefault="000C4574">
      <w:pPr>
        <w:ind w:left="200"/>
      </w:pPr>
      <w:r>
        <w:rPr>
          <w:rStyle w:val="Subst"/>
          <w:bCs/>
          <w:iCs/>
        </w:rPr>
        <w:t>нет</w:t>
      </w:r>
    </w:p>
    <w:p w:rsidR="000C4574" w:rsidRDefault="000C4574">
      <w:pPr>
        <w:pStyle w:val="2"/>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0C4574" w:rsidRDefault="000C4574">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0C4574" w:rsidRDefault="000C4574">
      <w:pPr>
        <w:pStyle w:val="2"/>
      </w:pPr>
      <w:r>
        <w:t>Приложение к ежеквартальному отчету. Аудиторское заключение к годовой бухгалтерской(финансовой) отчетности эмитента</w:t>
      </w:r>
    </w:p>
    <w:p w:rsidR="000C4574" w:rsidRDefault="000C4574">
      <w:pPr>
        <w:pStyle w:val="2"/>
      </w:pPr>
      <w:r>
        <w:t>Приложение к ежеквартальному отчету. Информация, сопутствующая годовой бухгалтерской(финансовой) отчетности эмитента</w:t>
      </w:r>
    </w:p>
    <w:p w:rsidR="000C4574" w:rsidRDefault="000C4574">
      <w:pPr>
        <w:pStyle w:val="2"/>
      </w:pPr>
      <w:r>
        <w:t>Приложение к ежеквартальному отчету. Годовая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p w:rsidR="000C4574" w:rsidRPr="003C1F7D" w:rsidRDefault="000C4574">
      <w:pPr>
        <w:pStyle w:val="2"/>
      </w:pPr>
      <w:r>
        <w:t>Приложение к ежеквартальному отчету. Промежуточная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p w:rsidR="003C1F7D" w:rsidRDefault="00A63DB3" w:rsidP="003C1F7D">
      <w:pPr>
        <w:rPr>
          <w:lang w:val="en-US"/>
        </w:rPr>
      </w:pPr>
      <w:r>
        <w:rPr>
          <w:noProof/>
        </w:rPr>
        <w:lastRenderedPageBreak/>
        <w:drawing>
          <wp:inline distT="0" distB="0" distL="0" distR="0">
            <wp:extent cx="5695950" cy="851535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5695950" cy="85153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43575" cy="7943850"/>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743575" cy="79438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67375" cy="7524750"/>
            <wp:effectExtent l="1905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5667375" cy="75247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95950" cy="8096250"/>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695950" cy="80962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15000" cy="754380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5715000" cy="75438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76900" cy="799147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5676900" cy="799147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76900" cy="7924800"/>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5676900" cy="79248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76900" cy="7924800"/>
            <wp:effectExtent l="1905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a:stretch>
                      <a:fillRect/>
                    </a:stretch>
                  </pic:blipFill>
                  <pic:spPr bwMode="auto">
                    <a:xfrm>
                      <a:off x="0" y="0"/>
                      <a:ext cx="5676900" cy="79248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95950" cy="8001000"/>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srcRect/>
                    <a:stretch>
                      <a:fillRect/>
                    </a:stretch>
                  </pic:blipFill>
                  <pic:spPr bwMode="auto">
                    <a:xfrm>
                      <a:off x="0" y="0"/>
                      <a:ext cx="5695950" cy="80010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15000" cy="7820025"/>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srcRect/>
                    <a:stretch>
                      <a:fillRect/>
                    </a:stretch>
                  </pic:blipFill>
                  <pic:spPr bwMode="auto">
                    <a:xfrm>
                      <a:off x="0" y="0"/>
                      <a:ext cx="5715000" cy="782002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53100" cy="6010275"/>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srcRect/>
                    <a:stretch>
                      <a:fillRect/>
                    </a:stretch>
                  </pic:blipFill>
                  <pic:spPr bwMode="auto">
                    <a:xfrm>
                      <a:off x="0" y="0"/>
                      <a:ext cx="5753100" cy="601027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drawing>
          <wp:inline distT="0" distB="0" distL="0" distR="0">
            <wp:extent cx="5753100" cy="8058150"/>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srcRect/>
                    <a:stretch>
                      <a:fillRect/>
                    </a:stretch>
                  </pic:blipFill>
                  <pic:spPr bwMode="auto">
                    <a:xfrm>
                      <a:off x="0" y="0"/>
                      <a:ext cx="5753100" cy="80581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76900" cy="7905750"/>
            <wp:effectExtent l="1905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srcRect/>
                    <a:stretch>
                      <a:fillRect/>
                    </a:stretch>
                  </pic:blipFill>
                  <pic:spPr bwMode="auto">
                    <a:xfrm>
                      <a:off x="0" y="0"/>
                      <a:ext cx="5676900" cy="79057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57850" cy="7753350"/>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srcRect/>
                    <a:stretch>
                      <a:fillRect/>
                    </a:stretch>
                  </pic:blipFill>
                  <pic:spPr bwMode="auto">
                    <a:xfrm>
                      <a:off x="0" y="0"/>
                      <a:ext cx="5657850" cy="77533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48325" cy="7829550"/>
            <wp:effectExtent l="1905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srcRect/>
                    <a:stretch>
                      <a:fillRect/>
                    </a:stretch>
                  </pic:blipFill>
                  <pic:spPr bwMode="auto">
                    <a:xfrm>
                      <a:off x="0" y="0"/>
                      <a:ext cx="5648325" cy="78295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86425" cy="7924800"/>
            <wp:effectExtent l="1905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srcRect/>
                    <a:stretch>
                      <a:fillRect/>
                    </a:stretch>
                  </pic:blipFill>
                  <pic:spPr bwMode="auto">
                    <a:xfrm>
                      <a:off x="0" y="0"/>
                      <a:ext cx="5686425" cy="79248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34050" cy="7962900"/>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srcRect/>
                    <a:stretch>
                      <a:fillRect/>
                    </a:stretch>
                  </pic:blipFill>
                  <pic:spPr bwMode="auto">
                    <a:xfrm>
                      <a:off x="0" y="0"/>
                      <a:ext cx="5734050" cy="79629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67375" cy="7810500"/>
            <wp:effectExtent l="1905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srcRect/>
                    <a:stretch>
                      <a:fillRect/>
                    </a:stretch>
                  </pic:blipFill>
                  <pic:spPr bwMode="auto">
                    <a:xfrm>
                      <a:off x="0" y="0"/>
                      <a:ext cx="5667375" cy="78105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57850" cy="7943850"/>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srcRect/>
                    <a:stretch>
                      <a:fillRect/>
                    </a:stretch>
                  </pic:blipFill>
                  <pic:spPr bwMode="auto">
                    <a:xfrm>
                      <a:off x="0" y="0"/>
                      <a:ext cx="5657850" cy="794385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53100" cy="8420100"/>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srcRect/>
                    <a:stretch>
                      <a:fillRect/>
                    </a:stretch>
                  </pic:blipFill>
                  <pic:spPr bwMode="auto">
                    <a:xfrm>
                      <a:off x="0" y="0"/>
                      <a:ext cx="5753100" cy="84201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67375" cy="8239125"/>
            <wp:effectExtent l="1905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srcRect/>
                    <a:stretch>
                      <a:fillRect/>
                    </a:stretch>
                  </pic:blipFill>
                  <pic:spPr bwMode="auto">
                    <a:xfrm>
                      <a:off x="0" y="0"/>
                      <a:ext cx="5667375" cy="823912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05475" cy="8229600"/>
            <wp:effectExtent l="1905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srcRect/>
                    <a:stretch>
                      <a:fillRect/>
                    </a:stretch>
                  </pic:blipFill>
                  <pic:spPr bwMode="auto">
                    <a:xfrm>
                      <a:off x="0" y="0"/>
                      <a:ext cx="5705475" cy="82296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76900" cy="8029575"/>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a:srcRect/>
                    <a:stretch>
                      <a:fillRect/>
                    </a:stretch>
                  </pic:blipFill>
                  <pic:spPr bwMode="auto">
                    <a:xfrm>
                      <a:off x="0" y="0"/>
                      <a:ext cx="5676900" cy="802957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95950" cy="8010525"/>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srcRect/>
                    <a:stretch>
                      <a:fillRect/>
                    </a:stretch>
                  </pic:blipFill>
                  <pic:spPr bwMode="auto">
                    <a:xfrm>
                      <a:off x="0" y="0"/>
                      <a:ext cx="5695950" cy="801052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86425" cy="8001000"/>
            <wp:effectExtent l="1905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srcRect/>
                    <a:stretch>
                      <a:fillRect/>
                    </a:stretch>
                  </pic:blipFill>
                  <pic:spPr bwMode="auto">
                    <a:xfrm>
                      <a:off x="0" y="0"/>
                      <a:ext cx="5686425" cy="8001000"/>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667375" cy="7915275"/>
            <wp:effectExtent l="1905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srcRect/>
                    <a:stretch>
                      <a:fillRect/>
                    </a:stretch>
                  </pic:blipFill>
                  <pic:spPr bwMode="auto">
                    <a:xfrm>
                      <a:off x="0" y="0"/>
                      <a:ext cx="5667375" cy="7915275"/>
                    </a:xfrm>
                    <a:prstGeom prst="rect">
                      <a:avLst/>
                    </a:prstGeom>
                    <a:noFill/>
                    <a:ln w="9525">
                      <a:noFill/>
                      <a:miter lim="800000"/>
                      <a:headEnd/>
                      <a:tailEnd/>
                    </a:ln>
                  </pic:spPr>
                </pic:pic>
              </a:graphicData>
            </a:graphic>
          </wp:inline>
        </w:drawing>
      </w: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3C1F7D" w:rsidP="003C1F7D">
      <w:pPr>
        <w:rPr>
          <w:lang w:val="en-US"/>
        </w:rPr>
      </w:pPr>
    </w:p>
    <w:p w:rsidR="003C1F7D" w:rsidRDefault="00A63DB3" w:rsidP="003C1F7D">
      <w:pPr>
        <w:rPr>
          <w:lang w:val="en-US"/>
        </w:rPr>
      </w:pPr>
      <w:r>
        <w:rPr>
          <w:noProof/>
        </w:rPr>
        <w:lastRenderedPageBreak/>
        <w:drawing>
          <wp:inline distT="0" distB="0" distL="0" distR="0">
            <wp:extent cx="5753100" cy="8029575"/>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srcRect/>
                    <a:stretch>
                      <a:fillRect/>
                    </a:stretch>
                  </pic:blipFill>
                  <pic:spPr bwMode="auto">
                    <a:xfrm>
                      <a:off x="0" y="0"/>
                      <a:ext cx="5753100" cy="8029575"/>
                    </a:xfrm>
                    <a:prstGeom prst="rect">
                      <a:avLst/>
                    </a:prstGeom>
                    <a:noFill/>
                    <a:ln w="9525">
                      <a:noFill/>
                      <a:miter lim="800000"/>
                      <a:headEnd/>
                      <a:tailEnd/>
                    </a:ln>
                  </pic:spPr>
                </pic:pic>
              </a:graphicData>
            </a:graphic>
          </wp:inline>
        </w:drawing>
      </w:r>
    </w:p>
    <w:p w:rsidR="00695E5A" w:rsidRDefault="00695E5A" w:rsidP="003C1F7D">
      <w:pPr>
        <w:rPr>
          <w:lang w:val="en-US"/>
        </w:rPr>
      </w:pPr>
    </w:p>
    <w:p w:rsidR="00695E5A" w:rsidRDefault="00695E5A" w:rsidP="003C1F7D">
      <w:pPr>
        <w:rPr>
          <w:lang w:val="en-US"/>
        </w:rPr>
      </w:pPr>
    </w:p>
    <w:p w:rsidR="00695E5A" w:rsidRDefault="00695E5A" w:rsidP="003C1F7D">
      <w:pPr>
        <w:rPr>
          <w:lang w:val="en-US"/>
        </w:rPr>
      </w:pPr>
    </w:p>
    <w:p w:rsidR="00695E5A" w:rsidRDefault="00695E5A" w:rsidP="003C1F7D">
      <w:pPr>
        <w:rPr>
          <w:lang w:val="en-US"/>
        </w:rPr>
      </w:pPr>
    </w:p>
    <w:p w:rsidR="00695E5A" w:rsidRDefault="00695E5A" w:rsidP="003C1F7D">
      <w:pPr>
        <w:rPr>
          <w:lang w:val="en-US"/>
        </w:rPr>
      </w:pPr>
    </w:p>
    <w:p w:rsidR="00695E5A" w:rsidRDefault="00695E5A" w:rsidP="003C1F7D">
      <w:pPr>
        <w:rPr>
          <w:lang w:val="en-US"/>
        </w:rPr>
      </w:pPr>
    </w:p>
    <w:p w:rsidR="003C1F7D" w:rsidRDefault="00A63DB3" w:rsidP="003C1F7D">
      <w:pPr>
        <w:rPr>
          <w:lang w:val="en-US"/>
        </w:rPr>
      </w:pPr>
      <w:r>
        <w:rPr>
          <w:noProof/>
        </w:rPr>
        <w:lastRenderedPageBreak/>
        <w:drawing>
          <wp:inline distT="0" distB="0" distL="0" distR="0">
            <wp:extent cx="5734050" cy="7972425"/>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a:srcRect/>
                    <a:stretch>
                      <a:fillRect/>
                    </a:stretch>
                  </pic:blipFill>
                  <pic:spPr bwMode="auto">
                    <a:xfrm>
                      <a:off x="0" y="0"/>
                      <a:ext cx="5734050" cy="7972425"/>
                    </a:xfrm>
                    <a:prstGeom prst="rect">
                      <a:avLst/>
                    </a:prstGeom>
                    <a:noFill/>
                    <a:ln w="9525">
                      <a:noFill/>
                      <a:miter lim="800000"/>
                      <a:headEnd/>
                      <a:tailEnd/>
                    </a:ln>
                  </pic:spPr>
                </pic:pic>
              </a:graphicData>
            </a:graphic>
          </wp:inline>
        </w:drawing>
      </w:r>
    </w:p>
    <w:p w:rsidR="003C1F7D" w:rsidRPr="003C1F7D" w:rsidRDefault="003C1F7D" w:rsidP="003C1F7D">
      <w:pPr>
        <w:rPr>
          <w:lang w:val="en-US"/>
        </w:rPr>
      </w:pPr>
    </w:p>
    <w:sectPr w:rsidR="003C1F7D" w:rsidRPr="003C1F7D">
      <w:footerReference w:type="default" r:id="rId34"/>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6D2B" w:rsidRDefault="00B26D2B">
      <w:pPr>
        <w:spacing w:before="0" w:after="0"/>
      </w:pPr>
      <w:r>
        <w:separator/>
      </w:r>
    </w:p>
  </w:endnote>
  <w:endnote w:type="continuationSeparator" w:id="1">
    <w:p w:rsidR="00B26D2B" w:rsidRDefault="00B26D2B">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4574" w:rsidRDefault="000C4574">
    <w:pPr>
      <w:framePr w:wrap="auto" w:hAnchor="text" w:xAlign="right"/>
      <w:spacing w:before="0" w:after="0"/>
    </w:pPr>
    <w:fldSimple w:instr="PAGE">
      <w:r w:rsidR="00A63DB3">
        <w:rPr>
          <w:noProof/>
        </w:rPr>
        <w:t>102</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6D2B" w:rsidRDefault="00B26D2B">
      <w:pPr>
        <w:spacing w:before="0" w:after="0"/>
      </w:pPr>
      <w:r>
        <w:separator/>
      </w:r>
    </w:p>
  </w:footnote>
  <w:footnote w:type="continuationSeparator" w:id="1">
    <w:p w:rsidR="00B26D2B" w:rsidRDefault="00B26D2B">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C4574"/>
    <w:rsid w:val="000C4574"/>
    <w:rsid w:val="00335BCB"/>
    <w:rsid w:val="003C1F7D"/>
    <w:rsid w:val="00515625"/>
    <w:rsid w:val="00695E5A"/>
    <w:rsid w:val="007C30DD"/>
    <w:rsid w:val="00802BF2"/>
    <w:rsid w:val="00810DC3"/>
    <w:rsid w:val="008A4729"/>
    <w:rsid w:val="00A63DB3"/>
    <w:rsid w:val="00A960AD"/>
    <w:rsid w:val="00B26D2B"/>
    <w:rsid w:val="00B6703A"/>
    <w:rsid w:val="00F218E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pPr>
    <w:rPr>
      <w:rFonts w:ascii="Times New Roman" w:hAnsi="Times New Roman"/>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heme="majorBidi"/>
      <w:b/>
      <w:bCs/>
      <w:i/>
      <w:iCs/>
      <w:sz w:val="28"/>
      <w:szCs w:val="28"/>
    </w:rPr>
  </w:style>
  <w:style w:type="paragraph" w:customStyle="1" w:styleId="SubHeading">
    <w:name w:val="Sub Heading"/>
    <w:uiPriority w:val="99"/>
    <w:pPr>
      <w:widowControl w:val="0"/>
      <w:autoSpaceDE w:val="0"/>
      <w:autoSpaceDN w:val="0"/>
      <w:adjustRightInd w:val="0"/>
      <w:spacing w:before="240" w:after="40"/>
    </w:pPr>
    <w:rPr>
      <w:rFonts w:ascii="Times New Roman" w:hAnsi="Times New Roman"/>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pPr>
      <w:widowControl w:val="0"/>
      <w:autoSpaceDE w:val="0"/>
      <w:autoSpaceDN w:val="0"/>
      <w:adjustRightInd w:val="0"/>
    </w:pPr>
    <w:rPr>
      <w:rFonts w:ascii="Times New Roman" w:hAnsi="Times New Roman"/>
      <w:sz w:val="16"/>
      <w:szCs w:val="16"/>
    </w:rPr>
  </w:style>
  <w:style w:type="character" w:customStyle="1" w:styleId="Subst">
    <w:name w:val="Subst"/>
    <w:uiPriority w:val="99"/>
    <w:rPr>
      <w:b/>
      <w: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 Type="http://schemas.openxmlformats.org/officeDocument/2006/relationships/webSettings" Target="webSettings.xml"/><Relationship Id="rId21" Type="http://schemas.openxmlformats.org/officeDocument/2006/relationships/image" Target="media/image16.png"/><Relationship Id="rId34" Type="http://schemas.openxmlformats.org/officeDocument/2006/relationships/footer" Target="footer1.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103</Pages>
  <Words>28857</Words>
  <Characters>164485</Characters>
  <Application>Microsoft Office Word</Application>
  <DocSecurity>0</DocSecurity>
  <Lines>1370</Lines>
  <Paragraphs>385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192957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Vukolov_il</dc:creator>
  <cp:keywords/>
  <dc:description/>
  <cp:lastModifiedBy>Vukolov_il</cp:lastModifiedBy>
  <cp:revision>1</cp:revision>
  <cp:lastPrinted>2014-05-15T05:32:00Z</cp:lastPrinted>
  <dcterms:created xsi:type="dcterms:W3CDTF">2014-05-15T11:28:00Z</dcterms:created>
  <dcterms:modified xsi:type="dcterms:W3CDTF">2014-05-15T11:38:00Z</dcterms:modified>
</cp:coreProperties>
</file>