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4362"/>
        <w:gridCol w:w="5246"/>
      </w:tblGrid>
      <w:tr w:rsidR="00642CDE">
        <w:trPr>
          <w:trHeight w:val="4247"/>
          <w:jc w:val="center"/>
        </w:trPr>
        <w:tc>
          <w:tcPr>
            <w:tcW w:w="4362" w:type="dxa"/>
          </w:tcPr>
          <w:p w:rsidR="00642CDE" w:rsidRDefault="006D0C79">
            <w:pPr>
              <w:pStyle w:val="affb"/>
              <w:widowControl w:val="0"/>
              <w:jc w:val="center"/>
              <w:rPr>
                <w:caps/>
                <w:sz w:val="24"/>
              </w:rPr>
            </w:pPr>
            <w:r>
              <w:rPr>
                <w:caps/>
                <w:sz w:val="24"/>
              </w:rPr>
              <w:t xml:space="preserve"> </w:t>
            </w:r>
          </w:p>
        </w:tc>
        <w:tc>
          <w:tcPr>
            <w:tcW w:w="5246" w:type="dxa"/>
          </w:tcPr>
          <w:p w:rsidR="00642CDE" w:rsidRDefault="006D0C79">
            <w:pPr>
              <w:widowControl w:val="0"/>
              <w:spacing w:after="0"/>
              <w:ind w:left="-90"/>
              <w:rPr>
                <w:b/>
                <w:sz w:val="24"/>
              </w:rPr>
            </w:pPr>
            <w:bookmarkStart w:id="0" w:name="bookmark4"/>
            <w:r>
              <w:rPr>
                <w:b/>
                <w:sz w:val="24"/>
              </w:rPr>
              <w:t>ПРЕДВАРИТЕЛЬНО УТВЕРЖДЕН:</w:t>
            </w:r>
            <w:bookmarkEnd w:id="0"/>
          </w:p>
          <w:p w:rsidR="00642CDE" w:rsidRDefault="006D0C79">
            <w:pPr>
              <w:widowControl w:val="0"/>
              <w:spacing w:after="0"/>
              <w:ind w:left="-90"/>
              <w:rPr>
                <w:sz w:val="24"/>
              </w:rPr>
            </w:pPr>
            <w:r>
              <w:rPr>
                <w:sz w:val="24"/>
              </w:rPr>
              <w:t xml:space="preserve">Советом директоров ПАО «СУС»   </w:t>
            </w:r>
          </w:p>
          <w:p w:rsidR="00642CDE" w:rsidRDefault="006D0C79">
            <w:pPr>
              <w:widowControl w:val="0"/>
              <w:spacing w:after="0"/>
              <w:ind w:left="-90"/>
              <w:rPr>
                <w:sz w:val="24"/>
              </w:rPr>
            </w:pPr>
            <w:r>
              <w:rPr>
                <w:sz w:val="24"/>
              </w:rPr>
              <w:t>Протокол № 09-2025 от «23» мая 2025 г.</w:t>
            </w:r>
          </w:p>
          <w:p w:rsidR="00642CDE" w:rsidRDefault="00642CDE">
            <w:pPr>
              <w:widowControl w:val="0"/>
              <w:spacing w:after="0"/>
              <w:rPr>
                <w:sz w:val="24"/>
              </w:rPr>
            </w:pPr>
          </w:p>
          <w:p w:rsidR="00642CDE" w:rsidRDefault="006D0C79">
            <w:pPr>
              <w:widowControl w:val="0"/>
              <w:spacing w:after="0"/>
              <w:ind w:left="-90"/>
              <w:rPr>
                <w:sz w:val="24"/>
              </w:rPr>
            </w:pPr>
            <w:r>
              <w:rPr>
                <w:sz w:val="24"/>
              </w:rPr>
              <w:t>Председатель Совета директоров</w:t>
            </w:r>
          </w:p>
          <w:p w:rsidR="00642CDE" w:rsidRDefault="006D0C79">
            <w:pPr>
              <w:widowControl w:val="0"/>
              <w:spacing w:after="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  <w:p w:rsidR="00642CDE" w:rsidRDefault="006D0C79">
            <w:pPr>
              <w:widowControl w:val="0"/>
              <w:spacing w:after="0"/>
              <w:ind w:left="-213" w:right="-266"/>
              <w:rPr>
                <w:sz w:val="24"/>
              </w:rPr>
            </w:pPr>
            <w:r>
              <w:rPr>
                <w:sz w:val="24"/>
              </w:rPr>
              <w:t xml:space="preserve"> _____________ /А.В. Глазырин/</w:t>
            </w:r>
          </w:p>
          <w:p w:rsidR="00642CDE" w:rsidRDefault="00642CDE">
            <w:pPr>
              <w:widowControl w:val="0"/>
              <w:spacing w:after="0"/>
              <w:jc w:val="both"/>
              <w:rPr>
                <w:sz w:val="24"/>
              </w:rPr>
            </w:pPr>
          </w:p>
        </w:tc>
      </w:tr>
      <w:tr w:rsidR="00642CDE">
        <w:trPr>
          <w:trHeight w:val="1288"/>
          <w:jc w:val="center"/>
        </w:trPr>
        <w:tc>
          <w:tcPr>
            <w:tcW w:w="9608" w:type="dxa"/>
            <w:gridSpan w:val="2"/>
            <w:tcBorders>
              <w:bottom w:val="double" w:sz="4" w:space="0" w:color="438086"/>
            </w:tcBorders>
            <w:vAlign w:val="bottom"/>
          </w:tcPr>
          <w:p w:rsidR="00642CDE" w:rsidRDefault="006D0C79">
            <w:pPr>
              <w:pStyle w:val="affb"/>
              <w:widowControl w:val="0"/>
              <w:spacing w:after="60"/>
              <w:jc w:val="center"/>
              <w:rPr>
                <w:rFonts w:ascii="Verdana" w:hAnsi="Verdana"/>
                <w:b/>
                <w:i/>
                <w:caps/>
                <w:sz w:val="24"/>
              </w:rPr>
            </w:pPr>
            <w:r>
              <w:rPr>
                <w:rFonts w:ascii="Verdana" w:hAnsi="Verdana"/>
                <w:b/>
                <w:i/>
                <w:caps/>
                <w:sz w:val="24"/>
              </w:rPr>
              <w:t>ПУБЛИЧНОЕ акционерное общество</w:t>
            </w:r>
          </w:p>
          <w:p w:rsidR="00642CDE" w:rsidRDefault="006D0C79">
            <w:pPr>
              <w:pStyle w:val="affb"/>
              <w:widowControl w:val="0"/>
              <w:spacing w:after="120"/>
              <w:jc w:val="center"/>
              <w:rPr>
                <w:rFonts w:ascii="Verdana" w:hAnsi="Verdana"/>
                <w:i/>
              </w:rPr>
            </w:pPr>
            <w:r>
              <w:rPr>
                <w:rFonts w:ascii="Verdana" w:hAnsi="Verdana"/>
                <w:b/>
                <w:i/>
                <w:caps/>
                <w:sz w:val="24"/>
              </w:rPr>
              <w:t>«северное управление строительства»</w:t>
            </w:r>
          </w:p>
        </w:tc>
      </w:tr>
      <w:tr w:rsidR="00642CDE">
        <w:trPr>
          <w:trHeight w:val="1440"/>
          <w:jc w:val="center"/>
        </w:trPr>
        <w:tc>
          <w:tcPr>
            <w:tcW w:w="9608" w:type="dxa"/>
            <w:gridSpan w:val="2"/>
            <w:tcBorders>
              <w:top w:val="double" w:sz="4" w:space="0" w:color="438086"/>
              <w:bottom w:val="double" w:sz="4" w:space="0" w:color="438086"/>
            </w:tcBorders>
            <w:shd w:val="clear" w:color="auto" w:fill="E2EFD9"/>
            <w:vAlign w:val="center"/>
          </w:tcPr>
          <w:p w:rsidR="00642CDE" w:rsidRDefault="006D0C79">
            <w:pPr>
              <w:pStyle w:val="affb"/>
              <w:widowControl w:val="0"/>
              <w:jc w:val="center"/>
              <w:rPr>
                <w:rFonts w:ascii="Verdana" w:hAnsi="Verdana"/>
                <w:i/>
                <w:shadow/>
                <w:sz w:val="80"/>
              </w:rPr>
            </w:pPr>
            <w:r>
              <w:rPr>
                <w:rFonts w:ascii="Verdana" w:hAnsi="Verdana"/>
                <w:i/>
                <w:shadow/>
                <w:sz w:val="80"/>
              </w:rPr>
              <w:t>ГОДОВОЙ ОТЧЕТ</w:t>
            </w:r>
          </w:p>
        </w:tc>
      </w:tr>
      <w:tr w:rsidR="00642CDE">
        <w:trPr>
          <w:trHeight w:val="720"/>
          <w:jc w:val="center"/>
        </w:trPr>
        <w:tc>
          <w:tcPr>
            <w:tcW w:w="9608" w:type="dxa"/>
            <w:gridSpan w:val="2"/>
            <w:tcBorders>
              <w:top w:val="double" w:sz="4" w:space="0" w:color="438086"/>
            </w:tcBorders>
            <w:vAlign w:val="center"/>
          </w:tcPr>
          <w:p w:rsidR="00642CDE" w:rsidRDefault="006D0C79">
            <w:pPr>
              <w:pStyle w:val="affb"/>
              <w:widowControl w:val="0"/>
              <w:jc w:val="center"/>
              <w:rPr>
                <w:rFonts w:ascii="Verdana" w:hAnsi="Verdana"/>
                <w:i/>
                <w:sz w:val="52"/>
              </w:rPr>
            </w:pPr>
            <w:r>
              <w:rPr>
                <w:rFonts w:ascii="Verdana" w:hAnsi="Verdana"/>
                <w:i/>
                <w:sz w:val="52"/>
              </w:rPr>
              <w:t xml:space="preserve">за </w:t>
            </w:r>
            <w:r>
              <w:rPr>
                <w:rFonts w:ascii="Verdana" w:hAnsi="Verdana"/>
                <w:i/>
                <w:sz w:val="52"/>
              </w:rPr>
              <w:t>2024 год</w:t>
            </w:r>
          </w:p>
        </w:tc>
      </w:tr>
      <w:tr w:rsidR="00642CDE">
        <w:trPr>
          <w:trHeight w:val="360"/>
          <w:jc w:val="center"/>
        </w:trPr>
        <w:tc>
          <w:tcPr>
            <w:tcW w:w="9608" w:type="dxa"/>
            <w:gridSpan w:val="2"/>
            <w:vAlign w:val="center"/>
          </w:tcPr>
          <w:p w:rsidR="00642CDE" w:rsidRDefault="00642CDE">
            <w:pPr>
              <w:pStyle w:val="affb"/>
              <w:widowControl w:val="0"/>
              <w:jc w:val="center"/>
            </w:pPr>
          </w:p>
        </w:tc>
      </w:tr>
      <w:tr w:rsidR="00642CDE">
        <w:trPr>
          <w:trHeight w:val="360"/>
          <w:jc w:val="center"/>
        </w:trPr>
        <w:tc>
          <w:tcPr>
            <w:tcW w:w="9608" w:type="dxa"/>
            <w:gridSpan w:val="2"/>
            <w:vAlign w:val="center"/>
          </w:tcPr>
          <w:p w:rsidR="00642CDE" w:rsidRDefault="00642CDE">
            <w:pPr>
              <w:pStyle w:val="affb"/>
              <w:widowControl w:val="0"/>
              <w:jc w:val="center"/>
              <w:rPr>
                <w:b/>
              </w:rPr>
            </w:pPr>
          </w:p>
        </w:tc>
      </w:tr>
      <w:tr w:rsidR="00642CDE">
        <w:trPr>
          <w:trHeight w:val="360"/>
          <w:jc w:val="center"/>
        </w:trPr>
        <w:tc>
          <w:tcPr>
            <w:tcW w:w="9608" w:type="dxa"/>
            <w:gridSpan w:val="2"/>
            <w:vAlign w:val="center"/>
          </w:tcPr>
          <w:p w:rsidR="00642CDE" w:rsidRDefault="00642CDE">
            <w:pPr>
              <w:pStyle w:val="affb"/>
              <w:widowControl w:val="0"/>
              <w:jc w:val="center"/>
              <w:rPr>
                <w:b/>
              </w:rPr>
            </w:pPr>
          </w:p>
        </w:tc>
      </w:tr>
    </w:tbl>
    <w:p w:rsidR="00642CDE" w:rsidRDefault="006D0C79">
      <w:pPr>
        <w:pStyle w:val="500"/>
        <w:tabs>
          <w:tab w:val="left" w:pos="6865"/>
        </w:tabs>
        <w:spacing w:before="0" w:line="240" w:lineRule="auto"/>
        <w:ind w:left="0" w:firstLine="0"/>
        <w:jc w:val="left"/>
        <w:rPr>
          <w:sz w:val="24"/>
        </w:rPr>
      </w:pPr>
      <w:r>
        <w:rPr>
          <w:i/>
          <w:sz w:val="28"/>
        </w:rPr>
        <w:t>Место нахождения общества:</w:t>
      </w:r>
      <w:r>
        <w:rPr>
          <w:sz w:val="28"/>
        </w:rPr>
        <w:t xml:space="preserve"> </w:t>
      </w:r>
      <w:r>
        <w:rPr>
          <w:rStyle w:val="2f0"/>
          <w:sz w:val="28"/>
        </w:rPr>
        <w:t>188540, Российская Федерация, Ленинградская область, г. Сосновый Бор, ул. Ленинградская, д. 7</w:t>
      </w:r>
      <w:r>
        <w:rPr>
          <w:sz w:val="24"/>
        </w:rPr>
        <w:t xml:space="preserve"> </w:t>
      </w:r>
    </w:p>
    <w:p w:rsidR="00642CDE" w:rsidRDefault="00642CDE">
      <w:pPr>
        <w:pStyle w:val="500"/>
        <w:tabs>
          <w:tab w:val="left" w:pos="6865"/>
        </w:tabs>
        <w:spacing w:before="0" w:line="902" w:lineRule="exact"/>
        <w:ind w:left="740" w:firstLine="0"/>
        <w:rPr>
          <w:sz w:val="24"/>
        </w:rPr>
      </w:pPr>
    </w:p>
    <w:p w:rsidR="00642CDE" w:rsidRDefault="00642CDE">
      <w:pPr>
        <w:pStyle w:val="500"/>
        <w:tabs>
          <w:tab w:val="left" w:pos="6865"/>
        </w:tabs>
        <w:spacing w:before="0" w:line="902" w:lineRule="exact"/>
        <w:ind w:left="740" w:firstLine="0"/>
        <w:rPr>
          <w:sz w:val="24"/>
        </w:rPr>
      </w:pPr>
    </w:p>
    <w:p w:rsidR="00642CDE" w:rsidRDefault="006D0C79">
      <w:pPr>
        <w:pStyle w:val="500"/>
        <w:tabs>
          <w:tab w:val="left" w:pos="6865"/>
        </w:tabs>
        <w:spacing w:before="0" w:line="240" w:lineRule="auto"/>
        <w:ind w:left="0" w:firstLine="0"/>
        <w:jc w:val="center"/>
      </w:pPr>
      <w:r>
        <w:rPr>
          <w:sz w:val="24"/>
        </w:rPr>
        <w:t>Генеральный директор _________________</w:t>
      </w:r>
      <w:r>
        <w:rPr>
          <w:b/>
        </w:rPr>
        <w:t xml:space="preserve"> </w:t>
      </w:r>
      <w:r>
        <w:t xml:space="preserve">Е. А. Яценко </w:t>
      </w:r>
    </w:p>
    <w:p w:rsidR="00642CDE" w:rsidRDefault="00642CDE">
      <w:pPr>
        <w:widowControl w:val="0"/>
        <w:spacing w:after="0" w:line="240" w:lineRule="auto"/>
        <w:jc w:val="center"/>
      </w:pPr>
    </w:p>
    <w:p w:rsidR="00642CDE" w:rsidRDefault="00642CDE">
      <w:pPr>
        <w:widowControl w:val="0"/>
        <w:spacing w:after="0" w:line="240" w:lineRule="auto"/>
        <w:jc w:val="center"/>
      </w:pPr>
    </w:p>
    <w:p w:rsidR="00642CDE" w:rsidRDefault="00642CDE">
      <w:pPr>
        <w:widowControl w:val="0"/>
        <w:spacing w:after="0" w:line="240" w:lineRule="auto"/>
        <w:jc w:val="center"/>
      </w:pPr>
    </w:p>
    <w:p w:rsidR="00642CDE" w:rsidRDefault="00642CDE">
      <w:pPr>
        <w:widowControl w:val="0"/>
        <w:spacing w:after="0" w:line="240" w:lineRule="auto"/>
        <w:jc w:val="center"/>
      </w:pPr>
    </w:p>
    <w:p w:rsidR="00642CDE" w:rsidRDefault="00642CDE">
      <w:pPr>
        <w:widowControl w:val="0"/>
        <w:spacing w:after="0" w:line="240" w:lineRule="auto"/>
        <w:jc w:val="center"/>
      </w:pPr>
    </w:p>
    <w:p w:rsidR="00642CDE" w:rsidRDefault="006D0C79">
      <w:pPr>
        <w:spacing w:after="918" w:line="210" w:lineRule="exact"/>
        <w:ind w:left="100"/>
        <w:jc w:val="center"/>
        <w:rPr>
          <w:sz w:val="24"/>
        </w:rPr>
      </w:pPr>
      <w:r>
        <w:rPr>
          <w:sz w:val="24"/>
        </w:rPr>
        <w:t>2025 год</w:t>
      </w:r>
    </w:p>
    <w:p w:rsidR="00642CDE" w:rsidRDefault="006D0C79">
      <w:pPr>
        <w:spacing w:after="918" w:line="210" w:lineRule="exact"/>
        <w:ind w:left="100"/>
        <w:jc w:val="center"/>
        <w:rPr>
          <w:rFonts w:ascii="Verdana" w:hAnsi="Verdana"/>
          <w:b/>
          <w:color w:val="538135"/>
          <w:sz w:val="24"/>
        </w:rPr>
      </w:pPr>
      <w:r>
        <w:rPr>
          <w:sz w:val="24"/>
        </w:rPr>
        <w:br w:type="page"/>
      </w:r>
      <w:r>
        <w:rPr>
          <w:sz w:val="24"/>
        </w:rPr>
        <w:lastRenderedPageBreak/>
        <w:br w:type="page"/>
      </w:r>
    </w:p>
    <w:p w:rsidR="00642CDE" w:rsidRDefault="006D0C79">
      <w:pPr>
        <w:rPr>
          <w:rFonts w:ascii="Verdana" w:hAnsi="Verdana"/>
          <w:b/>
          <w:i/>
          <w:color w:val="438086"/>
          <w:sz w:val="32"/>
        </w:rPr>
      </w:pPr>
      <w:r>
        <w:rPr>
          <w:rFonts w:ascii="Verdana" w:hAnsi="Verdana"/>
          <w:b/>
          <w:i/>
          <w:color w:val="438086"/>
          <w:sz w:val="32"/>
        </w:rPr>
        <w:lastRenderedPageBreak/>
        <w:t>Оглавление</w:t>
      </w:r>
      <w:bookmarkStart w:id="1" w:name="_GoBack"/>
      <w:bookmarkEnd w:id="1"/>
    </w:p>
    <w:p w:rsidR="00642CDE" w:rsidRDefault="006D0C79">
      <w:pPr>
        <w:pStyle w:val="34"/>
        <w:tabs>
          <w:tab w:val="clear" w:pos="800"/>
        </w:tabs>
      </w:pPr>
      <w:r>
        <w:fldChar w:fldCharType="begin"/>
      </w:r>
      <w:r>
        <w:instrText>TOC \h \z \u \o "1-3" \t "heading 1,1,heading 2,2,heading 3,3"</w:instrText>
      </w:r>
      <w:r>
        <w:fldChar w:fldCharType="separate"/>
      </w:r>
      <w:hyperlink w:anchor="__RefHeading___1" w:history="1">
        <w:r>
          <w:t>Раздел 1. Информация о годовом отчете</w:t>
        </w:r>
        <w:r>
          <w:tab/>
        </w:r>
        <w:r>
          <w:fldChar w:fldCharType="begin"/>
        </w:r>
        <w:r>
          <w:instrText>PAGEREF __RefHeading___1 \h</w:instrText>
        </w:r>
        <w:r>
          <w:fldChar w:fldCharType="separate"/>
        </w:r>
        <w:r>
          <w:t>4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2" w:history="1">
        <w:r>
          <w:t>Раздел 2. Общие сведения об Обществе</w:t>
        </w:r>
        <w:r>
          <w:tab/>
        </w:r>
        <w:r>
          <w:fldChar w:fldCharType="begin"/>
        </w:r>
        <w:r>
          <w:instrText>PAGEREF __RefHeading___2 \h</w:instrText>
        </w:r>
        <w:r>
          <w:fldChar w:fldCharType="separate"/>
        </w:r>
        <w:r>
          <w:t>4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3" w:history="1">
        <w:r>
          <w:t>Раздел 3.  Положение акционерного общества в отрасли</w:t>
        </w:r>
        <w:r>
          <w:tab/>
        </w:r>
        <w:r>
          <w:fldChar w:fldCharType="begin"/>
        </w:r>
        <w:r>
          <w:instrText xml:space="preserve">PAGEREF __RefHeading___3 </w:instrText>
        </w:r>
        <w:r>
          <w:instrText>\h</w:instrText>
        </w:r>
        <w:r>
          <w:fldChar w:fldCharType="separate"/>
        </w:r>
        <w:r>
          <w:t>5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4" w:history="1">
        <w:r>
          <w:t>Раздел 4. Приоритетные направления деятельности общества</w:t>
        </w:r>
        <w:r>
          <w:tab/>
        </w:r>
        <w:r>
          <w:fldChar w:fldCharType="begin"/>
        </w:r>
        <w:r>
          <w:instrText>PAGEREF __RefHeading___4 \h</w:instrText>
        </w:r>
        <w:r>
          <w:fldChar w:fldCharType="separate"/>
        </w:r>
        <w:r>
          <w:t>8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5" w:history="1">
        <w:r>
          <w:t>Раздел 5. Отчет совета директоров о результатах развития общества по приоритетным направлениям его деятельности</w:t>
        </w:r>
        <w:r>
          <w:tab/>
        </w:r>
        <w:r>
          <w:fldChar w:fldCharType="begin"/>
        </w:r>
        <w:r>
          <w:instrText>PAGEREF __RefHeading___5 \h</w:instrText>
        </w:r>
        <w:r>
          <w:fldChar w:fldCharType="separate"/>
        </w:r>
        <w:r>
          <w:t>9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6" w:history="1">
        <w:r>
          <w:t>Раздел 6. Перспективы развития общества</w:t>
        </w:r>
        <w:r>
          <w:tab/>
        </w:r>
        <w:r>
          <w:fldChar w:fldCharType="begin"/>
        </w:r>
        <w:r>
          <w:instrText>PAGEREF __RefHeading___6 \h</w:instrText>
        </w:r>
        <w:r>
          <w:fldChar w:fldCharType="separate"/>
        </w:r>
        <w:r>
          <w:t>12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7" w:history="1">
        <w:r>
          <w:t>Раздел 7. Информация об объеме использованных обще</w:t>
        </w:r>
        <w:r>
          <w:t>ством за отчетный год видов энергетических ресурсов в натуральном и денежном выражении</w:t>
        </w:r>
        <w:r>
          <w:tab/>
        </w:r>
        <w:r>
          <w:fldChar w:fldCharType="begin"/>
        </w:r>
        <w:r>
          <w:instrText>PAGEREF __RefHeading___7 \h</w:instrText>
        </w:r>
        <w:r>
          <w:fldChar w:fldCharType="separate"/>
        </w:r>
        <w:r>
          <w:t>14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8" w:history="1">
        <w:r>
          <w:t>Раздел 8. Сведения о выплате объяв</w:t>
        </w:r>
        <w:r>
          <w:t>ленных (начисленных) дивидендов по акциям общества</w:t>
        </w:r>
        <w:r>
          <w:tab/>
        </w:r>
        <w:r>
          <w:fldChar w:fldCharType="begin"/>
        </w:r>
        <w:r>
          <w:instrText>PAGEREF __RefHeading___8 \h</w:instrText>
        </w:r>
        <w:r>
          <w:fldChar w:fldCharType="separate"/>
        </w:r>
        <w:r>
          <w:t>14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9" w:history="1">
        <w:r>
          <w:t>Раздел 9. Основные факторы риска, связанные с деятельностью общества</w:t>
        </w:r>
        <w:r>
          <w:tab/>
        </w:r>
        <w:r>
          <w:fldChar w:fldCharType="begin"/>
        </w:r>
        <w:r>
          <w:instrText>P</w:instrText>
        </w:r>
        <w:r>
          <w:instrText>AGEREF __RefHeading___9 \h</w:instrText>
        </w:r>
        <w:r>
          <w:fldChar w:fldCharType="separate"/>
        </w:r>
        <w:r>
          <w:t>14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10" w:history="1">
        <w:r>
          <w:t>Раздел 10. Сведения о совершенных обществом в отчетном году крупных сделках и сделках с заинтересованностью</w:t>
        </w:r>
        <w:r>
          <w:tab/>
        </w:r>
        <w:r>
          <w:fldChar w:fldCharType="begin"/>
        </w:r>
        <w:r>
          <w:instrText xml:space="preserve">PAGEREF </w:instrText>
        </w:r>
        <w:r>
          <w:instrText>__RefHeading___10 \h</w:instrText>
        </w:r>
        <w:r>
          <w:fldChar w:fldCharType="separate"/>
        </w:r>
        <w:r>
          <w:t>15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11" w:history="1">
        <w:r>
          <w:t>Раздел 11. Сведения о совете директоров</w:t>
        </w:r>
        <w:r>
          <w:tab/>
        </w:r>
        <w:r>
          <w:fldChar w:fldCharType="begin"/>
        </w:r>
        <w:r>
          <w:instrText>PAGEREF __RefHeading___11 \h</w:instrText>
        </w:r>
        <w:r>
          <w:fldChar w:fldCharType="separate"/>
        </w:r>
        <w:r>
          <w:t>15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12" w:history="1">
        <w:r>
          <w:t>Раздел 12. Сведения о директоре</w:t>
        </w:r>
        <w:r>
          <w:tab/>
        </w:r>
        <w:r>
          <w:fldChar w:fldCharType="begin"/>
        </w:r>
        <w:r>
          <w:instrText>PAGEREF __RefHeading___12 \h</w:instrText>
        </w:r>
        <w:r>
          <w:fldChar w:fldCharType="separate"/>
        </w:r>
        <w:r>
          <w:t>17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13" w:history="1">
        <w:r>
          <w:t>Раздел 13. Состояние чистых активо</w:t>
        </w:r>
        <w:r>
          <w:t>в общества</w:t>
        </w:r>
        <w:r>
          <w:tab/>
        </w:r>
        <w:r>
          <w:fldChar w:fldCharType="begin"/>
        </w:r>
        <w:r>
          <w:instrText>PAGEREF __RefHeading___13 \h</w:instrText>
        </w:r>
        <w:r>
          <w:fldChar w:fldCharType="separate"/>
        </w:r>
        <w:r>
          <w:t>18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14" w:history="1">
        <w:r>
          <w:t>Раздел 14. Основные положения политики общества в области вознаграждения и компенсации расходов, а также инф</w:t>
        </w:r>
        <w:r>
          <w:t>ормация по всем выплатам органам управления</w:t>
        </w:r>
        <w:r>
          <w:tab/>
        </w:r>
        <w:r>
          <w:fldChar w:fldCharType="begin"/>
        </w:r>
        <w:r>
          <w:instrText>PAGEREF __RefHeading___14 \h</w:instrText>
        </w:r>
        <w:r>
          <w:fldChar w:fldCharType="separate"/>
        </w:r>
        <w:r>
          <w:t>20</w:t>
        </w:r>
        <w:r>
          <w:fldChar w:fldCharType="end"/>
        </w:r>
      </w:hyperlink>
    </w:p>
    <w:p w:rsidR="00642CDE" w:rsidRDefault="006D0C79">
      <w:pPr>
        <w:pStyle w:val="34"/>
        <w:tabs>
          <w:tab w:val="clear" w:pos="800"/>
        </w:tabs>
      </w:pPr>
      <w:hyperlink w:anchor="__RefHeading___15" w:history="1">
        <w:r>
          <w:t>Раздел 15. Сведения о соблюдении Кодекса корпоративного управления</w:t>
        </w:r>
        <w:r>
          <w:tab/>
        </w:r>
        <w:r>
          <w:fldChar w:fldCharType="begin"/>
        </w:r>
        <w:r>
          <w:instrText>PAGEREF</w:instrText>
        </w:r>
        <w:r>
          <w:instrText xml:space="preserve"> __RefHeading___15 \h</w:instrText>
        </w:r>
        <w:r>
          <w:fldChar w:fldCharType="separate"/>
        </w:r>
        <w:r>
          <w:t>20</w:t>
        </w:r>
        <w:r>
          <w:fldChar w:fldCharType="end"/>
        </w:r>
      </w:hyperlink>
    </w:p>
    <w:p w:rsidR="00642CDE" w:rsidRDefault="006D0C79">
      <w:r>
        <w:fldChar w:fldCharType="end"/>
      </w:r>
      <w:r>
        <w:br w:type="page"/>
      </w:r>
    </w:p>
    <w:p w:rsidR="00642CDE" w:rsidRDefault="00642CDE">
      <w:pPr>
        <w:spacing w:after="0" w:line="317" w:lineRule="exact"/>
        <w:ind w:right="60" w:firstLine="567"/>
        <w:jc w:val="both"/>
        <w:rPr>
          <w:rFonts w:ascii="Calibri" w:hAnsi="Calibri"/>
        </w:rPr>
      </w:pPr>
    </w:p>
    <w:p w:rsidR="00642CDE" w:rsidRDefault="006D0C79">
      <w:pPr>
        <w:pStyle w:val="30"/>
        <w:ind w:firstLine="567"/>
        <w:rPr>
          <w:rFonts w:ascii="Times New Roman" w:hAnsi="Times New Roman"/>
          <w:color w:val="254061"/>
        </w:rPr>
      </w:pPr>
      <w:bookmarkStart w:id="2" w:name="__RefHeading___1"/>
      <w:bookmarkEnd w:id="2"/>
      <w:r>
        <w:rPr>
          <w:rFonts w:ascii="Times New Roman" w:hAnsi="Times New Roman"/>
          <w:color w:val="254061"/>
          <w:sz w:val="28"/>
        </w:rPr>
        <w:t>Раздел 1. Информация о годовом отчете</w:t>
      </w:r>
    </w:p>
    <w:p w:rsidR="00642CDE" w:rsidRDefault="006D0C79">
      <w:pPr>
        <w:spacing w:after="0" w:line="240" w:lineRule="auto"/>
        <w:ind w:firstLine="284"/>
        <w:jc w:val="both"/>
        <w:rPr>
          <w:sz w:val="24"/>
        </w:rPr>
      </w:pPr>
      <w:r>
        <w:rPr>
          <w:sz w:val="24"/>
        </w:rPr>
        <w:t xml:space="preserve">Во исполнение </w:t>
      </w:r>
      <w:hyperlink r:id="rId7" w:history="1">
        <w:r>
          <w:rPr>
            <w:color w:val="0000FF"/>
            <w:sz w:val="24"/>
          </w:rPr>
          <w:t>п. п. 3</w:t>
        </w:r>
      </w:hyperlink>
      <w:r>
        <w:rPr>
          <w:sz w:val="24"/>
        </w:rPr>
        <w:t xml:space="preserve">, </w:t>
      </w:r>
      <w:hyperlink r:id="rId8" w:history="1">
        <w:r>
          <w:rPr>
            <w:color w:val="0000FF"/>
            <w:sz w:val="24"/>
          </w:rPr>
          <w:t>4 ст. 88</w:t>
        </w:r>
      </w:hyperlink>
      <w:r>
        <w:rPr>
          <w:sz w:val="24"/>
        </w:rPr>
        <w:t xml:space="preserve"> Закона об АО в о</w:t>
      </w:r>
      <w:r>
        <w:rPr>
          <w:sz w:val="24"/>
        </w:rPr>
        <w:t>тношении годового отчета Публичного акционерного общества «Северное управление строительства» произведены следующие действия:</w:t>
      </w:r>
    </w:p>
    <w:p w:rsidR="00642CDE" w:rsidRDefault="006D0C79">
      <w:pPr>
        <w:numPr>
          <w:ilvl w:val="0"/>
          <w:numId w:val="1"/>
        </w:numPr>
        <w:spacing w:before="210" w:after="0"/>
        <w:ind w:left="567" w:hanging="437"/>
        <w:jc w:val="both"/>
        <w:rPr>
          <w:sz w:val="24"/>
        </w:rPr>
      </w:pPr>
      <w:r>
        <w:rPr>
          <w:rFonts w:ascii="Calibri" w:hAnsi="Calibri"/>
          <w:sz w:val="24"/>
          <w:highlight w:val="white"/>
        </w:rPr>
        <w:t xml:space="preserve"> </w:t>
      </w:r>
      <w:r>
        <w:rPr>
          <w:sz w:val="24"/>
        </w:rPr>
        <w:t xml:space="preserve">Достоверность данных, содержащихся в годовом отчете и годовой бухгалтерской (финансовой) отчетности общества,  подтверждена </w:t>
      </w:r>
      <w:r>
        <w:rPr>
          <w:sz w:val="24"/>
        </w:rPr>
        <w:t>ревизионной комиссией общества,</w:t>
      </w:r>
    </w:p>
    <w:p w:rsidR="00642CDE" w:rsidRDefault="006D0C79">
      <w:pPr>
        <w:spacing w:after="0"/>
        <w:ind w:left="567" w:hanging="425"/>
        <w:jc w:val="both"/>
        <w:rPr>
          <w:sz w:val="24"/>
        </w:rPr>
      </w:pPr>
      <w:r>
        <w:rPr>
          <w:sz w:val="24"/>
        </w:rPr>
        <w:t xml:space="preserve">       Подтверждение бухгалтерской (финансовой) отчетности за 2024 г..осуществлено аудиторским заключением независимого аудитора по результатам проверки от 21.03.2025.</w:t>
      </w:r>
    </w:p>
    <w:p w:rsidR="00642CDE" w:rsidRDefault="006D0C79">
      <w:pPr>
        <w:numPr>
          <w:ilvl w:val="0"/>
          <w:numId w:val="1"/>
        </w:numPr>
        <w:jc w:val="both"/>
        <w:rPr>
          <w:sz w:val="24"/>
        </w:rPr>
      </w:pPr>
      <w:r>
        <w:rPr>
          <w:sz w:val="24"/>
        </w:rPr>
        <w:t xml:space="preserve">Годовой отчет ПАО «СУС» предварительно утвержден </w:t>
      </w:r>
      <w:r>
        <w:rPr>
          <w:sz w:val="24"/>
        </w:rPr>
        <w:t>решением совета директоров общества (протокол № 09-2025 от 23.05.2025 г.). </w:t>
      </w:r>
      <w:r>
        <w:rPr>
          <w:sz w:val="24"/>
        </w:rPr>
        <w:t>  </w:t>
      </w:r>
    </w:p>
    <w:p w:rsidR="00642CDE" w:rsidRDefault="006D0C79">
      <w:pPr>
        <w:pStyle w:val="500"/>
        <w:spacing w:before="0" w:line="317" w:lineRule="exact"/>
        <w:ind w:left="0" w:right="20" w:firstLine="567"/>
        <w:jc w:val="both"/>
        <w:rPr>
          <w:sz w:val="24"/>
        </w:rPr>
      </w:pPr>
      <w:r>
        <w:rPr>
          <w:sz w:val="24"/>
        </w:rPr>
        <w:t>Настоящий годовой отчет подготовлен с использованием информации, доступной Публичному акционерному обществу «Северное управление строительства» (далее - Общество) на момент его с</w:t>
      </w:r>
      <w:r>
        <w:rPr>
          <w:sz w:val="24"/>
        </w:rPr>
        <w:t>оставления.</w:t>
      </w:r>
    </w:p>
    <w:p w:rsidR="00642CDE" w:rsidRDefault="006D0C79">
      <w:pPr>
        <w:pStyle w:val="500"/>
        <w:tabs>
          <w:tab w:val="left" w:pos="8082"/>
        </w:tabs>
        <w:spacing w:before="0" w:line="240" w:lineRule="auto"/>
        <w:ind w:left="0" w:firstLine="426"/>
        <w:jc w:val="both"/>
        <w:rPr>
          <w:sz w:val="24"/>
        </w:rPr>
      </w:pPr>
      <w:r>
        <w:rPr>
          <w:sz w:val="24"/>
        </w:rPr>
        <w:t xml:space="preserve">   Годовой отчет ПАО «СУС» будет опубликован на сайте: http://disclosure.1prime.ru/.</w:t>
      </w:r>
    </w:p>
    <w:p w:rsidR="00642CDE" w:rsidRDefault="00642CDE">
      <w:pPr>
        <w:pStyle w:val="30"/>
        <w:ind w:firstLine="567"/>
        <w:rPr>
          <w:rFonts w:ascii="Times New Roman" w:hAnsi="Times New Roman"/>
          <w:color w:val="1F4E79"/>
        </w:rPr>
      </w:pPr>
    </w:p>
    <w:p w:rsidR="00642CDE" w:rsidRDefault="006D0C79">
      <w:pPr>
        <w:pStyle w:val="30"/>
        <w:ind w:firstLine="567"/>
        <w:rPr>
          <w:rFonts w:ascii="Times New Roman" w:hAnsi="Times New Roman"/>
          <w:color w:val="1F4E79"/>
        </w:rPr>
      </w:pPr>
      <w:bookmarkStart w:id="3" w:name="__RefHeading___2"/>
      <w:bookmarkEnd w:id="3"/>
      <w:r>
        <w:rPr>
          <w:rFonts w:ascii="Times New Roman" w:hAnsi="Times New Roman"/>
          <w:color w:val="1F3864"/>
          <w:sz w:val="28"/>
        </w:rPr>
        <w:t>Раздел 2. Общие сведения об Обществе</w:t>
      </w:r>
    </w:p>
    <w:p w:rsidR="00642CDE" w:rsidRDefault="006D0C79">
      <w:pPr>
        <w:pStyle w:val="aff7"/>
        <w:widowControl/>
        <w:spacing w:line="264" w:lineRule="auto"/>
        <w:ind w:firstLine="284"/>
        <w:rPr>
          <w:i/>
          <w:sz w:val="24"/>
        </w:rPr>
      </w:pPr>
      <w:r>
        <w:rPr>
          <w:i/>
          <w:sz w:val="24"/>
        </w:rPr>
        <w:t xml:space="preserve">2.1. Полное наименование: </w:t>
      </w:r>
    </w:p>
    <w:p w:rsidR="00642CDE" w:rsidRDefault="006D0C79">
      <w:pPr>
        <w:pStyle w:val="aff7"/>
        <w:widowControl/>
        <w:spacing w:line="264" w:lineRule="auto"/>
        <w:ind w:firstLine="284"/>
        <w:rPr>
          <w:sz w:val="24"/>
        </w:rPr>
      </w:pPr>
      <w:r>
        <w:rPr>
          <w:sz w:val="24"/>
        </w:rPr>
        <w:t>Публичное акционерное общество «Северное управление строительства».</w:t>
      </w:r>
    </w:p>
    <w:p w:rsidR="00642CDE" w:rsidRDefault="006D0C79">
      <w:pPr>
        <w:pStyle w:val="aff7"/>
        <w:widowControl/>
        <w:spacing w:line="264" w:lineRule="auto"/>
        <w:ind w:firstLine="284"/>
        <w:rPr>
          <w:i/>
          <w:sz w:val="24"/>
        </w:rPr>
      </w:pPr>
      <w:r>
        <w:rPr>
          <w:i/>
          <w:sz w:val="24"/>
        </w:rPr>
        <w:t>2.2. Сокращенное наименова</w:t>
      </w:r>
      <w:r>
        <w:rPr>
          <w:i/>
          <w:sz w:val="24"/>
        </w:rPr>
        <w:t>ние: ПАО «СУС».</w:t>
      </w:r>
    </w:p>
    <w:p w:rsidR="00642CDE" w:rsidRDefault="006D0C79">
      <w:pPr>
        <w:pStyle w:val="aff7"/>
        <w:widowControl/>
        <w:spacing w:line="264" w:lineRule="auto"/>
        <w:ind w:firstLine="284"/>
        <w:rPr>
          <w:i/>
          <w:sz w:val="24"/>
        </w:rPr>
      </w:pPr>
      <w:r>
        <w:rPr>
          <w:i/>
          <w:sz w:val="24"/>
        </w:rPr>
        <w:t>2.3. Данные о первичной государственной регистрации:</w:t>
      </w:r>
    </w:p>
    <w:p w:rsidR="00642CDE" w:rsidRDefault="006D0C79">
      <w:pPr>
        <w:pStyle w:val="aff7"/>
        <w:widowControl/>
        <w:spacing w:line="264" w:lineRule="auto"/>
        <w:ind w:firstLine="284"/>
        <w:rPr>
          <w:sz w:val="24"/>
        </w:rPr>
      </w:pPr>
      <w:r>
        <w:rPr>
          <w:sz w:val="24"/>
        </w:rPr>
        <w:t>Номер государственной регистрации: 495</w:t>
      </w:r>
    </w:p>
    <w:p w:rsidR="00642CDE" w:rsidRDefault="006D0C79">
      <w:pPr>
        <w:pStyle w:val="aff7"/>
        <w:widowControl/>
        <w:spacing w:line="264" w:lineRule="auto"/>
        <w:ind w:firstLine="284"/>
        <w:rPr>
          <w:sz w:val="24"/>
        </w:rPr>
      </w:pPr>
      <w:r>
        <w:rPr>
          <w:sz w:val="24"/>
        </w:rPr>
        <w:t>Дата государственной регистрации: 19.11.1992</w:t>
      </w:r>
    </w:p>
    <w:p w:rsidR="00642CDE" w:rsidRDefault="006D0C79">
      <w:pPr>
        <w:pStyle w:val="aff7"/>
        <w:widowControl/>
        <w:spacing w:line="264" w:lineRule="auto"/>
        <w:ind w:firstLine="284"/>
        <w:rPr>
          <w:sz w:val="24"/>
        </w:rPr>
      </w:pPr>
      <w:r>
        <w:rPr>
          <w:sz w:val="24"/>
        </w:rPr>
        <w:t>Наименование органа, осуществившего государственную регистрацию: мэрия г. Сосновый Бор</w:t>
      </w:r>
    </w:p>
    <w:p w:rsidR="00642CDE" w:rsidRDefault="006D0C79">
      <w:pPr>
        <w:spacing w:after="0" w:line="317" w:lineRule="exact"/>
        <w:ind w:right="60" w:firstLine="284"/>
        <w:jc w:val="both"/>
        <w:rPr>
          <w:sz w:val="24"/>
        </w:rPr>
      </w:pPr>
      <w:r>
        <w:rPr>
          <w:sz w:val="24"/>
        </w:rPr>
        <w:t>Данные о регистр</w:t>
      </w:r>
      <w:r>
        <w:rPr>
          <w:sz w:val="24"/>
        </w:rPr>
        <w:t>ации юридического лица: ОГРН: 1024701762535</w:t>
      </w:r>
    </w:p>
    <w:p w:rsidR="00642CDE" w:rsidRDefault="006D0C79">
      <w:pPr>
        <w:spacing w:after="0" w:line="317" w:lineRule="exact"/>
        <w:ind w:right="60" w:firstLine="284"/>
        <w:jc w:val="both"/>
        <w:rPr>
          <w:sz w:val="24"/>
        </w:rPr>
      </w:pPr>
      <w:r>
        <w:rPr>
          <w:sz w:val="24"/>
        </w:rPr>
        <w:t>Дата внесения записи о юридическом лице, зарегистрированном до 1 июля 2002 года, в единый государственный реестр юридических лиц: 29.11.2002</w:t>
      </w:r>
    </w:p>
    <w:p w:rsidR="00642CDE" w:rsidRDefault="006D0C79">
      <w:pPr>
        <w:spacing w:after="0" w:line="317" w:lineRule="exact"/>
        <w:ind w:right="60" w:firstLine="284"/>
        <w:jc w:val="both"/>
        <w:rPr>
          <w:sz w:val="24"/>
        </w:rPr>
      </w:pPr>
      <w:r>
        <w:rPr>
          <w:sz w:val="24"/>
        </w:rPr>
        <w:t xml:space="preserve">Наименование регистрирующего органа: Инспекция МНС РФ по городу </w:t>
      </w:r>
      <w:r>
        <w:rPr>
          <w:sz w:val="24"/>
        </w:rPr>
        <w:t>Сосновый Бор Ленинградской области</w:t>
      </w:r>
    </w:p>
    <w:p w:rsidR="00642CDE" w:rsidRDefault="006D0C79">
      <w:pPr>
        <w:pStyle w:val="aff7"/>
        <w:widowControl/>
        <w:spacing w:line="264" w:lineRule="auto"/>
        <w:ind w:firstLine="284"/>
        <w:rPr>
          <w:sz w:val="24"/>
        </w:rPr>
      </w:pPr>
      <w:r>
        <w:rPr>
          <w:i/>
          <w:sz w:val="24"/>
        </w:rPr>
        <w:t>2.4. Место нахождения и адрес:</w:t>
      </w:r>
      <w:r>
        <w:rPr>
          <w:b/>
          <w:sz w:val="24"/>
        </w:rPr>
        <w:t xml:space="preserve"> </w:t>
      </w:r>
      <w:r>
        <w:rPr>
          <w:sz w:val="24"/>
        </w:rPr>
        <w:t xml:space="preserve">188540 Россия, Ленинградская область, г. Сосновый Бор, ул. Ленинградская, д. 7 </w:t>
      </w:r>
    </w:p>
    <w:p w:rsidR="00642CDE" w:rsidRDefault="006D0C79">
      <w:pPr>
        <w:pStyle w:val="aff7"/>
        <w:widowControl/>
        <w:spacing w:line="264" w:lineRule="auto"/>
        <w:ind w:firstLine="284"/>
        <w:rPr>
          <w:i/>
          <w:sz w:val="24"/>
        </w:rPr>
      </w:pPr>
      <w:r>
        <w:rPr>
          <w:i/>
          <w:sz w:val="24"/>
        </w:rPr>
        <w:t>2.5. Организационная структура (органы управления и контроля):</w:t>
      </w:r>
    </w:p>
    <w:p w:rsidR="00642CDE" w:rsidRDefault="006D0C79">
      <w:pPr>
        <w:spacing w:after="0" w:line="317" w:lineRule="exact"/>
        <w:ind w:right="20" w:firstLine="284"/>
        <w:jc w:val="both"/>
        <w:rPr>
          <w:sz w:val="24"/>
        </w:rPr>
      </w:pPr>
      <w:r>
        <w:rPr>
          <w:i/>
          <w:sz w:val="24"/>
        </w:rPr>
        <w:t>•</w:t>
      </w:r>
      <w:r>
        <w:rPr>
          <w:sz w:val="24"/>
        </w:rPr>
        <w:tab/>
        <w:t>общее собрание акционеров;</w:t>
      </w:r>
    </w:p>
    <w:p w:rsidR="00642CDE" w:rsidRDefault="006D0C79">
      <w:pPr>
        <w:spacing w:after="0" w:line="317" w:lineRule="exact"/>
        <w:ind w:right="20" w:firstLine="284"/>
        <w:jc w:val="both"/>
        <w:rPr>
          <w:sz w:val="24"/>
        </w:rPr>
      </w:pPr>
      <w:r>
        <w:rPr>
          <w:sz w:val="24"/>
        </w:rPr>
        <w:t>•</w:t>
      </w:r>
      <w:r>
        <w:rPr>
          <w:sz w:val="24"/>
        </w:rPr>
        <w:tab/>
        <w:t>совет директоров</w:t>
      </w:r>
      <w:r>
        <w:rPr>
          <w:sz w:val="24"/>
        </w:rPr>
        <w:t>;</w:t>
      </w:r>
    </w:p>
    <w:p w:rsidR="00642CDE" w:rsidRDefault="006D0C79">
      <w:pPr>
        <w:spacing w:after="0" w:line="317" w:lineRule="exact"/>
        <w:ind w:right="20" w:firstLine="284"/>
        <w:jc w:val="both"/>
        <w:rPr>
          <w:sz w:val="24"/>
        </w:rPr>
      </w:pPr>
      <w:r>
        <w:rPr>
          <w:sz w:val="24"/>
        </w:rPr>
        <w:t>•</w:t>
      </w:r>
      <w:r>
        <w:rPr>
          <w:sz w:val="24"/>
        </w:rPr>
        <w:tab/>
        <w:t>генеральный директор;</w:t>
      </w:r>
    </w:p>
    <w:p w:rsidR="00642CDE" w:rsidRDefault="006D0C79">
      <w:pPr>
        <w:spacing w:after="0" w:line="317" w:lineRule="exact"/>
        <w:ind w:right="20" w:firstLine="284"/>
        <w:jc w:val="both"/>
        <w:rPr>
          <w:sz w:val="24"/>
        </w:rPr>
      </w:pPr>
      <w:r>
        <w:rPr>
          <w:sz w:val="24"/>
        </w:rPr>
        <w:t>•</w:t>
      </w:r>
      <w:r>
        <w:rPr>
          <w:sz w:val="24"/>
        </w:rPr>
        <w:tab/>
        <w:t>ревизионная комиссия.</w:t>
      </w:r>
    </w:p>
    <w:p w:rsidR="00642CDE" w:rsidRDefault="006D0C79">
      <w:pPr>
        <w:spacing w:after="0" w:line="317" w:lineRule="exact"/>
        <w:ind w:right="60" w:firstLine="284"/>
        <w:jc w:val="both"/>
        <w:rPr>
          <w:b/>
          <w:i/>
          <w:sz w:val="24"/>
        </w:rPr>
      </w:pPr>
      <w:r>
        <w:rPr>
          <w:i/>
          <w:sz w:val="24"/>
        </w:rPr>
        <w:t>2.6. Основной вид деятельности:</w:t>
      </w:r>
      <w:r>
        <w:rPr>
          <w:b/>
          <w:sz w:val="24"/>
        </w:rPr>
        <w:t xml:space="preserve"> </w:t>
      </w:r>
      <w:r>
        <w:rPr>
          <w:sz w:val="24"/>
        </w:rPr>
        <w:t>Строительство жилых и нежилых зданий</w:t>
      </w:r>
      <w:r>
        <w:rPr>
          <w:b/>
          <w:i/>
          <w:sz w:val="24"/>
        </w:rPr>
        <w:t xml:space="preserve"> </w:t>
      </w:r>
    </w:p>
    <w:p w:rsidR="00642CDE" w:rsidRDefault="006D0C79">
      <w:pPr>
        <w:spacing w:after="0" w:line="317" w:lineRule="exact"/>
        <w:ind w:right="20" w:firstLine="284"/>
        <w:jc w:val="both"/>
        <w:rPr>
          <w:sz w:val="24"/>
        </w:rPr>
      </w:pPr>
      <w:r>
        <w:rPr>
          <w:i/>
          <w:sz w:val="24"/>
        </w:rPr>
        <w:t>2.7. Полное наименование и адрес реестродержателя:</w:t>
      </w:r>
      <w:r>
        <w:rPr>
          <w:b/>
          <w:sz w:val="24"/>
        </w:rPr>
        <w:t xml:space="preserve"> </w:t>
      </w:r>
      <w:r>
        <w:rPr>
          <w:sz w:val="24"/>
        </w:rPr>
        <w:t>Акционерное общество «Независимая регистраторская компания Р.О.С.Т.»</w:t>
      </w:r>
    </w:p>
    <w:p w:rsidR="00642CDE" w:rsidRDefault="006D0C79">
      <w:pPr>
        <w:spacing w:after="0" w:line="317" w:lineRule="exact"/>
        <w:ind w:right="60" w:firstLine="284"/>
        <w:jc w:val="both"/>
        <w:rPr>
          <w:i/>
          <w:sz w:val="24"/>
        </w:rPr>
      </w:pPr>
      <w:r>
        <w:rPr>
          <w:i/>
          <w:sz w:val="24"/>
        </w:rPr>
        <w:t>2.8. Уставный ка</w:t>
      </w:r>
      <w:r>
        <w:rPr>
          <w:i/>
          <w:sz w:val="24"/>
        </w:rPr>
        <w:t xml:space="preserve">питал и ценные бумаги общества: </w:t>
      </w:r>
    </w:p>
    <w:p w:rsidR="00642CDE" w:rsidRDefault="006D0C79">
      <w:pPr>
        <w:spacing w:after="0" w:line="317" w:lineRule="exact"/>
        <w:ind w:right="20" w:firstLine="284"/>
        <w:jc w:val="both"/>
        <w:rPr>
          <w:sz w:val="24"/>
        </w:rPr>
      </w:pPr>
      <w:r>
        <w:rPr>
          <w:i/>
          <w:sz w:val="24"/>
        </w:rPr>
        <w:t>Размер уставного капитала</w:t>
      </w:r>
      <w:r>
        <w:rPr>
          <w:sz w:val="24"/>
        </w:rPr>
        <w:t xml:space="preserve"> - 4 037 800 рублей, </w:t>
      </w:r>
    </w:p>
    <w:p w:rsidR="00642CDE" w:rsidRDefault="006D0C79">
      <w:pPr>
        <w:widowControl w:val="0"/>
        <w:spacing w:after="0" w:line="240" w:lineRule="auto"/>
        <w:ind w:firstLine="284"/>
        <w:jc w:val="both"/>
        <w:rPr>
          <w:sz w:val="24"/>
        </w:rPr>
      </w:pPr>
      <w:r>
        <w:rPr>
          <w:i/>
          <w:sz w:val="24"/>
        </w:rPr>
        <w:t>Общее количество акций</w:t>
      </w:r>
      <w:r>
        <w:rPr>
          <w:sz w:val="24"/>
        </w:rPr>
        <w:t>: 40 378 000 штук именных акций</w:t>
      </w:r>
    </w:p>
    <w:p w:rsidR="00642CDE" w:rsidRDefault="006D0C79">
      <w:pPr>
        <w:widowControl w:val="0"/>
        <w:spacing w:after="0" w:line="240" w:lineRule="auto"/>
        <w:ind w:firstLine="284"/>
        <w:jc w:val="both"/>
        <w:rPr>
          <w:sz w:val="24"/>
        </w:rPr>
      </w:pPr>
      <w:r>
        <w:rPr>
          <w:i/>
          <w:sz w:val="24"/>
        </w:rPr>
        <w:t xml:space="preserve">Номинальная стоимость обыкновенных акций </w:t>
      </w:r>
      <w:r>
        <w:rPr>
          <w:sz w:val="24"/>
        </w:rPr>
        <w:t>– 10 (Десять) копеек.</w:t>
      </w:r>
    </w:p>
    <w:p w:rsidR="00642CDE" w:rsidRDefault="006D0C79">
      <w:pPr>
        <w:widowControl w:val="0"/>
        <w:spacing w:after="0" w:line="240" w:lineRule="auto"/>
        <w:ind w:firstLine="284"/>
        <w:jc w:val="both"/>
        <w:rPr>
          <w:sz w:val="24"/>
        </w:rPr>
      </w:pPr>
      <w:r>
        <w:rPr>
          <w:sz w:val="24"/>
        </w:rPr>
        <w:t xml:space="preserve">Обществом размещены виды акций в бездокументарной форме </w:t>
      </w:r>
      <w:r>
        <w:rPr>
          <w:sz w:val="24"/>
        </w:rPr>
        <w:t>одинаковой номинальной стоимости:</w:t>
      </w:r>
    </w:p>
    <w:p w:rsidR="00642CDE" w:rsidRDefault="006D0C79">
      <w:pPr>
        <w:widowControl w:val="0"/>
        <w:spacing w:after="0" w:line="240" w:lineRule="auto"/>
        <w:ind w:left="284" w:firstLine="283"/>
        <w:jc w:val="both"/>
        <w:rPr>
          <w:sz w:val="24"/>
        </w:rPr>
      </w:pPr>
      <w:r>
        <w:rPr>
          <w:sz w:val="24"/>
        </w:rPr>
        <w:t>-акции обыкновенные именные -40 283 500 штук,</w:t>
      </w:r>
    </w:p>
    <w:p w:rsidR="00642CDE" w:rsidRDefault="006D0C79">
      <w:pPr>
        <w:widowControl w:val="0"/>
        <w:spacing w:after="0" w:line="240" w:lineRule="auto"/>
        <w:ind w:left="284" w:firstLine="283"/>
        <w:jc w:val="both"/>
        <w:rPr>
          <w:sz w:val="24"/>
        </w:rPr>
      </w:pPr>
      <w:r>
        <w:rPr>
          <w:sz w:val="24"/>
        </w:rPr>
        <w:t>-акции привилегированные именные типа А- 94 500 штук.</w:t>
      </w:r>
    </w:p>
    <w:p w:rsidR="00642CDE" w:rsidRDefault="006D0C79">
      <w:pPr>
        <w:widowControl w:val="0"/>
        <w:spacing w:after="0" w:line="240" w:lineRule="auto"/>
        <w:ind w:left="284" w:firstLine="283"/>
        <w:jc w:val="both"/>
        <w:rPr>
          <w:sz w:val="24"/>
        </w:rPr>
      </w:pPr>
      <w:r>
        <w:rPr>
          <w:sz w:val="24"/>
        </w:rPr>
        <w:t>На 31 декабря 2024 г. величина уставного капитала соответствует величине уставного капитала, указанного в Уставе Общества.</w:t>
      </w:r>
      <w:r>
        <w:rPr>
          <w:sz w:val="24"/>
        </w:rPr>
        <w:t xml:space="preserve"> Уставный капитал общества оплачен полностью.</w:t>
      </w:r>
    </w:p>
    <w:p w:rsidR="00642CDE" w:rsidRDefault="00642CDE">
      <w:pPr>
        <w:widowControl w:val="0"/>
        <w:spacing w:after="0" w:line="240" w:lineRule="auto"/>
        <w:ind w:firstLine="567"/>
        <w:jc w:val="both"/>
        <w:rPr>
          <w:sz w:val="24"/>
        </w:rPr>
      </w:pPr>
    </w:p>
    <w:tbl>
      <w:tblPr>
        <w:tblW w:w="0" w:type="auto"/>
        <w:tblInd w:w="108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3119"/>
        <w:gridCol w:w="1559"/>
        <w:gridCol w:w="1559"/>
      </w:tblGrid>
      <w:tr w:rsidR="00642CDE">
        <w:trPr>
          <w:trHeight w:val="437"/>
        </w:trPr>
        <w:tc>
          <w:tcPr>
            <w:tcW w:w="9781" w:type="dxa"/>
            <w:gridSpan w:val="4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53548A"/>
            <w:vAlign w:val="center"/>
          </w:tcPr>
          <w:p w:rsidR="00642CDE" w:rsidRDefault="006D0C79">
            <w:pPr>
              <w:widowControl w:val="0"/>
              <w:tabs>
                <w:tab w:val="left" w:pos="5367"/>
              </w:tabs>
              <w:spacing w:after="0" w:line="240" w:lineRule="auto"/>
              <w:jc w:val="both"/>
              <w:rPr>
                <w:b/>
                <w:i/>
                <w:color w:val="FFFFFF"/>
                <w:sz w:val="24"/>
              </w:rPr>
            </w:pPr>
            <w:r>
              <w:rPr>
                <w:b/>
                <w:i/>
                <w:color w:val="FFFFFF"/>
                <w:sz w:val="24"/>
              </w:rPr>
              <w:t>Сведения о выпусках ценных бумагах Общества, находящихся в обращении на 31 декабря 2024 г.</w:t>
            </w:r>
          </w:p>
        </w:tc>
      </w:tr>
      <w:tr w:rsidR="00642CDE">
        <w:trPr>
          <w:trHeight w:val="583"/>
        </w:trPr>
        <w:tc>
          <w:tcPr>
            <w:tcW w:w="354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FFFFF"/>
          </w:tcPr>
          <w:p w:rsidR="00642CDE" w:rsidRDefault="006D0C79">
            <w:pPr>
              <w:widowControl w:val="0"/>
              <w:spacing w:after="0" w:line="240" w:lineRule="auto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Государственный</w:t>
            </w:r>
          </w:p>
          <w:p w:rsidR="00642CDE" w:rsidRDefault="006D0C79">
            <w:pPr>
              <w:widowControl w:val="0"/>
              <w:spacing w:after="0" w:line="240" w:lineRule="auto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регистрационный номер, дата регистрации</w:t>
            </w:r>
          </w:p>
        </w:tc>
        <w:tc>
          <w:tcPr>
            <w:tcW w:w="311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FFFFF"/>
          </w:tcPr>
          <w:p w:rsidR="00642CDE" w:rsidRDefault="006D0C79">
            <w:pPr>
              <w:widowControl w:val="0"/>
              <w:spacing w:after="0" w:line="240" w:lineRule="auto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Вид, категория, тип</w:t>
            </w:r>
          </w:p>
        </w:tc>
        <w:tc>
          <w:tcPr>
            <w:tcW w:w="155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FFFFF"/>
          </w:tcPr>
          <w:p w:rsidR="00642CDE" w:rsidRDefault="006D0C79">
            <w:pPr>
              <w:widowControl w:val="0"/>
              <w:spacing w:after="0" w:line="240" w:lineRule="auto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Количество размещенных акций, шт.</w:t>
            </w:r>
          </w:p>
        </w:tc>
        <w:tc>
          <w:tcPr>
            <w:tcW w:w="155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FFFFF"/>
          </w:tcPr>
          <w:p w:rsidR="00642CDE" w:rsidRDefault="006D0C79">
            <w:pPr>
              <w:widowControl w:val="0"/>
              <w:spacing w:after="0" w:line="240" w:lineRule="auto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 xml:space="preserve">Общая </w:t>
            </w:r>
            <w:r>
              <w:rPr>
                <w:i/>
                <w:sz w:val="24"/>
              </w:rPr>
              <w:t>номинальная стоимость, руб.</w:t>
            </w:r>
          </w:p>
        </w:tc>
      </w:tr>
      <w:tr w:rsidR="00642CDE">
        <w:trPr>
          <w:trHeight w:val="389"/>
        </w:trPr>
        <w:tc>
          <w:tcPr>
            <w:tcW w:w="354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rPr>
                <w:i/>
                <w:sz w:val="24"/>
              </w:rPr>
            </w:pPr>
            <w:r>
              <w:rPr>
                <w:i/>
                <w:sz w:val="24"/>
              </w:rPr>
              <w:t xml:space="preserve">1-01-04739-D </w:t>
            </w:r>
          </w:p>
          <w:p w:rsidR="00642CDE" w:rsidRDefault="006D0C79">
            <w:pPr>
              <w:widowControl w:val="0"/>
              <w:spacing w:after="0" w:line="240" w:lineRule="auto"/>
              <w:rPr>
                <w:i/>
                <w:sz w:val="24"/>
              </w:rPr>
            </w:pPr>
            <w:r>
              <w:rPr>
                <w:i/>
                <w:sz w:val="24"/>
              </w:rPr>
              <w:t>от 16 декабря 2008 г.</w:t>
            </w:r>
          </w:p>
        </w:tc>
        <w:tc>
          <w:tcPr>
            <w:tcW w:w="311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rPr>
                <w:i/>
                <w:sz w:val="24"/>
              </w:rPr>
            </w:pPr>
            <w:r>
              <w:rPr>
                <w:i/>
                <w:sz w:val="24"/>
              </w:rPr>
              <w:t>Акции обыкновенные именные бездокументарные</w:t>
            </w:r>
          </w:p>
        </w:tc>
        <w:tc>
          <w:tcPr>
            <w:tcW w:w="155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40 283 500</w:t>
            </w:r>
          </w:p>
        </w:tc>
        <w:tc>
          <w:tcPr>
            <w:tcW w:w="155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4 028 350</w:t>
            </w:r>
          </w:p>
        </w:tc>
      </w:tr>
      <w:tr w:rsidR="00642CDE">
        <w:trPr>
          <w:trHeight w:val="389"/>
        </w:trPr>
        <w:tc>
          <w:tcPr>
            <w:tcW w:w="354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rPr>
                <w:i/>
                <w:sz w:val="24"/>
              </w:rPr>
            </w:pPr>
            <w:r>
              <w:rPr>
                <w:i/>
                <w:sz w:val="24"/>
              </w:rPr>
              <w:t xml:space="preserve">2-01-04739-D </w:t>
            </w:r>
          </w:p>
          <w:p w:rsidR="00642CDE" w:rsidRDefault="006D0C79">
            <w:pPr>
              <w:widowControl w:val="0"/>
              <w:spacing w:after="0" w:line="240" w:lineRule="auto"/>
              <w:rPr>
                <w:i/>
                <w:sz w:val="24"/>
              </w:rPr>
            </w:pPr>
            <w:r>
              <w:rPr>
                <w:i/>
                <w:sz w:val="24"/>
              </w:rPr>
              <w:t>от 16 декабря 2008 г.</w:t>
            </w:r>
          </w:p>
        </w:tc>
        <w:tc>
          <w:tcPr>
            <w:tcW w:w="311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rPr>
                <w:i/>
                <w:sz w:val="24"/>
              </w:rPr>
            </w:pPr>
            <w:r>
              <w:rPr>
                <w:i/>
                <w:sz w:val="24"/>
              </w:rPr>
              <w:t>Акции привилегированные именные бездокументарные тип А (выпуск 1)</w:t>
            </w:r>
          </w:p>
        </w:tc>
        <w:tc>
          <w:tcPr>
            <w:tcW w:w="155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94 500</w:t>
            </w:r>
          </w:p>
        </w:tc>
        <w:tc>
          <w:tcPr>
            <w:tcW w:w="155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9 450</w:t>
            </w:r>
          </w:p>
        </w:tc>
      </w:tr>
      <w:tr w:rsidR="00642CDE">
        <w:trPr>
          <w:trHeight w:val="389"/>
        </w:trPr>
        <w:tc>
          <w:tcPr>
            <w:tcW w:w="354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rPr>
                <w:i/>
                <w:sz w:val="24"/>
              </w:rPr>
            </w:pPr>
            <w:r>
              <w:rPr>
                <w:i/>
                <w:sz w:val="24"/>
              </w:rPr>
              <w:t>итого</w:t>
            </w:r>
          </w:p>
        </w:tc>
        <w:tc>
          <w:tcPr>
            <w:tcW w:w="311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42CDE">
            <w:pPr>
              <w:widowControl w:val="0"/>
              <w:spacing w:after="0" w:line="240" w:lineRule="auto"/>
              <w:rPr>
                <w:i/>
                <w:sz w:val="24"/>
              </w:rPr>
            </w:pPr>
          </w:p>
        </w:tc>
        <w:tc>
          <w:tcPr>
            <w:tcW w:w="155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40</w:t>
            </w:r>
            <w:r>
              <w:rPr>
                <w:i/>
                <w:sz w:val="24"/>
              </w:rPr>
              <w:t xml:space="preserve"> 378 000</w:t>
            </w:r>
          </w:p>
        </w:tc>
        <w:tc>
          <w:tcPr>
            <w:tcW w:w="155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:rsidR="00642CDE" w:rsidRDefault="006D0C79">
            <w:pPr>
              <w:widowControl w:val="0"/>
              <w:spacing w:after="0" w:line="240" w:lineRule="auto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4 037 800</w:t>
            </w:r>
          </w:p>
        </w:tc>
      </w:tr>
    </w:tbl>
    <w:p w:rsidR="00642CDE" w:rsidRDefault="006D0C79">
      <w:pPr>
        <w:widowControl w:val="0"/>
        <w:spacing w:after="0" w:line="240" w:lineRule="auto"/>
        <w:jc w:val="both"/>
        <w:rPr>
          <w:sz w:val="22"/>
        </w:rPr>
      </w:pPr>
      <w:r>
        <w:rPr>
          <w:sz w:val="22"/>
        </w:rPr>
        <w:t xml:space="preserve"> </w:t>
      </w:r>
    </w:p>
    <w:p w:rsidR="00642CDE" w:rsidRDefault="006D0C79">
      <w:pPr>
        <w:pStyle w:val="aff7"/>
        <w:widowControl/>
        <w:spacing w:line="264" w:lineRule="auto"/>
        <w:ind w:firstLine="0"/>
        <w:rPr>
          <w:sz w:val="24"/>
        </w:rPr>
      </w:pPr>
      <w:r>
        <w:rPr>
          <w:sz w:val="24"/>
        </w:rPr>
        <w:tab/>
        <w:t>В отчетном периоде выпусков эмиссионных ценных бумаг не было.</w:t>
      </w:r>
    </w:p>
    <w:p w:rsidR="00642CDE" w:rsidRDefault="006D0C79">
      <w:pPr>
        <w:pStyle w:val="500"/>
        <w:tabs>
          <w:tab w:val="left" w:pos="8082"/>
        </w:tabs>
        <w:spacing w:before="0" w:line="240" w:lineRule="auto"/>
        <w:ind w:left="0" w:firstLine="426"/>
        <w:jc w:val="both"/>
        <w:rPr>
          <w:sz w:val="24"/>
        </w:rPr>
      </w:pPr>
      <w:r>
        <w:rPr>
          <w:sz w:val="24"/>
        </w:rPr>
        <w:t xml:space="preserve">2.9.   Номер телефона и адрес электронной почты: </w:t>
      </w:r>
      <w:r>
        <w:rPr>
          <w:i/>
          <w:color w:val="1F3864"/>
          <w:sz w:val="24"/>
        </w:rPr>
        <w:t xml:space="preserve">(81369) 2-24-56, </w:t>
      </w:r>
      <w:hyperlink r:id="rId9" w:history="1">
        <w:r>
          <w:rPr>
            <w:rStyle w:val="19"/>
            <w:i/>
            <w:color w:val="1F3864"/>
            <w:sz w:val="24"/>
          </w:rPr>
          <w:t>adm@oao-sus.ru</w:t>
        </w:r>
      </w:hyperlink>
      <w:r>
        <w:rPr>
          <w:sz w:val="24"/>
        </w:rPr>
        <w:t xml:space="preserve"> </w:t>
      </w:r>
    </w:p>
    <w:p w:rsidR="00642CDE" w:rsidRDefault="006D0C79">
      <w:pPr>
        <w:pStyle w:val="500"/>
        <w:tabs>
          <w:tab w:val="left" w:pos="8082"/>
        </w:tabs>
        <w:spacing w:before="0" w:line="240" w:lineRule="auto"/>
        <w:ind w:left="0" w:firstLine="426"/>
        <w:jc w:val="both"/>
        <w:rPr>
          <w:i/>
          <w:sz w:val="24"/>
        </w:rPr>
      </w:pPr>
      <w:r>
        <w:rPr>
          <w:sz w:val="24"/>
        </w:rPr>
        <w:t xml:space="preserve">2.10. Адрес страницы в сети интернет для осуществления функции по раскрытию существенных фактов в соответствии с Федеральным законом от 22.04.1996 г. № 39-ФЗ «О рынке ценных бумаг»: </w:t>
      </w:r>
      <w:r>
        <w:rPr>
          <w:i/>
          <w:sz w:val="24"/>
        </w:rPr>
        <w:t>http://disclosure.1prime.ru/Portal/Default.aspx?emId=4714000211</w:t>
      </w:r>
    </w:p>
    <w:p w:rsidR="00642CDE" w:rsidRDefault="00642CDE">
      <w:pPr>
        <w:spacing w:after="0" w:line="317" w:lineRule="exact"/>
        <w:ind w:right="60" w:firstLine="284"/>
        <w:jc w:val="both"/>
        <w:rPr>
          <w:sz w:val="24"/>
        </w:rPr>
      </w:pPr>
    </w:p>
    <w:p w:rsidR="00642CDE" w:rsidRDefault="006D0C79">
      <w:pPr>
        <w:pStyle w:val="30"/>
        <w:ind w:firstLine="567"/>
        <w:rPr>
          <w:rFonts w:ascii="Times New Roman" w:hAnsi="Times New Roman"/>
          <w:color w:val="254061"/>
          <w:sz w:val="28"/>
        </w:rPr>
      </w:pPr>
      <w:bookmarkStart w:id="4" w:name="__RefHeading___3"/>
      <w:bookmarkEnd w:id="4"/>
      <w:r>
        <w:rPr>
          <w:rFonts w:ascii="Times New Roman" w:hAnsi="Times New Roman"/>
          <w:color w:val="254061"/>
          <w:sz w:val="28"/>
        </w:rPr>
        <w:t>Раздел 3.</w:t>
      </w:r>
      <w:r>
        <w:rPr>
          <w:rFonts w:ascii="Times New Roman" w:hAnsi="Times New Roman"/>
          <w:color w:val="254061"/>
          <w:sz w:val="28"/>
        </w:rPr>
        <w:t xml:space="preserve"> </w:t>
      </w:r>
      <w:r>
        <w:rPr>
          <w:rFonts w:ascii="Times New Roman" w:hAnsi="Times New Roman"/>
          <w:color w:val="254061"/>
        </w:rPr>
        <w:t xml:space="preserve"> </w:t>
      </w:r>
      <w:r>
        <w:rPr>
          <w:rFonts w:ascii="Times New Roman" w:hAnsi="Times New Roman"/>
          <w:color w:val="254061"/>
          <w:sz w:val="28"/>
        </w:rPr>
        <w:t>Положение акционерного общества в отрасли</w:t>
      </w:r>
    </w:p>
    <w:p w:rsidR="00642CDE" w:rsidRDefault="006D0C79">
      <w:pPr>
        <w:widowControl w:val="0"/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ПАО «Северное управление строительства» осуществляет свою</w:t>
      </w:r>
      <w:r>
        <w:rPr>
          <w:b/>
          <w:sz w:val="24"/>
        </w:rPr>
        <w:t xml:space="preserve"> </w:t>
      </w:r>
      <w:r>
        <w:rPr>
          <w:sz w:val="24"/>
        </w:rPr>
        <w:t>финансово -экономическую деятельность в области промышленного строительства.</w:t>
      </w:r>
    </w:p>
    <w:p w:rsidR="00642CDE" w:rsidRDefault="006D0C79">
      <w:pPr>
        <w:widowControl w:val="0"/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Отличительными особенностями промышленного строительства от жилищного или соц</w:t>
      </w:r>
      <w:r>
        <w:rPr>
          <w:sz w:val="24"/>
        </w:rPr>
        <w:t xml:space="preserve">иального являются: гораздо более длительный цикл производства работ и период окупаемости. На сроках и стоимости сказывается уникальность проектов - типовых объектов практически нет. Учитывая особую опасность многих индустриальных объектов, их значительное </w:t>
      </w:r>
      <w:r>
        <w:rPr>
          <w:sz w:val="24"/>
        </w:rPr>
        <w:t>влияние на окружающую среду и другие особенности, к ним предъявляются повышенные требования в плане проведения различных экспертиз, сертификации, проводится усиленный контроль.</w:t>
      </w:r>
    </w:p>
    <w:p w:rsidR="00642CDE" w:rsidRDefault="006D0C79">
      <w:pPr>
        <w:widowControl w:val="0"/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ПАО «СУС» осуществляет свою деятельность, как на территории Российской Федераци</w:t>
      </w:r>
      <w:r>
        <w:rPr>
          <w:sz w:val="24"/>
        </w:rPr>
        <w:t>и, так и за рубежом.</w:t>
      </w:r>
    </w:p>
    <w:p w:rsidR="00642CDE" w:rsidRDefault="006D0C79">
      <w:pPr>
        <w:widowControl w:val="0"/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 течение 2024 года по заключённым договорам выполнялись работы и предоставлялись услуги на проектах в Калининградской, Томской, Курской, Саратовской, Курганской, Кировской, Новосибирской областях, Республике Удмуртия, Арабской Республ</w:t>
      </w:r>
      <w:r>
        <w:rPr>
          <w:sz w:val="24"/>
        </w:rPr>
        <w:t>ике Египет (АРЕ), Турецкой Республика (ТР) и др.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В 2024 году действовало 2 филиала: филиал в г. Москва и филиал ПАО «СУС» на территории Арабской Республики Египет (АРЕ), а также, обособленные подразделения:  </w:t>
      </w:r>
    </w:p>
    <w:p w:rsidR="00642CDE" w:rsidRDefault="006D0C79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в р. п. Кольцово Новосибирской области</w:t>
      </w:r>
    </w:p>
    <w:p w:rsidR="00642CDE" w:rsidRDefault="006D0C79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в г. Нор</w:t>
      </w:r>
      <w:r>
        <w:rPr>
          <w:sz w:val="24"/>
        </w:rPr>
        <w:t>ильск</w:t>
      </w:r>
    </w:p>
    <w:p w:rsidR="00642CDE" w:rsidRDefault="006D0C79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в г. Омск</w:t>
      </w:r>
    </w:p>
    <w:p w:rsidR="00642CDE" w:rsidRDefault="006D0C79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в г. Калининград</w:t>
      </w:r>
    </w:p>
    <w:p w:rsidR="00642CDE" w:rsidRDefault="006D0C79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в г. Курчатов Курской области</w:t>
      </w:r>
    </w:p>
    <w:p w:rsidR="00642CDE" w:rsidRDefault="006D0C79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в ЗАТО г. Северск Томской области</w:t>
      </w:r>
    </w:p>
    <w:p w:rsidR="00642CDE" w:rsidRDefault="006D0C79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в г. Новосибирск.</w:t>
      </w:r>
    </w:p>
    <w:p w:rsidR="00642CDE" w:rsidRDefault="00642CDE">
      <w:pPr>
        <w:widowControl w:val="0"/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widowControl w:val="0"/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Рассматривая тенденции строительной отрасли РФ в целом за 2024 год, можно отметить следующее:</w:t>
      </w:r>
    </w:p>
    <w:p w:rsidR="00642CDE" w:rsidRDefault="00642CDE">
      <w:pPr>
        <w:spacing w:after="0" w:line="240" w:lineRule="auto"/>
        <w:ind w:firstLine="709"/>
        <w:jc w:val="both"/>
        <w:rPr>
          <w:b/>
          <w:sz w:val="24"/>
        </w:rPr>
      </w:pPr>
    </w:p>
    <w:p w:rsidR="00642CDE" w:rsidRDefault="006D0C79">
      <w:pPr>
        <w:spacing w:after="0" w:line="240" w:lineRule="auto"/>
        <w:jc w:val="center"/>
        <w:rPr>
          <w:b/>
          <w:sz w:val="24"/>
        </w:rPr>
      </w:pPr>
      <w:r>
        <w:rPr>
          <w:b/>
          <w:sz w:val="24"/>
        </w:rPr>
        <w:t xml:space="preserve">Динамика объема работ, выполненных по виду </w:t>
      </w:r>
      <w:r>
        <w:rPr>
          <w:b/>
          <w:sz w:val="24"/>
        </w:rPr>
        <w:t>экономической деятельности «Строительство» в Российской Федерации»</w:t>
      </w:r>
    </w:p>
    <w:p w:rsidR="00642CDE" w:rsidRDefault="00642CDE">
      <w:pPr>
        <w:widowControl w:val="0"/>
        <w:spacing w:after="0" w:line="240" w:lineRule="auto"/>
        <w:ind w:firstLine="709"/>
        <w:jc w:val="both"/>
        <w:rPr>
          <w:sz w:val="24"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00"/>
        <w:gridCol w:w="3716"/>
        <w:gridCol w:w="4597"/>
      </w:tblGrid>
      <w:tr w:rsidR="00642CDE">
        <w:trPr>
          <w:trHeight w:val="263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Годы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EFEFEF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Млрд. руб., в фактически действовавших ценах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В процентах, в сопоставимых ценах к предыдущему году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7 ,1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101,5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7,2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102,9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7,6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105,08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8,5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111,75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9,1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107,81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9,7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106,07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11,1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114,06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12,3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116,46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15,1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122,7</w:t>
            </w:r>
          </w:p>
        </w:tc>
      </w:tr>
      <w:tr w:rsidR="00642CDE">
        <w:trPr>
          <w:trHeight w:val="252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2024</w:t>
            </w:r>
          </w:p>
        </w:tc>
        <w:tc>
          <w:tcPr>
            <w:tcW w:w="3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16,8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102,1</w:t>
            </w:r>
          </w:p>
        </w:tc>
      </w:tr>
    </w:tbl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Согласно данным Росстата, объем работ, выполненных по виду деятельности «Строительство», в 2024 году составил 16 780,1 млрд рублей, или 102,1% (в сопоставимых ценах) к </w:t>
      </w:r>
      <w:r>
        <w:rPr>
          <w:sz w:val="24"/>
        </w:rPr>
        <w:t>уровню 2023 года, в декабре 2024 года - 2 490,1 млрд рублей, или 107,5% к соответствующему периоду предыдущего года.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Это минимальные темпы роста отраслевой активности за последние пять лет. 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Объем федеральных бюджетных расходов на инфраструктуру по итогам </w:t>
      </w:r>
      <w:r>
        <w:rPr>
          <w:sz w:val="24"/>
        </w:rPr>
        <w:t>2024 года, составил в пределах от 780 млрд руб. до 900 млрд руб. Такой диапазон, с одной стороны, связан с увеличением расходов через инфраструктурные национальные проекты, с другой – с тем, что на уровне госконтрактов расходы увеличивались не сильно и сре</w:t>
      </w:r>
      <w:r>
        <w:rPr>
          <w:sz w:val="24"/>
        </w:rPr>
        <w:t xml:space="preserve">дства не всегда шли непосредственно в строительство. То есть, суммарно из бюджетов всех уровней в инфраструктуру в 2024 году было направлено примерно 2,8-2,9 трлн руб. Это на 3,3-7,4% меньше, чем в 2023 году. 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В промышленном </w:t>
      </w:r>
      <w:hyperlink r:id="rId10" w:tooltip="Строительство и промышленность строительных материалов" w:history="1">
        <w:r>
          <w:rPr>
            <w:sz w:val="24"/>
          </w:rPr>
          <w:t>строительстве</w:t>
        </w:r>
      </w:hyperlink>
      <w:r>
        <w:rPr>
          <w:sz w:val="24"/>
        </w:rPr>
        <w:t>, включая обрабатывающие производства и агропромышленный комплекс, при сохранении общего объема инвестиций наблюдаетс</w:t>
      </w:r>
      <w:r>
        <w:rPr>
          <w:sz w:val="24"/>
        </w:rPr>
        <w:t>я фактическое снижение из-за значительного роста стоимости оборудования, работ и строительных материалов.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Многие крупные проекты на начальных стадиях приостановлены в связи с изменением приоритетов бюджета. Основное внимание уделяется текущему и капитально</w:t>
      </w:r>
      <w:r>
        <w:rPr>
          <w:sz w:val="24"/>
        </w:rPr>
        <w:t xml:space="preserve">му ремонту. Активно развиваются объекты новых транспортных маршрутов в направлении Казахстана и </w:t>
      </w:r>
      <w:hyperlink r:id="rId11" w:tooltip="Китай" w:history="1">
        <w:r>
          <w:rPr>
            <w:sz w:val="24"/>
          </w:rPr>
          <w:t>Китая</w:t>
        </w:r>
      </w:hyperlink>
      <w:r>
        <w:rPr>
          <w:sz w:val="24"/>
        </w:rPr>
        <w:t>, в связи с увеличением товарооборота.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Заказчики строительства вы</w:t>
      </w:r>
      <w:r>
        <w:rPr>
          <w:sz w:val="24"/>
        </w:rPr>
        <w:t>нуждены корректировать проекты под отечественное оборудование или технику из дружественных стран. Сроки поставки импортного оборудования значительно увеличились, а многие поставщики разорвали ранее заключенные договоры.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При этом существующий уровень ключев</w:t>
      </w:r>
      <w:r>
        <w:rPr>
          <w:sz w:val="24"/>
        </w:rPr>
        <w:t>ой процентной ставки создает дополнительные сложности с привлечением финансирования.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Ситуация осложняется уходом большинства зарубежных инвесторов с российского рынка. 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 целом, можно сказать, что в 2024 году строительный комплекс работал в сложных условия</w:t>
      </w:r>
      <w:r>
        <w:rPr>
          <w:sz w:val="24"/>
        </w:rPr>
        <w:t>х и нынешнее замедление связано с:</w:t>
      </w:r>
    </w:p>
    <w:p w:rsidR="00642CDE" w:rsidRDefault="006D0C79">
      <w:pPr>
        <w:numPr>
          <w:ilvl w:val="0"/>
          <w:numId w:val="3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невозможностью удержать темпы отраслевого развития прошлых лет;</w:t>
      </w:r>
    </w:p>
    <w:p w:rsidR="00642CDE" w:rsidRDefault="006D0C79">
      <w:pPr>
        <w:numPr>
          <w:ilvl w:val="0"/>
          <w:numId w:val="3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завершением и перекомпановкой национальных проектов (например, завершение льготной ипотечной программы, снизило платежеспособный спрос на жилье (падение прод</w:t>
      </w:r>
      <w:r>
        <w:rPr>
          <w:sz w:val="24"/>
        </w:rPr>
        <w:t>аж в многоквартирном строительстве составило 40%));</w:t>
      </w:r>
    </w:p>
    <w:p w:rsidR="00642CDE" w:rsidRDefault="006D0C79">
      <w:pPr>
        <w:numPr>
          <w:ilvl w:val="0"/>
          <w:numId w:val="3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более осторожным финансированием инфраструктуры из региональных бюджетов;</w:t>
      </w:r>
    </w:p>
    <w:p w:rsidR="00642CDE" w:rsidRDefault="006D0C79">
      <w:pPr>
        <w:numPr>
          <w:ilvl w:val="0"/>
          <w:numId w:val="3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повышением ключевой ставки и жесткими денежно-кредитными условиями, ограничивающими приток частных средств;</w:t>
      </w:r>
    </w:p>
    <w:p w:rsidR="00642CDE" w:rsidRDefault="006D0C79">
      <w:pPr>
        <w:numPr>
          <w:ilvl w:val="0"/>
          <w:numId w:val="3"/>
        </w:numPr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 xml:space="preserve">обострением дефицита строительных кадров, что привело к увеличению себестоимости строительства за счет существенного увеличения расходов на заработную плату (годовой рост себестоимости строительства достиг в 2024 году 20%). 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ПАО «СУС» является дочерней орг</w:t>
      </w:r>
      <w:r>
        <w:rPr>
          <w:sz w:val="24"/>
        </w:rPr>
        <w:t>анизацией Холдинга «ТИТАН -2.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  <w:highlight w:val="white"/>
        </w:rPr>
      </w:pPr>
      <w:r>
        <w:rPr>
          <w:sz w:val="24"/>
          <w:highlight w:val="white"/>
        </w:rPr>
        <w:t>«ТИТАН-2» – российский строительный холдинг, сооружающий объекты атомной и тепловой энергетики, нефтегазовой и химической промышленности.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  <w:highlight w:val="white"/>
        </w:rPr>
      </w:pPr>
      <w:r>
        <w:rPr>
          <w:sz w:val="24"/>
          <w:highlight w:val="white"/>
        </w:rPr>
        <w:t>Холдинг объединяет ведущие строительно-монтажные и инжиниринговые организации: АО «КОНЦЕ</w:t>
      </w:r>
      <w:r>
        <w:rPr>
          <w:sz w:val="24"/>
          <w:highlight w:val="white"/>
        </w:rPr>
        <w:t>РН ТИТАН-2», АО «Монтажно-строительное управление №90», АО «СОСНОВОБОРЭЛЕКТРОМОНТАЖ», ПАО «Северное управление строительства», ООО «ТИТАН ТЕХНОЛОДЖИ ПАЙПЛАЙН», ООО «ТИТАН-ПРОЕКТ», О0О «Управление промышленных предприятий».</w:t>
      </w:r>
    </w:p>
    <w:p w:rsidR="00642CDE" w:rsidRDefault="006D0C79">
      <w:pPr>
        <w:spacing w:after="0" w:line="240" w:lineRule="auto"/>
        <w:ind w:firstLine="709"/>
        <w:jc w:val="both"/>
        <w:rPr>
          <w:spacing w:val="4"/>
          <w:sz w:val="24"/>
        </w:rPr>
      </w:pPr>
      <w:r>
        <w:rPr>
          <w:sz w:val="24"/>
          <w:highlight w:val="white"/>
        </w:rPr>
        <w:t>Организации выполняют полный цикл</w:t>
      </w:r>
      <w:r>
        <w:rPr>
          <w:sz w:val="24"/>
          <w:highlight w:val="white"/>
        </w:rPr>
        <w:t xml:space="preserve"> строительно-монтажных работ: от разработки проектной документации до сдачи объекта в эксплуатацию</w:t>
      </w:r>
      <w:r>
        <w:rPr>
          <w:rFonts w:ascii="Arial" w:hAnsi="Arial"/>
          <w:highlight w:val="white"/>
        </w:rPr>
        <w:t xml:space="preserve">. </w:t>
      </w:r>
      <w:r>
        <w:rPr>
          <w:sz w:val="24"/>
        </w:rPr>
        <w:t xml:space="preserve">На протяжении последнего десятилетия, Холдинг «ТИТАН-2» является стратегическим партнером Госкорпорации «Росатом», возводит различные объекты промышленного </w:t>
      </w:r>
      <w:r>
        <w:rPr>
          <w:sz w:val="24"/>
        </w:rPr>
        <w:t>и социального назначения, выполняет работы на действующих и строящихся АЭС.</w:t>
      </w:r>
      <w:r>
        <w:rPr>
          <w:spacing w:val="4"/>
          <w:sz w:val="24"/>
        </w:rPr>
        <w:t xml:space="preserve"> </w:t>
      </w:r>
    </w:p>
    <w:p w:rsidR="00642CDE" w:rsidRDefault="006D0C79">
      <w:pPr>
        <w:spacing w:after="0" w:line="240" w:lineRule="auto"/>
        <w:ind w:firstLine="709"/>
        <w:jc w:val="both"/>
        <w:rPr>
          <w:spacing w:val="4"/>
          <w:sz w:val="24"/>
        </w:rPr>
      </w:pPr>
      <w:r>
        <w:rPr>
          <w:spacing w:val="4"/>
          <w:sz w:val="24"/>
        </w:rPr>
        <w:t>Холдинг «ТИТАН-2» выступает генеральным подрядчиком на сооружении новых энергоблоков Ленинградской атомной станции. Организациями холдинга осуществляются все общестроительные, мон</w:t>
      </w:r>
      <w:r>
        <w:rPr>
          <w:spacing w:val="4"/>
          <w:sz w:val="24"/>
        </w:rPr>
        <w:t>тажные и электромонтажные работы. Холдинг участвует в строительстве АЭС «Аккую» в Турции, АЭС «Пакш-2» в Венгрии и АЭС «Эль-Дабаа» в Египте.</w:t>
      </w:r>
    </w:p>
    <w:p w:rsidR="00642CDE" w:rsidRDefault="006D0C79">
      <w:pPr>
        <w:spacing w:after="0" w:line="240" w:lineRule="auto"/>
        <w:ind w:firstLine="709"/>
        <w:jc w:val="both"/>
        <w:rPr>
          <w:spacing w:val="4"/>
          <w:sz w:val="24"/>
        </w:rPr>
      </w:pPr>
      <w:r>
        <w:rPr>
          <w:spacing w:val="4"/>
          <w:sz w:val="24"/>
        </w:rPr>
        <w:t>В настоящее время, объекты использования атомной энергии - считаются самыми экологичными индустриальными объектами.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Конкурентоспособность ПАО «СУС» основывается на уникальной материально-технической базе и кадровых ресурсах, а также опыте координации деятельности научных, проектных и конструкторских организаций.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color w:val="222222"/>
          <w:sz w:val="24"/>
          <w:highlight w:val="white"/>
        </w:rPr>
        <w:t>Сравнительный анализ финансового состояния российских орг</w:t>
      </w:r>
      <w:r>
        <w:rPr>
          <w:color w:val="222222"/>
          <w:sz w:val="24"/>
          <w:highlight w:val="white"/>
        </w:rPr>
        <w:t>анизаций TestFirm.ru реализованый компанией «ПрофСофт» по заданию и под контролем специалистов аудиторской фирмы</w:t>
      </w:r>
      <w:r>
        <w:rPr>
          <w:sz w:val="24"/>
          <w:highlight w:val="white"/>
        </w:rPr>
        <w:t xml:space="preserve"> </w:t>
      </w:r>
      <w:hyperlink r:id="rId12" w:history="1">
        <w:r>
          <w:rPr>
            <w:sz w:val="24"/>
            <w:highlight w:val="white"/>
          </w:rPr>
          <w:t>ПКАТ «Авдеев и Ко»</w:t>
        </w:r>
      </w:hyperlink>
      <w:r>
        <w:rPr>
          <w:sz w:val="24"/>
        </w:rPr>
        <w:t xml:space="preserve"> (</w:t>
      </w:r>
      <w:r>
        <w:rPr>
          <w:color w:val="222222"/>
          <w:sz w:val="24"/>
          <w:highlight w:val="white"/>
        </w:rPr>
        <w:t xml:space="preserve">создателями бухгалтерского </w:t>
      </w:r>
      <w:r>
        <w:rPr>
          <w:sz w:val="24"/>
          <w:highlight w:val="white"/>
        </w:rPr>
        <w:t xml:space="preserve">портала </w:t>
      </w:r>
      <w:hyperlink r:id="rId13" w:history="1">
        <w:r>
          <w:rPr>
            <w:sz w:val="24"/>
            <w:highlight w:val="white"/>
          </w:rPr>
          <w:t>Audit-it.ru</w:t>
        </w:r>
      </w:hyperlink>
      <w:r>
        <w:rPr>
          <w:sz w:val="24"/>
        </w:rPr>
        <w:t>)</w:t>
      </w:r>
      <w:r>
        <w:rPr>
          <w:color w:val="222222"/>
          <w:sz w:val="24"/>
          <w:highlight w:val="white"/>
        </w:rPr>
        <w:t>, показал, что в</w:t>
      </w:r>
      <w:r>
        <w:rPr>
          <w:sz w:val="24"/>
        </w:rPr>
        <w:t xml:space="preserve"> рейтинге строительных компаний Ленинградской области по отрасли «Строительство жилых и нежилых зданий» (составленному, по полученной выручке за 2024 год), ПАО СУС, по предварительным итогам 2024 года занимает:</w:t>
      </w:r>
    </w:p>
    <w:p w:rsidR="00642CDE" w:rsidRDefault="006D0C79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sz w:val="24"/>
        </w:rPr>
      </w:pPr>
      <w:hyperlink r:id="rId14" w:history="1">
        <w:r>
          <w:rPr>
            <w:sz w:val="24"/>
          </w:rPr>
          <w:t>87</w:t>
        </w:r>
      </w:hyperlink>
      <w:r>
        <w:rPr>
          <w:sz w:val="24"/>
        </w:rPr>
        <w:t xml:space="preserve"> место по выручке в России среди 83,9 тысяч предприятий отрасли;</w:t>
      </w:r>
    </w:p>
    <w:p w:rsidR="00642CDE" w:rsidRDefault="006D0C79">
      <w:pPr>
        <w:numPr>
          <w:ilvl w:val="0"/>
          <w:numId w:val="4"/>
        </w:numPr>
        <w:spacing w:after="0" w:line="240" w:lineRule="auto"/>
        <w:ind w:left="0" w:firstLine="709"/>
        <w:contextualSpacing/>
        <w:jc w:val="both"/>
        <w:rPr>
          <w:sz w:val="24"/>
        </w:rPr>
      </w:pPr>
      <w:hyperlink r:id="rId15" w:history="1">
        <w:r>
          <w:rPr>
            <w:sz w:val="24"/>
          </w:rPr>
          <w:t>104</w:t>
        </w:r>
      </w:hyperlink>
      <w:r>
        <w:rPr>
          <w:sz w:val="24"/>
        </w:rPr>
        <w:t xml:space="preserve"> место по активам.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Сильными сторонами ПАО «СУС», которые обусла</w:t>
      </w:r>
      <w:r>
        <w:rPr>
          <w:sz w:val="24"/>
        </w:rPr>
        <w:t>вливают его высокую конкурентоспособность в соответствующей отрасли, являются:</w:t>
      </w:r>
    </w:p>
    <w:p w:rsidR="00642CDE" w:rsidRDefault="006D0C79">
      <w:pPr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 xml:space="preserve">наличие долгосрочных контрактов с крупными российскими и иностранными контрагентами в сфере атомной энергетики и промышленного строительства; </w:t>
      </w:r>
    </w:p>
    <w:p w:rsidR="00642CDE" w:rsidRDefault="006D0C79">
      <w:pPr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наличие большого перечня лицензион</w:t>
      </w:r>
      <w:r>
        <w:rPr>
          <w:sz w:val="24"/>
        </w:rPr>
        <w:t>но-разрешительной документации, существенно расширяющей возможности организации для самостоятельного проведения различных специализированных видов работ, что способствует снижению временных потерь и затрат на оплату работ и услуг сторонним контрагентам;</w:t>
      </w:r>
    </w:p>
    <w:p w:rsidR="00642CDE" w:rsidRDefault="006D0C79">
      <w:pPr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эф</w:t>
      </w:r>
      <w:r>
        <w:rPr>
          <w:sz w:val="24"/>
        </w:rPr>
        <w:t>фективный менеджмент;</w:t>
      </w:r>
    </w:p>
    <w:p w:rsidR="00642CDE" w:rsidRDefault="006D0C79">
      <w:pPr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надежность и качество выполнения строительно-монтажных работ, в том числе, за счет проведения анализа и подбора оптимальных материалов и технологий для строительства;</w:t>
      </w:r>
    </w:p>
    <w:p w:rsidR="00642CDE" w:rsidRDefault="006D0C79">
      <w:pPr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контроль качества и безопасности строительных работ;</w:t>
      </w:r>
    </w:p>
    <w:p w:rsidR="00642CDE" w:rsidRDefault="006D0C79">
      <w:pPr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соблюдение сро</w:t>
      </w:r>
      <w:r>
        <w:rPr>
          <w:sz w:val="24"/>
        </w:rPr>
        <w:t>ков строительства и контроль за бюджетом;</w:t>
      </w:r>
    </w:p>
    <w:p w:rsidR="00642CDE" w:rsidRDefault="006D0C79">
      <w:pPr>
        <w:numPr>
          <w:ilvl w:val="0"/>
          <w:numId w:val="5"/>
        </w:numPr>
        <w:tabs>
          <w:tab w:val="left" w:pos="709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организация работы строительных подразделений и обеспечение их материально-технической базой.</w:t>
      </w:r>
    </w:p>
    <w:p w:rsidR="00642CDE" w:rsidRDefault="00642CDE">
      <w:pPr>
        <w:pStyle w:val="30"/>
        <w:jc w:val="center"/>
      </w:pPr>
    </w:p>
    <w:p w:rsidR="00642CDE" w:rsidRDefault="006D0C79">
      <w:pPr>
        <w:pStyle w:val="30"/>
        <w:jc w:val="center"/>
      </w:pPr>
      <w:bookmarkStart w:id="5" w:name="__RefHeading___4"/>
      <w:bookmarkEnd w:id="5"/>
      <w:r>
        <w:t>Раздел 4. Приоритетные направления деятельности общества</w:t>
      </w:r>
    </w:p>
    <w:p w:rsidR="00642CDE" w:rsidRDefault="006D0C79">
      <w:pPr>
        <w:widowControl w:val="0"/>
        <w:spacing w:after="0" w:line="240" w:lineRule="auto"/>
        <w:ind w:firstLine="709"/>
        <w:jc w:val="both"/>
        <w:rPr>
          <w:sz w:val="24"/>
        </w:rPr>
      </w:pPr>
      <w:r>
        <w:rPr>
          <w:spacing w:val="3"/>
          <w:sz w:val="24"/>
        </w:rPr>
        <w:t xml:space="preserve">Основным направлением деятельности ПАО «СУС» является </w:t>
      </w:r>
      <w:r>
        <w:rPr>
          <w:spacing w:val="3"/>
          <w:sz w:val="24"/>
        </w:rPr>
        <w:t>строительство АЭС и иных объектов атомной отрасли.</w:t>
      </w:r>
    </w:p>
    <w:p w:rsidR="00642CDE" w:rsidRDefault="006D0C79">
      <w:pPr>
        <w:pStyle w:val="500"/>
        <w:spacing w:before="0" w:line="240" w:lineRule="auto"/>
        <w:ind w:left="0" w:firstLine="709"/>
        <w:jc w:val="both"/>
        <w:rPr>
          <w:sz w:val="24"/>
        </w:rPr>
      </w:pPr>
      <w:r>
        <w:rPr>
          <w:sz w:val="24"/>
        </w:rPr>
        <w:t>Приоритетным направлением деятельности ПАО «СУС» является расширение географии строительных объектов для выполнение строительно-монтажных работ (СМР), как на территории Российской Федерации, так и за рубеж</w:t>
      </w:r>
      <w:r>
        <w:rPr>
          <w:sz w:val="24"/>
        </w:rPr>
        <w:t>ом (Турецкая Республика, Арабская Республика Египет, Венгерская Республика).</w:t>
      </w:r>
    </w:p>
    <w:p w:rsidR="00642CDE" w:rsidRDefault="006D0C79">
      <w:pPr>
        <w:widowControl w:val="0"/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 2024 году организация продолжала, начатые в 2023 году работы по строительству и монтажу третьего и четвертого блоков Ленинградской АЭС-2, строительно-монтажные работы на объекта</w:t>
      </w:r>
      <w:r>
        <w:rPr>
          <w:sz w:val="24"/>
        </w:rPr>
        <w:t>х ПТК по обработке, утилизации и обезвреживанию отходов I и II классов опасности и др.</w:t>
      </w:r>
    </w:p>
    <w:p w:rsidR="00642CDE" w:rsidRDefault="00642CDE">
      <w:pPr>
        <w:pStyle w:val="500"/>
        <w:spacing w:before="0" w:line="240" w:lineRule="auto"/>
        <w:ind w:left="0"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ПАО «СУС» может выделить ряд ключевых факторов, которые обуславливают его высокую конкурентоспособность в соответствующей отрасли:</w:t>
      </w:r>
    </w:p>
    <w:p w:rsidR="00642CDE" w:rsidRDefault="006D0C7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Наличие долгосрочных контрактов с кру</w:t>
      </w:r>
      <w:r>
        <w:rPr>
          <w:sz w:val="24"/>
        </w:rPr>
        <w:t xml:space="preserve">пными российскими и иностранными контрагентами в сфере атомной энергетики и промышленного строительства. </w:t>
      </w:r>
    </w:p>
    <w:p w:rsidR="00642CDE" w:rsidRDefault="006D0C7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Эффективное управление проектами.</w:t>
      </w:r>
    </w:p>
    <w:p w:rsidR="00642CDE" w:rsidRDefault="006D0C79">
      <w:pPr>
        <w:tabs>
          <w:tab w:val="left" w:pos="1134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Публичное акционерное общество «Северное управление строительства» имеет более чем 55-летний опыт строительства объе</w:t>
      </w:r>
      <w:r>
        <w:rPr>
          <w:sz w:val="24"/>
        </w:rPr>
        <w:t>ктов атомной энергетики. ПАО «СУС» непосредственно участвовало в строительстве Игналинской АЭС в Литве, на возведении саркофага Чернобыльской атомной станции (объект «Укрытие»), принимало участие в ликвидации последствий землетрясения в Армении, на реконст</w:t>
      </w:r>
      <w:r>
        <w:rPr>
          <w:sz w:val="24"/>
        </w:rPr>
        <w:t xml:space="preserve">рукции комбината «Североникель», на заводе «Электрогорск» Московской области, в Ленинградской и Вологодской областях, в Санкт-Петербурге. </w:t>
      </w:r>
    </w:p>
    <w:p w:rsidR="00642CDE" w:rsidRDefault="006D0C79">
      <w:pPr>
        <w:tabs>
          <w:tab w:val="left" w:pos="1134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 период с 2006 по 2008 гг. ПАО «СУС» выступало генеральным подрядчиком при строительстве комплекса защитных сооружен</w:t>
      </w:r>
      <w:r>
        <w:rPr>
          <w:sz w:val="24"/>
        </w:rPr>
        <w:t>ий Санкт-Петербурга от наводнений (дамба).</w:t>
      </w:r>
    </w:p>
    <w:p w:rsidR="00642CDE" w:rsidRDefault="006D0C79">
      <w:pPr>
        <w:tabs>
          <w:tab w:val="left" w:pos="1134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С 2010 по 2012 гг. ПАО «СУС» выполняло работы по сооружению Балтийской АЭС в качестве генерального подрядчика подготовительного периода.</w:t>
      </w:r>
    </w:p>
    <w:p w:rsidR="00642CDE" w:rsidRDefault="006D0C79">
      <w:pPr>
        <w:tabs>
          <w:tab w:val="left" w:pos="1134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С 2008 по 2018 гг. Строительство замещающих мощностей энергоблоков № 1 и № 2</w:t>
      </w:r>
      <w:r>
        <w:rPr>
          <w:sz w:val="24"/>
        </w:rPr>
        <w:t xml:space="preserve"> Ленинградской АЭС-2.</w:t>
      </w:r>
    </w:p>
    <w:p w:rsidR="00642CDE" w:rsidRDefault="006D0C79">
      <w:pPr>
        <w:tabs>
          <w:tab w:val="left" w:pos="1134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За трудовые заслуги ПАО «СУС» награждено орденом Октябрьской революции.</w:t>
      </w:r>
    </w:p>
    <w:p w:rsidR="00642CDE" w:rsidRDefault="006D0C7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Надежность и качество выполнения строительно-монтажных работ в том числе, за счет проведения анализа и подбора оптимальных материалов и технологий для строительст</w:t>
      </w:r>
      <w:r>
        <w:rPr>
          <w:sz w:val="24"/>
        </w:rPr>
        <w:t>ва.</w:t>
      </w:r>
    </w:p>
    <w:p w:rsidR="00642CDE" w:rsidRDefault="006D0C79">
      <w:pPr>
        <w:tabs>
          <w:tab w:val="left" w:pos="1134"/>
        </w:tabs>
        <w:spacing w:after="0" w:line="240" w:lineRule="auto"/>
        <w:ind w:firstLine="851"/>
        <w:jc w:val="both"/>
        <w:rPr>
          <w:sz w:val="24"/>
        </w:rPr>
      </w:pPr>
      <w:r>
        <w:rPr>
          <w:sz w:val="24"/>
        </w:rPr>
        <w:t>Возможность оказания широкого спектра качественных услуг и выполнения работ, подтверждена наличием у ПАО «СУС» лицензий, свидетельств и сертификатов.</w:t>
      </w:r>
    </w:p>
    <w:p w:rsidR="00642CDE" w:rsidRDefault="006D0C79">
      <w:pPr>
        <w:tabs>
          <w:tab w:val="left" w:pos="1134"/>
        </w:tabs>
        <w:spacing w:after="0" w:line="240" w:lineRule="auto"/>
        <w:ind w:firstLine="851"/>
        <w:jc w:val="both"/>
        <w:rPr>
          <w:sz w:val="24"/>
        </w:rPr>
      </w:pPr>
      <w:r>
        <w:rPr>
          <w:sz w:val="24"/>
        </w:rPr>
        <w:t xml:space="preserve">Значительный вклад при определении качества и надежности материалов, в процессе строительства, вносит </w:t>
      </w:r>
      <w:r>
        <w:rPr>
          <w:sz w:val="24"/>
        </w:rPr>
        <w:t>аттестованный испытательный центр строительных материалов ПАО СУС (ИЦСМиК) – строительная лаборатория, имеющая Аттестаты аккредитации, в соответствии с требованиями Международного стандарта ISO/IEC 17025:2017 (ГОСТ ISO/IEC 17025-2019) и Свидетельство об ат</w:t>
      </w:r>
      <w:r>
        <w:rPr>
          <w:sz w:val="24"/>
        </w:rPr>
        <w:t>тестации на соответствие требованиям Системы неразрушающего контроля (СДАНК-01-2020).</w:t>
      </w:r>
    </w:p>
    <w:p w:rsidR="00642CDE" w:rsidRDefault="006D0C79">
      <w:pPr>
        <w:tabs>
          <w:tab w:val="left" w:pos="1134"/>
        </w:tabs>
        <w:spacing w:after="0" w:line="240" w:lineRule="auto"/>
        <w:ind w:firstLine="851"/>
        <w:jc w:val="both"/>
        <w:rPr>
          <w:sz w:val="24"/>
        </w:rPr>
      </w:pPr>
      <w:r>
        <w:rPr>
          <w:sz w:val="24"/>
        </w:rPr>
        <w:t xml:space="preserve">Испытания строительных материалов проводятся по основным параметрам в соответствии с требованиями ГОСТ, СНиП и иных нормативных документов: цемент – на активность, сроки </w:t>
      </w:r>
      <w:r>
        <w:rPr>
          <w:sz w:val="24"/>
        </w:rPr>
        <w:t>схватывания, тонкость помола, тесто нормальной густоты; песок на плотность, объемный вес, пустотность, загрязнение; щебень — на плотность, объёмный вес, гранулометрический состав.</w:t>
      </w:r>
    </w:p>
    <w:p w:rsidR="00642CDE" w:rsidRDefault="006D0C79">
      <w:pPr>
        <w:tabs>
          <w:tab w:val="left" w:pos="1134"/>
        </w:tabs>
        <w:spacing w:after="0" w:line="240" w:lineRule="auto"/>
        <w:ind w:firstLine="851"/>
        <w:jc w:val="both"/>
        <w:rPr>
          <w:sz w:val="24"/>
        </w:rPr>
      </w:pPr>
      <w:r>
        <w:rPr>
          <w:sz w:val="24"/>
        </w:rPr>
        <w:t>Наличие Свидетельства об аттестации на соответствие требованиям Системы нера</w:t>
      </w:r>
      <w:r>
        <w:rPr>
          <w:sz w:val="24"/>
        </w:rPr>
        <w:t>зрушающего контроля позволяет проводить проверку сварных соединений и основных материалов различных конструкций и изделий в лабораторных условиях и на строительных объектах физическими и инструментальными методами. Производить объективную обработку, анализ</w:t>
      </w:r>
      <w:r>
        <w:rPr>
          <w:sz w:val="24"/>
        </w:rPr>
        <w:t xml:space="preserve"> и оценку полученной о проверенных изделиях информации.</w:t>
      </w:r>
    </w:p>
    <w:p w:rsidR="00642CDE" w:rsidRDefault="006D0C7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Контроль качества и безопасности строительных работ.</w:t>
      </w:r>
    </w:p>
    <w:p w:rsidR="00642CDE" w:rsidRDefault="006D0C79">
      <w:pPr>
        <w:tabs>
          <w:tab w:val="left" w:pos="1134"/>
        </w:tabs>
        <w:spacing w:after="0" w:line="240" w:lineRule="auto"/>
        <w:ind w:firstLine="851"/>
        <w:jc w:val="both"/>
        <w:rPr>
          <w:sz w:val="24"/>
        </w:rPr>
      </w:pPr>
      <w:r>
        <w:rPr>
          <w:sz w:val="24"/>
        </w:rPr>
        <w:t xml:space="preserve">Организация находится в Реестре аккредитованных организаций, оказывающих услуги в области охраны труда в части обучения работодателей и работников </w:t>
      </w:r>
      <w:r>
        <w:rPr>
          <w:sz w:val="24"/>
        </w:rPr>
        <w:t>по вопросам охраны труда Министерства труда и социальной защиты Российской Федерации с 17.09.2020.</w:t>
      </w:r>
    </w:p>
    <w:p w:rsidR="00642CDE" w:rsidRDefault="006D0C7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Соблюдение сроков строительства и контроль за бюджетом.</w:t>
      </w:r>
    </w:p>
    <w:p w:rsidR="00642CDE" w:rsidRDefault="006D0C7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Организация работы строительных подразделений и обеспечение их материально-технической базой;</w:t>
      </w:r>
    </w:p>
    <w:p w:rsidR="00642CDE" w:rsidRDefault="006D0C79">
      <w:pPr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Професс</w:t>
      </w:r>
      <w:r>
        <w:rPr>
          <w:sz w:val="24"/>
        </w:rPr>
        <w:t>ионализм и компетентность персонала.</w:t>
      </w:r>
    </w:p>
    <w:p w:rsidR="00642CDE" w:rsidRDefault="006D0C79">
      <w:pPr>
        <w:tabs>
          <w:tab w:val="left" w:pos="993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Действующая организационная структура Эмитента дает возможность осуществлять полный цикл работ по созданию объекта - строительные работы нулевого цикла, сооружение зданий, монтаж металлоконструкций и железобетонных изде</w:t>
      </w:r>
      <w:r>
        <w:rPr>
          <w:sz w:val="24"/>
        </w:rPr>
        <w:t xml:space="preserve">лий, кровли любого типа, прокладку инженерных сетей, строительство дорог и благоустройство территорий, отделку помещений и др. 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pStyle w:val="30"/>
        <w:spacing w:after="0"/>
        <w:ind w:firstLine="567"/>
        <w:jc w:val="both"/>
        <w:rPr>
          <w:rFonts w:ascii="Times New Roman" w:hAnsi="Times New Roman"/>
          <w:color w:val="254061"/>
          <w:sz w:val="28"/>
        </w:rPr>
      </w:pPr>
      <w:bookmarkStart w:id="6" w:name="__RefHeading___5"/>
      <w:bookmarkEnd w:id="6"/>
      <w:r>
        <w:rPr>
          <w:rFonts w:ascii="Times New Roman" w:hAnsi="Times New Roman"/>
          <w:color w:val="254061"/>
          <w:sz w:val="28"/>
        </w:rPr>
        <w:t>Раздел 5. Отчет совета директоров о результатах развития общества по приоритетным направлениям его деятельности</w:t>
      </w:r>
    </w:p>
    <w:p w:rsidR="00642CDE" w:rsidRDefault="00642CDE"/>
    <w:p w:rsidR="00642CDE" w:rsidRDefault="006D0C79">
      <w:pPr>
        <w:tabs>
          <w:tab w:val="left" w:pos="0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Последние 5 ле</w:t>
      </w:r>
      <w:r>
        <w:rPr>
          <w:sz w:val="24"/>
        </w:rPr>
        <w:t>т, начиная с пандемии 2020-го года, оказали существенное влияние не только на отрасль «Строительство», но и на всю экономику страны. Общий рост себестоимости строительных объектов за этот период составил более 70%.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Несмотря на возникающие сложности, в отче</w:t>
      </w:r>
      <w:r>
        <w:rPr>
          <w:sz w:val="24"/>
        </w:rPr>
        <w:t>тном году общество продолжило выполнение работ, оказание услуг и выпуск продукции в рамках сформированной производственной программы, составленной на основании заключенных на долгосрочный период контрактов.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Общество является одним из ведущих предприятий в </w:t>
      </w:r>
      <w:r>
        <w:rPr>
          <w:sz w:val="24"/>
        </w:rPr>
        <w:t xml:space="preserve">г. Сосновый Бор по строительно-монтажным работам, наибольший удельный вес которых выполняется собственными силами. 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Подразделения, входящие в ПАО «СУС» выполняют общестроительные, земляные работы, обеспечивают объекты электроэнергией, транспортом, строймат</w:t>
      </w:r>
      <w:r>
        <w:rPr>
          <w:sz w:val="24"/>
        </w:rPr>
        <w:t>ериалами и др.</w:t>
      </w:r>
    </w:p>
    <w:p w:rsidR="00642CDE" w:rsidRDefault="006D0C79">
      <w:pPr>
        <w:tabs>
          <w:tab w:val="left" w:pos="154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После проведенной в 2023 году реорганизации, в 2024 г. в ПАО «СУС» сформировалась организационная структура (Протокол заседания Совета директоров № 09-2024 от 28.10.2024 г.), способная ответственно, оперативно и качественно решать задачи, </w:t>
      </w:r>
      <w:r>
        <w:rPr>
          <w:sz w:val="24"/>
        </w:rPr>
        <w:t>связанные с деятельностью и развитием строительного комплекса.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 2024 г. структура Общества включала в себя следующие направления деятельности:</w:t>
      </w:r>
    </w:p>
    <w:p w:rsidR="00642CDE" w:rsidRDefault="006D0C79">
      <w:pPr>
        <w:numPr>
          <w:ilvl w:val="0"/>
          <w:numId w:val="7"/>
        </w:numPr>
        <w:tabs>
          <w:tab w:val="left" w:pos="709"/>
          <w:tab w:val="left" w:pos="993"/>
        </w:tabs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Строительство.</w:t>
      </w:r>
    </w:p>
    <w:p w:rsidR="00642CDE" w:rsidRDefault="006D0C79">
      <w:pPr>
        <w:numPr>
          <w:ilvl w:val="0"/>
          <w:numId w:val="7"/>
        </w:numPr>
        <w:tabs>
          <w:tab w:val="left" w:pos="709"/>
          <w:tab w:val="left" w:pos="993"/>
        </w:tabs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Производство и монтаж металлоконструкций и внешних и внутренних защитных оболочек атомных электро</w:t>
      </w:r>
      <w:r>
        <w:rPr>
          <w:sz w:val="24"/>
        </w:rPr>
        <w:t>станций.</w:t>
      </w:r>
    </w:p>
    <w:p w:rsidR="00642CDE" w:rsidRDefault="006D0C79">
      <w:pPr>
        <w:numPr>
          <w:ilvl w:val="0"/>
          <w:numId w:val="7"/>
        </w:numPr>
        <w:tabs>
          <w:tab w:val="left" w:pos="709"/>
          <w:tab w:val="left" w:pos="993"/>
        </w:tabs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Испытательный центр строительных материалов и конструкций (лабораторное сопровождение строительства объектов с проведением испытаний строительных материалов, изделий и конструкций, а также контроль качества продукции).</w:t>
      </w:r>
    </w:p>
    <w:p w:rsidR="00642CDE" w:rsidRDefault="006D0C79">
      <w:pPr>
        <w:numPr>
          <w:ilvl w:val="0"/>
          <w:numId w:val="7"/>
        </w:numPr>
        <w:tabs>
          <w:tab w:val="left" w:pos="709"/>
          <w:tab w:val="left" w:pos="993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Учебный центр - обучение и а</w:t>
      </w:r>
      <w:r>
        <w:rPr>
          <w:sz w:val="24"/>
        </w:rPr>
        <w:t>ттестация специалистов, занятых в строительстве и на производстве.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Увеличение количества проектов и объема выполняемых работ закономерно ведет к расширению штата и росту численности сотрудников.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jc w:val="center"/>
        <w:rPr>
          <w:b/>
          <w:sz w:val="24"/>
        </w:rPr>
      </w:pPr>
      <w:r>
        <w:rPr>
          <w:b/>
          <w:sz w:val="24"/>
        </w:rPr>
        <w:t>Динамика численности персонала ПАО СУС, чел.</w:t>
      </w: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709"/>
        <w:gridCol w:w="3402"/>
        <w:gridCol w:w="1843"/>
        <w:gridCol w:w="1843"/>
        <w:gridCol w:w="1842"/>
      </w:tblGrid>
      <w:tr w:rsidR="00642CDE">
        <w:trPr>
          <w:trHeight w:val="425"/>
        </w:trPr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№ п/п</w:t>
            </w:r>
          </w:p>
        </w:tc>
        <w:tc>
          <w:tcPr>
            <w:tcW w:w="34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Показате</w:t>
            </w:r>
            <w:r>
              <w:rPr>
                <w:b/>
                <w:sz w:val="24"/>
              </w:rPr>
              <w:t>ли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 31.12.2022г.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 31.12.2023г.</w:t>
            </w:r>
          </w:p>
        </w:tc>
        <w:tc>
          <w:tcPr>
            <w:tcW w:w="184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 31.12.2024г.</w:t>
            </w:r>
          </w:p>
        </w:tc>
      </w:tr>
      <w:tr w:rsidR="00642CDE">
        <w:trPr>
          <w:trHeight w:val="330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Общая численность персонала, всего: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877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374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1778</w:t>
            </w:r>
          </w:p>
        </w:tc>
      </w:tr>
      <w:tr w:rsidR="00642CDE">
        <w:trPr>
          <w:trHeight w:val="315"/>
        </w:trPr>
        <w:tc>
          <w:tcPr>
            <w:tcW w:w="70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из них: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 </w:t>
            </w:r>
          </w:p>
        </w:tc>
      </w:tr>
      <w:tr w:rsidR="00642CDE">
        <w:trPr>
          <w:trHeight w:val="315"/>
        </w:trPr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340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contextualSpacing/>
              <w:jc w:val="both"/>
              <w:rPr>
                <w:sz w:val="24"/>
              </w:rPr>
            </w:pPr>
            <w:r>
              <w:rPr>
                <w:sz w:val="24"/>
              </w:rPr>
              <w:t>Основные рабочие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527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87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951</w:t>
            </w:r>
          </w:p>
        </w:tc>
      </w:tr>
      <w:tr w:rsidR="00642CDE">
        <w:trPr>
          <w:trHeight w:val="315"/>
        </w:trPr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340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contextualSpacing/>
              <w:jc w:val="both"/>
              <w:rPr>
                <w:sz w:val="24"/>
              </w:rPr>
            </w:pPr>
            <w:r>
              <w:rPr>
                <w:sz w:val="24"/>
              </w:rPr>
              <w:t>ИТР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125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76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294</w:t>
            </w:r>
          </w:p>
        </w:tc>
      </w:tr>
      <w:tr w:rsidR="00642CDE">
        <w:trPr>
          <w:trHeight w:val="315"/>
        </w:trPr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340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contextualSpacing/>
              <w:jc w:val="both"/>
              <w:rPr>
                <w:sz w:val="24"/>
              </w:rPr>
            </w:pPr>
            <w:r>
              <w:rPr>
                <w:sz w:val="24"/>
              </w:rPr>
              <w:t>Специалисты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642CDE">
        <w:trPr>
          <w:trHeight w:val="315"/>
        </w:trPr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340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contextualSpacing/>
              <w:jc w:val="both"/>
              <w:rPr>
                <w:sz w:val="24"/>
              </w:rPr>
            </w:pPr>
            <w:r>
              <w:rPr>
                <w:sz w:val="24"/>
              </w:rPr>
              <w:t>Линейный персонал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109</w:t>
            </w:r>
          </w:p>
        </w:tc>
      </w:tr>
      <w:tr w:rsidR="00642CDE">
        <w:trPr>
          <w:trHeight w:val="315"/>
        </w:trPr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340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contextualSpacing/>
              <w:jc w:val="both"/>
              <w:rPr>
                <w:sz w:val="24"/>
              </w:rPr>
            </w:pPr>
            <w:r>
              <w:rPr>
                <w:sz w:val="24"/>
              </w:rPr>
              <w:t>Инженеры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157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642CDE">
        <w:trPr>
          <w:trHeight w:val="315"/>
        </w:trPr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340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contextualSpacing/>
              <w:jc w:val="both"/>
              <w:rPr>
                <w:sz w:val="24"/>
              </w:rPr>
            </w:pPr>
            <w:r>
              <w:rPr>
                <w:sz w:val="24"/>
              </w:rPr>
              <w:t>АУП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67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172</w:t>
            </w:r>
          </w:p>
        </w:tc>
      </w:tr>
      <w:tr w:rsidR="00642CDE">
        <w:trPr>
          <w:trHeight w:val="330"/>
        </w:trPr>
        <w:tc>
          <w:tcPr>
            <w:tcW w:w="70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numPr>
                <w:ilvl w:val="0"/>
                <w:numId w:val="8"/>
              </w:numPr>
              <w:spacing w:after="0" w:line="240" w:lineRule="auto"/>
              <w:ind w:left="0" w:firstLine="0"/>
              <w:contextualSpacing/>
              <w:jc w:val="both"/>
              <w:rPr>
                <w:sz w:val="24"/>
              </w:rPr>
            </w:pPr>
            <w:r>
              <w:rPr>
                <w:sz w:val="24"/>
              </w:rPr>
              <w:t>Аутстаффинг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239</w:t>
            </w:r>
          </w:p>
        </w:tc>
      </w:tr>
    </w:tbl>
    <w:p w:rsidR="00642CDE" w:rsidRDefault="00642CDE">
      <w:pPr>
        <w:spacing w:after="0" w:line="240" w:lineRule="auto"/>
        <w:ind w:firstLine="709"/>
        <w:jc w:val="both"/>
        <w:rPr>
          <w:b/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Снижение численности персонала в 2023 году было связано с проведенной реорганизацией и выделением в отдельное предприятие из ПАО СУС подразделения, оказывающего услуги транспорта и машин и механизмов. 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Сразу после реорганизации, началось наполнение организационной структуры организации строительными и производственными подразделениями. Что подтверждается ростом численности сотрудников в 2024 году. </w:t>
      </w:r>
    </w:p>
    <w:p w:rsidR="00642CDE" w:rsidRDefault="006D0C79">
      <w:pPr>
        <w:spacing w:after="0" w:line="240" w:lineRule="auto"/>
        <w:ind w:firstLine="720"/>
        <w:jc w:val="both"/>
        <w:rPr>
          <w:sz w:val="24"/>
        </w:rPr>
      </w:pPr>
      <w:r>
        <w:rPr>
          <w:sz w:val="24"/>
        </w:rPr>
        <w:t>При анализе операционной деятельности за 2024 год, необх</w:t>
      </w:r>
      <w:r>
        <w:rPr>
          <w:sz w:val="24"/>
        </w:rPr>
        <w:t>одимо учитывать влияние на ФХД организации процесса реорганизации, которое произошло в июле 2023 года. Результатом, которой стало выведение из ПАО СУС автотранспортного подразделения и наполнение организации строителями.</w:t>
      </w:r>
    </w:p>
    <w:p w:rsidR="00642CDE" w:rsidRDefault="006D0C79">
      <w:pPr>
        <w:spacing w:after="0" w:line="240" w:lineRule="auto"/>
        <w:ind w:firstLine="720"/>
        <w:jc w:val="both"/>
        <w:rPr>
          <w:sz w:val="24"/>
        </w:rPr>
      </w:pPr>
      <w:r>
        <w:rPr>
          <w:sz w:val="24"/>
        </w:rPr>
        <w:t>Основную долю в выручке 2022 года (</w:t>
      </w:r>
      <w:r>
        <w:rPr>
          <w:sz w:val="24"/>
        </w:rPr>
        <w:t>до 90%) составляли услуги по предоставлению транспорта и машин и механизмов. Доля строительно-монтажных работ совсем незначительна.</w:t>
      </w:r>
    </w:p>
    <w:p w:rsidR="00642CDE" w:rsidRDefault="006D0C79">
      <w:pPr>
        <w:spacing w:after="0" w:line="240" w:lineRule="auto"/>
        <w:ind w:firstLine="720"/>
        <w:jc w:val="both"/>
        <w:rPr>
          <w:sz w:val="24"/>
        </w:rPr>
      </w:pPr>
      <w:r>
        <w:rPr>
          <w:sz w:val="24"/>
        </w:rPr>
        <w:t>Проведенная в середине 2023 года реорганизация кардинально изменила расстановку направлений деятельности, и к концу 2024 год</w:t>
      </w:r>
      <w:r>
        <w:rPr>
          <w:sz w:val="24"/>
        </w:rPr>
        <w:t>а доля СМР в структуре выручки занимает 97%.</w:t>
      </w:r>
    </w:p>
    <w:p w:rsidR="00642CDE" w:rsidRDefault="00642CDE">
      <w:pPr>
        <w:spacing w:after="0" w:line="240" w:lineRule="auto"/>
        <w:jc w:val="center"/>
        <w:rPr>
          <w:b/>
          <w:sz w:val="24"/>
        </w:rPr>
      </w:pPr>
    </w:p>
    <w:p w:rsidR="00642CDE" w:rsidRDefault="006D0C79">
      <w:pPr>
        <w:spacing w:after="0" w:line="240" w:lineRule="auto"/>
        <w:jc w:val="center"/>
        <w:rPr>
          <w:b/>
          <w:sz w:val="24"/>
        </w:rPr>
      </w:pPr>
      <w:r>
        <w:rPr>
          <w:b/>
          <w:sz w:val="24"/>
        </w:rPr>
        <w:t>Динамика основных показателей деятельности ПАО «СУС»</w:t>
      </w:r>
    </w:p>
    <w:p w:rsidR="00642CDE" w:rsidRDefault="00642CDE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93" w:type="dxa"/>
        <w:tblLayout w:type="fixed"/>
        <w:tblLook w:val="04A0" w:firstRow="1" w:lastRow="0" w:firstColumn="1" w:lastColumn="0" w:noHBand="0" w:noVBand="1"/>
      </w:tblPr>
      <w:tblGrid>
        <w:gridCol w:w="5544"/>
        <w:gridCol w:w="1275"/>
        <w:gridCol w:w="1418"/>
        <w:gridCol w:w="1417"/>
      </w:tblGrid>
      <w:tr w:rsidR="00642CDE">
        <w:trPr>
          <w:trHeight w:val="330"/>
        </w:trPr>
        <w:tc>
          <w:tcPr>
            <w:tcW w:w="55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Наименование показателей</w:t>
            </w:r>
          </w:p>
        </w:tc>
        <w:tc>
          <w:tcPr>
            <w:tcW w:w="4110" w:type="dxa"/>
            <w:gridSpan w:val="3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тыс.руб.</w:t>
            </w:r>
          </w:p>
        </w:tc>
      </w:tr>
      <w:tr w:rsidR="00642CDE">
        <w:trPr>
          <w:trHeight w:val="330"/>
        </w:trPr>
        <w:tc>
          <w:tcPr>
            <w:tcW w:w="5544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12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2022 г.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2023 г.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2024 г.</w:t>
            </w:r>
          </w:p>
        </w:tc>
      </w:tr>
      <w:tr w:rsidR="00642CDE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Выручка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2 656 833</w:t>
            </w:r>
          </w:p>
        </w:tc>
        <w:tc>
          <w:tcPr>
            <w:tcW w:w="1418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5 688 148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13 366 397</w:t>
            </w:r>
          </w:p>
        </w:tc>
      </w:tr>
      <w:tr w:rsidR="00642CDE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Себестоимость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2 547 177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5 499 092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13 950 698</w:t>
            </w:r>
          </w:p>
        </w:tc>
      </w:tr>
      <w:tr w:rsidR="00642CDE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 xml:space="preserve">Прибыль </w:t>
            </w:r>
            <w:r>
              <w:rPr>
                <w:sz w:val="24"/>
              </w:rPr>
              <w:t>(+) / убыток (-) от продаж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-4 526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77 510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-807 914</w:t>
            </w:r>
          </w:p>
        </w:tc>
      </w:tr>
      <w:tr w:rsidR="00642CDE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Прибыль (+) / Убыток (-) до налогообложения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-63 023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20 971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-1 058 091</w:t>
            </w:r>
          </w:p>
        </w:tc>
      </w:tr>
      <w:tr w:rsidR="00642CDE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Чистая прибыль (+) /убыток (-)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-486 110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-4 008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-785 744</w:t>
            </w:r>
          </w:p>
        </w:tc>
      </w:tr>
      <w:tr w:rsidR="00642CDE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Сумма активов баланса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604 419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482 983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867 453</w:t>
            </w:r>
          </w:p>
        </w:tc>
      </w:tr>
      <w:tr w:rsidR="00642CDE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Оборотные средства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2 662 735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10 467 216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24 285 181</w:t>
            </w:r>
          </w:p>
        </w:tc>
      </w:tr>
      <w:tr w:rsidR="00642CDE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Кредиторская задолженность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5 186 347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12 678 420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27 252 478</w:t>
            </w:r>
          </w:p>
        </w:tc>
      </w:tr>
      <w:tr w:rsidR="00642CDE">
        <w:trPr>
          <w:trHeight w:val="330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Собственный капитал</w:t>
            </w:r>
          </w:p>
        </w:tc>
        <w:tc>
          <w:tcPr>
            <w:tcW w:w="1275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-3 188 337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-3 159 792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-3 927 783</w:t>
            </w:r>
          </w:p>
        </w:tc>
      </w:tr>
      <w:tr w:rsidR="00642CDE">
        <w:trPr>
          <w:trHeight w:val="315"/>
        </w:trPr>
        <w:tc>
          <w:tcPr>
            <w:tcW w:w="5544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Рентабельность по EBITDA (EBITDA margin), %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15,34%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2,03%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-6,98%</w:t>
            </w:r>
          </w:p>
        </w:tc>
      </w:tr>
    </w:tbl>
    <w:p w:rsidR="00642CDE" w:rsidRDefault="00642CDE">
      <w:pPr>
        <w:ind w:firstLine="720"/>
        <w:jc w:val="center"/>
        <w:rPr>
          <w:b/>
        </w:rPr>
      </w:pPr>
    </w:p>
    <w:p w:rsidR="00642CDE" w:rsidRDefault="006D0C79">
      <w:pPr>
        <w:spacing w:after="0" w:line="240" w:lineRule="auto"/>
        <w:jc w:val="center"/>
        <w:rPr>
          <w:b/>
          <w:sz w:val="24"/>
        </w:rPr>
      </w:pPr>
      <w:r>
        <w:rPr>
          <w:b/>
          <w:sz w:val="24"/>
        </w:rPr>
        <w:t xml:space="preserve">Динамика состава выручки и себестоимости выполненных </w:t>
      </w:r>
      <w:r>
        <w:rPr>
          <w:b/>
          <w:sz w:val="24"/>
        </w:rPr>
        <w:t>работ,</w:t>
      </w:r>
    </w:p>
    <w:p w:rsidR="00642CDE" w:rsidRDefault="006D0C79">
      <w:pPr>
        <w:spacing w:after="0" w:line="240" w:lineRule="auto"/>
        <w:jc w:val="center"/>
        <w:rPr>
          <w:b/>
          <w:sz w:val="24"/>
        </w:rPr>
      </w:pPr>
      <w:r>
        <w:rPr>
          <w:b/>
          <w:sz w:val="24"/>
        </w:rPr>
        <w:t>оказанных услуг ПАО «СУС», тыс.руб.</w:t>
      </w:r>
    </w:p>
    <w:p w:rsidR="00642CDE" w:rsidRDefault="00642CDE">
      <w:pPr>
        <w:spacing w:after="0" w:line="240" w:lineRule="auto"/>
        <w:jc w:val="center"/>
        <w:rPr>
          <w:sz w:val="24"/>
        </w:rPr>
      </w:pPr>
    </w:p>
    <w:tbl>
      <w:tblPr>
        <w:tblW w:w="0" w:type="auto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276"/>
        <w:gridCol w:w="1276"/>
        <w:gridCol w:w="1299"/>
      </w:tblGrid>
      <w:tr w:rsidR="00642CDE">
        <w:trPr>
          <w:trHeight w:val="315"/>
        </w:trPr>
        <w:tc>
          <w:tcPr>
            <w:tcW w:w="22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Наименование показателя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2022 г.</w:t>
            </w:r>
          </w:p>
        </w:tc>
        <w:tc>
          <w:tcPr>
            <w:tcW w:w="24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2023 г.</w:t>
            </w:r>
          </w:p>
        </w:tc>
        <w:tc>
          <w:tcPr>
            <w:tcW w:w="25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2024 г.</w:t>
            </w:r>
          </w:p>
        </w:tc>
      </w:tr>
      <w:tr w:rsidR="00642CDE">
        <w:trPr>
          <w:trHeight w:val="315"/>
        </w:trPr>
        <w:tc>
          <w:tcPr>
            <w:tcW w:w="226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Выручка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Себестои-мость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Выручка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Себестои-мость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Выручка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Себестои-мость</w:t>
            </w:r>
          </w:p>
        </w:tc>
      </w:tr>
      <w:tr w:rsidR="00642CDE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2"/>
              </w:rPr>
            </w:pPr>
            <w:r>
              <w:rPr>
                <w:sz w:val="22"/>
              </w:rPr>
              <w:t>Всего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2 656 833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2 547 177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5 688 148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5 499 091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13 366 397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13 950 698</w:t>
            </w:r>
          </w:p>
        </w:tc>
      </w:tr>
      <w:tr w:rsidR="00642CDE">
        <w:trPr>
          <w:trHeight w:val="30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i/>
                <w:sz w:val="22"/>
              </w:rPr>
            </w:pPr>
            <w:r>
              <w:rPr>
                <w:i/>
                <w:sz w:val="22"/>
              </w:rPr>
              <w:t>в т.ч.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36 453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45 313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 xml:space="preserve">3 </w:t>
            </w:r>
            <w:r>
              <w:rPr>
                <w:sz w:val="22"/>
              </w:rPr>
              <w:t>736 103</w:t>
            </w: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3 736 922</w:t>
            </w:r>
          </w:p>
        </w:tc>
        <w:tc>
          <w:tcPr>
            <w:tcW w:w="12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12 944 515</w:t>
            </w:r>
          </w:p>
        </w:tc>
        <w:tc>
          <w:tcPr>
            <w:tcW w:w="12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13 596 532</w:t>
            </w:r>
          </w:p>
        </w:tc>
      </w:tr>
      <w:tr w:rsidR="00642CDE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строительно-монтажные работы:</w:t>
            </w:r>
          </w:p>
        </w:tc>
        <w:tc>
          <w:tcPr>
            <w:tcW w:w="1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1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11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12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12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129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</w:tr>
      <w:tr w:rsidR="00642CDE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услуги лаборатории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132 367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101 818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181 791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125 985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295 316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207 882</w:t>
            </w:r>
          </w:p>
        </w:tc>
      </w:tr>
      <w:tr w:rsidR="00642CDE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услуги автотранспорта и спецтехники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2 384 251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2 315 818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1 696 203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1 561 592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61 533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62 874</w:t>
            </w:r>
          </w:p>
        </w:tc>
      </w:tr>
      <w:tr w:rsidR="00642CDE">
        <w:trPr>
          <w:trHeight w:val="315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i/>
                <w:sz w:val="22"/>
              </w:rPr>
            </w:pPr>
            <w:r>
              <w:rPr>
                <w:i/>
                <w:sz w:val="22"/>
              </w:rPr>
              <w:t>прочие услуги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 xml:space="preserve">103 </w:t>
            </w:r>
            <w:r>
              <w:rPr>
                <w:sz w:val="22"/>
              </w:rPr>
              <w:t>762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84 228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74 050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74 592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65 033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2"/>
              </w:rPr>
            </w:pPr>
            <w:r>
              <w:rPr>
                <w:sz w:val="22"/>
              </w:rPr>
              <w:t>83 410</w:t>
            </w:r>
          </w:p>
        </w:tc>
      </w:tr>
    </w:tbl>
    <w:p w:rsidR="00642CDE" w:rsidRDefault="00642CDE">
      <w:pPr>
        <w:tabs>
          <w:tab w:val="left" w:pos="0"/>
        </w:tabs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tabs>
          <w:tab w:val="left" w:pos="0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Следует отметить, что Общество уже адаптировалось к работе в текущих условиях и наладило логистические цепочки из зарубежных стран. </w:t>
      </w:r>
    </w:p>
    <w:p w:rsidR="00642CDE" w:rsidRDefault="006D0C79">
      <w:pPr>
        <w:tabs>
          <w:tab w:val="left" w:pos="0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По ряду позиций на рынке строительных материалов появились отечественные производители, которым удается выдерживать соотношение цены и качества. </w:t>
      </w:r>
    </w:p>
    <w:p w:rsidR="00642CDE" w:rsidRDefault="006D0C79">
      <w:pPr>
        <w:tabs>
          <w:tab w:val="left" w:pos="0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 целом, несмотря на увеличение объемов за счет расширения географии строительства, у ПАО СУС в текущих сложных условиях приоритетным является сохранение должного качества проектов на стабильно высоком уровне и улучшение финансового результата Общества.</w:t>
      </w:r>
    </w:p>
    <w:p w:rsidR="00642CDE" w:rsidRDefault="006D0C79">
      <w:pPr>
        <w:tabs>
          <w:tab w:val="left" w:pos="1722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В </w:t>
      </w:r>
      <w:r>
        <w:rPr>
          <w:sz w:val="24"/>
        </w:rPr>
        <w:t>2024 г. финансово-хозяйственную на деятельность ПАО СУС продолжает оказывать существенное влияние комплекс факторов экономического и иного характера. Среди них, геополитическая обстановка, ограничения, введенные в отношении Российской Федерации, ее экономи</w:t>
      </w:r>
      <w:r>
        <w:rPr>
          <w:sz w:val="24"/>
        </w:rPr>
        <w:t xml:space="preserve">ческих субъектов и граждан отдельными государствами и их объединениями, меры, принимаемые в Российской Федерации в ответ на внешнее санкционное давление. </w:t>
      </w:r>
    </w:p>
    <w:p w:rsidR="00642CDE" w:rsidRDefault="006D0C79">
      <w:pPr>
        <w:tabs>
          <w:tab w:val="left" w:pos="0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Наиболее капиталоемким элементом в строительстве продолжают оставаться рабочая сила и эксплуатация ме</w:t>
      </w:r>
      <w:r>
        <w:rPr>
          <w:sz w:val="24"/>
        </w:rPr>
        <w:t xml:space="preserve">ханизмов. Существенное влияние на себестоимость оказывает рост цен на арматуру и металл, бетон и растворы, кладочные материалы, инженерные сети и др. материалы. </w:t>
      </w:r>
    </w:p>
    <w:p w:rsidR="00642CDE" w:rsidRDefault="006D0C79">
      <w:pPr>
        <w:tabs>
          <w:tab w:val="left" w:pos="0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Так же, рост себестоимости был обусловлен общей волатильностью на рынке и ростом инфляции.</w:t>
      </w:r>
    </w:p>
    <w:p w:rsidR="00642CDE" w:rsidRDefault="006D0C79">
      <w:pPr>
        <w:tabs>
          <w:tab w:val="left" w:pos="0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Под</w:t>
      </w:r>
      <w:r>
        <w:rPr>
          <w:sz w:val="24"/>
        </w:rPr>
        <w:t xml:space="preserve">тверждением негативного влияния внешних и внутренних факторов является показатель затрат на 1 рубль, выполненных строительно-монтажных работ. </w:t>
      </w:r>
    </w:p>
    <w:p w:rsidR="00642CDE" w:rsidRDefault="00642CDE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4418"/>
        <w:gridCol w:w="1418"/>
        <w:gridCol w:w="1556"/>
        <w:gridCol w:w="1804"/>
      </w:tblGrid>
      <w:tr w:rsidR="00642CDE">
        <w:trPr>
          <w:trHeight w:val="330"/>
        </w:trPr>
        <w:tc>
          <w:tcPr>
            <w:tcW w:w="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№ п/п</w:t>
            </w:r>
          </w:p>
        </w:tc>
        <w:tc>
          <w:tcPr>
            <w:tcW w:w="4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Показатель</w:t>
            </w:r>
          </w:p>
        </w:tc>
        <w:tc>
          <w:tcPr>
            <w:tcW w:w="14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2022 г.</w:t>
            </w:r>
          </w:p>
        </w:tc>
        <w:tc>
          <w:tcPr>
            <w:tcW w:w="15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2023 г.</w:t>
            </w:r>
          </w:p>
        </w:tc>
        <w:tc>
          <w:tcPr>
            <w:tcW w:w="18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2024 г.</w:t>
            </w:r>
          </w:p>
        </w:tc>
      </w:tr>
      <w:tr w:rsidR="00642CDE">
        <w:trPr>
          <w:trHeight w:val="645"/>
        </w:trPr>
        <w:tc>
          <w:tcPr>
            <w:tcW w:w="5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 xml:space="preserve">Объем работ, выполненных по виду деятельности «Строительство», </w:t>
            </w:r>
            <w:r>
              <w:rPr>
                <w:sz w:val="24"/>
              </w:rPr>
              <w:t>тыс.руб.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36 453,0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3 736 103,0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>12 944 515,0</w:t>
            </w:r>
          </w:p>
        </w:tc>
      </w:tr>
      <w:tr w:rsidR="00642CDE">
        <w:trPr>
          <w:trHeight w:val="362"/>
        </w:trPr>
        <w:tc>
          <w:tcPr>
            <w:tcW w:w="5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Объемы бетонирования, м</w:t>
            </w:r>
            <w:r>
              <w:rPr>
                <w:sz w:val="24"/>
                <w:vertAlign w:val="superscript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27,50   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22 225,7 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129 654,27 </w:t>
            </w:r>
          </w:p>
        </w:tc>
      </w:tr>
      <w:tr w:rsidR="00642CDE">
        <w:trPr>
          <w:trHeight w:val="565"/>
        </w:trPr>
        <w:tc>
          <w:tcPr>
            <w:tcW w:w="5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Среднегодовая численность, занятых в строительстве, чел.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706 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425 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787 </w:t>
            </w:r>
          </w:p>
        </w:tc>
      </w:tr>
      <w:tr w:rsidR="00642CDE">
        <w:trPr>
          <w:trHeight w:val="330"/>
        </w:trPr>
        <w:tc>
          <w:tcPr>
            <w:tcW w:w="58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Затраты на 1 рубль, выполненных СМР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1,24   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1,00   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1,05   </w:t>
            </w:r>
          </w:p>
        </w:tc>
      </w:tr>
    </w:tbl>
    <w:p w:rsidR="00642CDE" w:rsidRDefault="00642CDE">
      <w:pPr>
        <w:pStyle w:val="af0"/>
        <w:spacing w:before="0" w:after="0"/>
        <w:ind w:left="0" w:right="0" w:firstLine="720"/>
        <w:jc w:val="both"/>
      </w:pPr>
    </w:p>
    <w:p w:rsidR="00642CDE" w:rsidRDefault="006D0C79">
      <w:pPr>
        <w:pStyle w:val="af0"/>
        <w:spacing w:before="0" w:after="0"/>
        <w:ind w:left="0" w:right="0" w:firstLine="720"/>
        <w:jc w:val="both"/>
      </w:pPr>
      <w:r>
        <w:t xml:space="preserve">В целях дальнейшего улучшения финансового результата в Обществе принимаются меры по экономии ресурсов и минимизации затрат на ресурсы; снижению трудоемкости и повышению производительности труда. </w:t>
      </w:r>
    </w:p>
    <w:p w:rsidR="00642CDE" w:rsidRDefault="00642CDE">
      <w:pPr>
        <w:ind w:firstLine="720"/>
        <w:jc w:val="both"/>
      </w:pPr>
    </w:p>
    <w:p w:rsidR="00642CDE" w:rsidRDefault="006D0C79">
      <w:pPr>
        <w:pStyle w:val="30"/>
        <w:ind w:firstLine="567"/>
        <w:jc w:val="both"/>
        <w:rPr>
          <w:b w:val="0"/>
          <w:i w:val="0"/>
          <w:color w:val="254061"/>
          <w:sz w:val="28"/>
        </w:rPr>
      </w:pPr>
      <w:bookmarkStart w:id="7" w:name="__RefHeading___6"/>
      <w:bookmarkEnd w:id="7"/>
      <w:r>
        <w:rPr>
          <w:rFonts w:ascii="Times New Roman" w:hAnsi="Times New Roman"/>
          <w:color w:val="254061"/>
          <w:sz w:val="28"/>
        </w:rPr>
        <w:t>Раздел 6. Перспективы развития общества</w:t>
      </w:r>
    </w:p>
    <w:p w:rsidR="00642CDE" w:rsidRDefault="006D0C79">
      <w:pPr>
        <w:pStyle w:val="af0"/>
        <w:spacing w:before="0" w:after="0"/>
        <w:ind w:left="0" w:right="0" w:firstLine="709"/>
        <w:jc w:val="both"/>
      </w:pPr>
      <w:r>
        <w:t xml:space="preserve">ПАО «СУС» намерено </w:t>
      </w:r>
      <w:r>
        <w:t>непрерывно продолжать деятельность в обозримом будущем.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Основными стратегическими задачами ПАО «СУС» в долгосрочной перспективе являются развитие компании, как одной из ведущих компаний в области выполнения строительно-монтажных работ как на территории Рос</w:t>
      </w:r>
      <w:r>
        <w:rPr>
          <w:sz w:val="24"/>
        </w:rPr>
        <w:t>сийской Федерации, так и за рубежом, повышение прибыли акционеров путем ежегодного наращивания объемов выполняемых строительно-монтажных работ, обеспечение безубыточной производственно-хозяйственной деятельности всех структурных подразделений Общества.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На серьезность и долговременность ведения финансово-хозяйственной деятельности ПАО СУС указывают прогнозные показатели выручки, основанные на данных, уже заключенных договоров, и контрактов, находящихся в процессе согласования на период до 2034 года. 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center"/>
        <w:rPr>
          <w:sz w:val="24"/>
        </w:rPr>
      </w:pPr>
      <w:r>
        <w:rPr>
          <w:b/>
          <w:sz w:val="24"/>
        </w:rPr>
        <w:t>Дин</w:t>
      </w:r>
      <w:r>
        <w:rPr>
          <w:b/>
          <w:sz w:val="24"/>
        </w:rPr>
        <w:t xml:space="preserve">амика прогнозируемой выручки ПАО СУС, </w:t>
      </w:r>
      <w:r>
        <w:rPr>
          <w:sz w:val="24"/>
        </w:rPr>
        <w:t>тыс.руб.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62"/>
        <w:gridCol w:w="1345"/>
        <w:gridCol w:w="1153"/>
        <w:gridCol w:w="1153"/>
        <w:gridCol w:w="1153"/>
        <w:gridCol w:w="1205"/>
        <w:gridCol w:w="1363"/>
      </w:tblGrid>
      <w:tr w:rsidR="00642CDE">
        <w:trPr>
          <w:trHeight w:val="315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Показатель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2024 г.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2025 г.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2026 г.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2027 г.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2028 г.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2029 г.</w:t>
            </w:r>
          </w:p>
        </w:tc>
      </w:tr>
      <w:tr w:rsidR="00642CDE">
        <w:trPr>
          <w:trHeight w:val="315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Выручка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13 366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29 298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38 761</w:t>
            </w:r>
          </w:p>
        </w:tc>
        <w:tc>
          <w:tcPr>
            <w:tcW w:w="1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77 167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127 528*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both"/>
              <w:rPr>
                <w:sz w:val="24"/>
              </w:rPr>
            </w:pPr>
            <w:r>
              <w:rPr>
                <w:sz w:val="24"/>
              </w:rPr>
              <w:t>77 242</w:t>
            </w:r>
          </w:p>
        </w:tc>
      </w:tr>
    </w:tbl>
    <w:p w:rsidR="00642CDE" w:rsidRDefault="006D0C79">
      <w:pPr>
        <w:spacing w:after="0" w:line="240" w:lineRule="auto"/>
        <w:ind w:firstLine="709"/>
        <w:jc w:val="both"/>
      </w:pPr>
      <w:r>
        <w:t xml:space="preserve">*Значительный рост плановых показателей выручки в 2028 году, связан со значительными объемами </w:t>
      </w:r>
      <w:r>
        <w:t>по выполнению комплекса работ по строительству энергоблоков № 1,2 Смоленской АЭС-2 (в соответствии с графиками СМР).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Целями ПАО «СУС», как одной из ведущих компаний в области строительства объектов атомной энергетики, в части общестроительных работ, в дол</w:t>
      </w:r>
      <w:r>
        <w:rPr>
          <w:sz w:val="24"/>
        </w:rPr>
        <w:t>госрочной перспективе являются дальнейшее развитие компании, за счет повышения эффективности использования ресурсов и актуальных методик ценообразования на производстве объектов, расширение географии участия на строительных объектах (площадках) строительст</w:t>
      </w:r>
      <w:r>
        <w:rPr>
          <w:sz w:val="24"/>
        </w:rPr>
        <w:t>в, путем пополнения производственной программы новыми объектами, находящимися за пределами региона.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Основным перспективным направлением деятельности ПАО «СУС» является строительно-монтажные работы на объектах:</w:t>
      </w:r>
    </w:p>
    <w:p w:rsidR="00642CDE" w:rsidRDefault="006D0C79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 xml:space="preserve">подготовка к строительству объектов замещающих мощностей на стройплощадке ЛАЭС-2 (блоки № 3 и № 4); </w:t>
      </w:r>
    </w:p>
    <w:p w:rsidR="00642CDE" w:rsidRDefault="006D0C79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реконструкция объектов (вывод из эксплуатации остановленных и реконструкция действующих) энергоблоков Ленинградской АЭС;</w:t>
      </w:r>
    </w:p>
    <w:p w:rsidR="00642CDE" w:rsidRDefault="006D0C79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выполнение работ в г. Сосновый Бор</w:t>
      </w:r>
      <w:r>
        <w:rPr>
          <w:sz w:val="24"/>
        </w:rPr>
        <w:t>, заказчиком которых выступает ФГУП «Научно- исследовательский технологический институт им. А.П. Александрова», Правительство Ленинградской области;</w:t>
      </w:r>
    </w:p>
    <w:p w:rsidR="00642CDE" w:rsidRDefault="006D0C79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выполнение работ на объектах Курская АЭС, объект «Прорыв» в ЗАТО г. Северск, Красноярский Край г. Норильск)</w:t>
      </w:r>
      <w:r>
        <w:rPr>
          <w:sz w:val="24"/>
        </w:rPr>
        <w:t>, Центральном, Уральском, Сибирском Федеральных округах.</w:t>
      </w:r>
    </w:p>
    <w:p w:rsidR="00642CDE" w:rsidRDefault="006D0C79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 xml:space="preserve">Выполнение строительно-монтажных работ на зарубежном проекте по строительству АЭС Эль-Дабаа в АРЕ Египет . 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Особое внимание ПАО «СУС» уделяет развитию в других регионах Российской Федерации. Так, с 2</w:t>
      </w:r>
      <w:r>
        <w:rPr>
          <w:sz w:val="24"/>
        </w:rPr>
        <w:t>015 года ПАО «СУС» участвует в строительстве объектов в Северо-Западном (Ленинградская АЭС-2, ФГУП «НИТИ им. А.П. Александрова», Курская АЭС, объект «Прорыв» в ЗАТО г. Северск, Красноярский Край г. Норильск), Центральном, Уральском, Сибирском Федеральных о</w:t>
      </w:r>
      <w:r>
        <w:rPr>
          <w:sz w:val="24"/>
        </w:rPr>
        <w:t>кругах, а также за пределами РФ ПАО СУС участвует в строительстве атомной станции АЭС «Аль-Дабаа» на территории АРЕ в Египте.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Инвестиционный капитал ПАО «СУС» состоит из собственного капитала. За последние три года долгосрочные заемные средства не привлека</w:t>
      </w:r>
      <w:r>
        <w:rPr>
          <w:sz w:val="24"/>
        </w:rPr>
        <w:t>лись.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Предприятие функционирует на рынке строительства объектов атомной энергетики в составе организаций Холдинга «ТИТАН-2» и по имеющейся у нас информации намерено и в дальнейшем осуществлять свою деятельность. В настоящее время идет активное развитее Пре</w:t>
      </w:r>
      <w:r>
        <w:rPr>
          <w:sz w:val="24"/>
        </w:rPr>
        <w:t xml:space="preserve">дприятия, имеются планы по оздоровлению финансово-хозяйственной деятельности. 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 целях улучшения финансового состояния ПАО СУС в 2025 году, планируется продолжать мероприятия, заложенные в основу в 2024 году, в т.ч.:</w:t>
      </w:r>
    </w:p>
    <w:p w:rsidR="00642CDE" w:rsidRDefault="006D0C79">
      <w:pPr>
        <w:pStyle w:val="500"/>
        <w:numPr>
          <w:ilvl w:val="0"/>
          <w:numId w:val="10"/>
        </w:numPr>
        <w:tabs>
          <w:tab w:val="left" w:pos="710"/>
          <w:tab w:val="left" w:pos="1276"/>
        </w:tabs>
        <w:spacing w:before="0" w:line="240" w:lineRule="auto"/>
        <w:ind w:left="0" w:firstLine="709"/>
        <w:jc w:val="both"/>
        <w:rPr>
          <w:sz w:val="24"/>
        </w:rPr>
      </w:pPr>
      <w:r>
        <w:rPr>
          <w:sz w:val="24"/>
        </w:rPr>
        <w:t>исключение простоев техники и рабочей с</w:t>
      </w:r>
      <w:r>
        <w:rPr>
          <w:sz w:val="24"/>
        </w:rPr>
        <w:t>илы, обеспечивая тем самым непрерывность производственных процессов на объектах строительства;</w:t>
      </w:r>
    </w:p>
    <w:p w:rsidR="00642CDE" w:rsidRDefault="006D0C79">
      <w:pPr>
        <w:pStyle w:val="500"/>
        <w:numPr>
          <w:ilvl w:val="0"/>
          <w:numId w:val="10"/>
        </w:numPr>
        <w:tabs>
          <w:tab w:val="left" w:pos="710"/>
          <w:tab w:val="left" w:pos="1276"/>
        </w:tabs>
        <w:spacing w:before="0" w:line="240" w:lineRule="auto"/>
        <w:ind w:left="0" w:firstLine="709"/>
        <w:jc w:val="both"/>
        <w:rPr>
          <w:sz w:val="24"/>
        </w:rPr>
      </w:pPr>
      <w:r>
        <w:rPr>
          <w:sz w:val="24"/>
        </w:rPr>
        <w:t>минимизация затрат на создание временной инфраструктуры строительной площадки (временные дороги, временные ограждения, временное энерго- и водоснабжение) путем р</w:t>
      </w:r>
      <w:r>
        <w:rPr>
          <w:sz w:val="24"/>
        </w:rPr>
        <w:t xml:space="preserve">ациональной организации строительной площадки; </w:t>
      </w:r>
    </w:p>
    <w:p w:rsidR="00642CDE" w:rsidRDefault="006D0C79">
      <w:pPr>
        <w:pStyle w:val="500"/>
        <w:numPr>
          <w:ilvl w:val="0"/>
          <w:numId w:val="10"/>
        </w:numPr>
        <w:tabs>
          <w:tab w:val="left" w:pos="710"/>
          <w:tab w:val="left" w:pos="1276"/>
        </w:tabs>
        <w:spacing w:before="0" w:line="240" w:lineRule="auto"/>
        <w:ind w:left="0" w:firstLine="709"/>
        <w:jc w:val="both"/>
        <w:rPr>
          <w:sz w:val="24"/>
        </w:rPr>
      </w:pPr>
      <w:r>
        <w:rPr>
          <w:sz w:val="24"/>
        </w:rPr>
        <w:t>минимизации запасов,</w:t>
      </w:r>
    </w:p>
    <w:p w:rsidR="00642CDE" w:rsidRDefault="006D0C79">
      <w:pPr>
        <w:pStyle w:val="500"/>
        <w:numPr>
          <w:ilvl w:val="0"/>
          <w:numId w:val="10"/>
        </w:numPr>
        <w:tabs>
          <w:tab w:val="left" w:pos="710"/>
          <w:tab w:val="left" w:pos="1276"/>
        </w:tabs>
        <w:spacing w:before="0" w:line="240" w:lineRule="auto"/>
        <w:ind w:left="0" w:firstLine="709"/>
        <w:jc w:val="both"/>
        <w:rPr>
          <w:sz w:val="24"/>
        </w:rPr>
      </w:pPr>
      <w:r>
        <w:rPr>
          <w:sz w:val="24"/>
        </w:rPr>
        <w:t>повышение производительности труда.</w:t>
      </w:r>
    </w:p>
    <w:p w:rsidR="00642CDE" w:rsidRDefault="00642CDE">
      <w:pPr>
        <w:spacing w:after="0" w:line="264" w:lineRule="auto"/>
        <w:ind w:right="20" w:firstLine="284"/>
        <w:jc w:val="both"/>
        <w:rPr>
          <w:b/>
          <w:sz w:val="24"/>
        </w:rPr>
      </w:pPr>
    </w:p>
    <w:p w:rsidR="00642CDE" w:rsidRDefault="006D0C79">
      <w:pPr>
        <w:pStyle w:val="30"/>
        <w:ind w:firstLine="567"/>
        <w:jc w:val="both"/>
        <w:rPr>
          <w:rFonts w:ascii="Times New Roman" w:hAnsi="Times New Roman"/>
          <w:color w:val="254061"/>
          <w:sz w:val="28"/>
        </w:rPr>
      </w:pPr>
      <w:bookmarkStart w:id="8" w:name="__RefHeading___7"/>
      <w:bookmarkEnd w:id="8"/>
      <w:r>
        <w:rPr>
          <w:rFonts w:ascii="Times New Roman" w:hAnsi="Times New Roman"/>
          <w:color w:val="254061"/>
          <w:sz w:val="28"/>
        </w:rPr>
        <w:t>Раздел 7. Информация об объеме использованных обществом за отчетный год видов энергетических ресурсов в натуральном и денежном выражении</w:t>
      </w:r>
    </w:p>
    <w:p w:rsidR="00642CDE" w:rsidRDefault="006D0C79">
      <w:pPr>
        <w:jc w:val="center"/>
        <w:rPr>
          <w:b/>
          <w:sz w:val="24"/>
        </w:rPr>
      </w:pPr>
      <w:r>
        <w:rPr>
          <w:b/>
          <w:sz w:val="24"/>
        </w:rPr>
        <w:t xml:space="preserve">Совокупные </w:t>
      </w:r>
      <w:r>
        <w:rPr>
          <w:b/>
          <w:sz w:val="24"/>
        </w:rPr>
        <w:t>затраты на потребление всех видов энергетических ресурсов</w:t>
      </w:r>
    </w:p>
    <w:p w:rsidR="00642CDE" w:rsidRDefault="006D0C79">
      <w:pPr>
        <w:jc w:val="center"/>
      </w:pPr>
      <w:r>
        <w:rPr>
          <w:b/>
          <w:sz w:val="24"/>
        </w:rPr>
        <w:t>ПАО СУС за 2024</w:t>
      </w:r>
      <w:r>
        <w:rPr>
          <w:sz w:val="24"/>
        </w:rPr>
        <w:t xml:space="preserve"> г.</w:t>
      </w:r>
      <w:r>
        <w:t xml:space="preserve"> </w:t>
      </w: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2665"/>
        <w:gridCol w:w="1368"/>
        <w:gridCol w:w="2913"/>
        <w:gridCol w:w="2499"/>
      </w:tblGrid>
      <w:tr w:rsidR="00642CDE">
        <w:trPr>
          <w:trHeight w:val="330"/>
        </w:trPr>
        <w:tc>
          <w:tcPr>
            <w:tcW w:w="26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Показатель</w:t>
            </w:r>
          </w:p>
        </w:tc>
        <w:tc>
          <w:tcPr>
            <w:tcW w:w="4281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Объем потребления</w:t>
            </w:r>
          </w:p>
        </w:tc>
        <w:tc>
          <w:tcPr>
            <w:tcW w:w="2499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Объем потребления,</w:t>
            </w:r>
          </w:p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руб.</w:t>
            </w:r>
          </w:p>
        </w:tc>
      </w:tr>
      <w:tr w:rsidR="00642CDE">
        <w:trPr>
          <w:trHeight w:val="450"/>
        </w:trPr>
        <w:tc>
          <w:tcPr>
            <w:tcW w:w="266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42CDE"/>
        </w:tc>
        <w:tc>
          <w:tcPr>
            <w:tcW w:w="13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ед. измерения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в натуральном выражении</w:t>
            </w:r>
          </w:p>
        </w:tc>
        <w:tc>
          <w:tcPr>
            <w:tcW w:w="2499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42CDE"/>
        </w:tc>
      </w:tr>
      <w:tr w:rsidR="00642CDE">
        <w:trPr>
          <w:trHeight w:val="330"/>
        </w:trPr>
        <w:tc>
          <w:tcPr>
            <w:tcW w:w="2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Электрическая энергия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квт. ч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2 518 762,75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 12 726 155,12 </w:t>
            </w:r>
          </w:p>
        </w:tc>
      </w:tr>
      <w:tr w:rsidR="00642CDE">
        <w:trPr>
          <w:trHeight w:val="330"/>
        </w:trPr>
        <w:tc>
          <w:tcPr>
            <w:tcW w:w="2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Тепловая энергия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тыс. </w:t>
            </w:r>
            <w:r>
              <w:rPr>
                <w:sz w:val="24"/>
              </w:rPr>
              <w:t>Гкал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2 377,17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 2 879 682,02 </w:t>
            </w:r>
          </w:p>
        </w:tc>
      </w:tr>
      <w:tr w:rsidR="00642CDE">
        <w:trPr>
          <w:trHeight w:val="330"/>
        </w:trPr>
        <w:tc>
          <w:tcPr>
            <w:tcW w:w="2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Водопотребление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тыс. м*3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1 792,19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 55 620,72 </w:t>
            </w:r>
          </w:p>
        </w:tc>
      </w:tr>
      <w:tr w:rsidR="00642CDE">
        <w:trPr>
          <w:trHeight w:val="330"/>
        </w:trPr>
        <w:tc>
          <w:tcPr>
            <w:tcW w:w="2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Водоотведение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тыс. м*3.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1 244,72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 42 169,17 </w:t>
            </w:r>
          </w:p>
        </w:tc>
      </w:tr>
      <w:tr w:rsidR="00642CDE">
        <w:trPr>
          <w:trHeight w:val="645"/>
        </w:trPr>
        <w:tc>
          <w:tcPr>
            <w:tcW w:w="266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Бензин автомобильный Марка - Аи 92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л</w:t>
            </w:r>
          </w:p>
        </w:tc>
        <w:tc>
          <w:tcPr>
            <w:tcW w:w="291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226,24 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42CDE" w:rsidRDefault="006D0C79">
            <w:pPr>
              <w:spacing w:after="0" w:line="240" w:lineRule="auto"/>
              <w:jc w:val="right"/>
              <w:rPr>
                <w:sz w:val="24"/>
              </w:rPr>
            </w:pPr>
            <w:r>
              <w:rPr>
                <w:sz w:val="24"/>
              </w:rPr>
              <w:t xml:space="preserve">10 350,87 </w:t>
            </w:r>
          </w:p>
        </w:tc>
      </w:tr>
    </w:tbl>
    <w:p w:rsidR="00642CDE" w:rsidRDefault="00642CDE"/>
    <w:p w:rsidR="00642CDE" w:rsidRDefault="006D0C79">
      <w:pPr>
        <w:pStyle w:val="30"/>
        <w:ind w:firstLine="567"/>
        <w:rPr>
          <w:rFonts w:ascii="Times New Roman" w:hAnsi="Times New Roman"/>
          <w:color w:val="1F4E79"/>
          <w:sz w:val="28"/>
        </w:rPr>
      </w:pPr>
      <w:bookmarkStart w:id="9" w:name="__RefHeading___8"/>
      <w:bookmarkEnd w:id="9"/>
      <w:r>
        <w:rPr>
          <w:rFonts w:ascii="Times New Roman" w:hAnsi="Times New Roman"/>
          <w:color w:val="1F4E79"/>
          <w:sz w:val="28"/>
        </w:rPr>
        <w:t xml:space="preserve">Раздел 8. Сведения о выплате объявленных (начисленных) дивидендов по </w:t>
      </w:r>
      <w:r>
        <w:rPr>
          <w:rFonts w:ascii="Times New Roman" w:hAnsi="Times New Roman"/>
          <w:color w:val="1F4E79"/>
          <w:sz w:val="28"/>
        </w:rPr>
        <w:t>акциям общества</w:t>
      </w:r>
    </w:p>
    <w:p w:rsidR="00642CDE" w:rsidRDefault="006D0C79">
      <w:pPr>
        <w:spacing w:after="0" w:line="317" w:lineRule="exact"/>
        <w:ind w:right="80" w:firstLine="283"/>
        <w:jc w:val="both"/>
        <w:rPr>
          <w:sz w:val="24"/>
        </w:rPr>
      </w:pPr>
      <w:r>
        <w:rPr>
          <w:sz w:val="24"/>
        </w:rPr>
        <w:t xml:space="preserve">Решением общего собрания акционеров Общества (Протокол ГОСА ПАО «СУС» № 1-2024 от 30.06.2024 г.) принято решение дивиденды по результатам 2023 финансового года не выплачивать.  </w:t>
      </w:r>
    </w:p>
    <w:p w:rsidR="00642CDE" w:rsidRDefault="006D0C79">
      <w:pPr>
        <w:pStyle w:val="30"/>
        <w:ind w:firstLine="567"/>
        <w:jc w:val="both"/>
        <w:rPr>
          <w:rFonts w:ascii="Times New Roman" w:hAnsi="Times New Roman"/>
          <w:color w:val="1F4E79"/>
          <w:sz w:val="28"/>
        </w:rPr>
      </w:pPr>
      <w:bookmarkStart w:id="10" w:name="__RefHeading___9"/>
      <w:bookmarkEnd w:id="10"/>
      <w:r>
        <w:rPr>
          <w:rFonts w:ascii="Times New Roman" w:hAnsi="Times New Roman"/>
          <w:color w:val="1F4E79"/>
          <w:sz w:val="28"/>
        </w:rPr>
        <w:t xml:space="preserve">Раздел 9. Основные факторы риска, связанные с деятельностью </w:t>
      </w:r>
      <w:r>
        <w:rPr>
          <w:rFonts w:ascii="Times New Roman" w:hAnsi="Times New Roman"/>
          <w:color w:val="1F4E79"/>
          <w:sz w:val="28"/>
        </w:rPr>
        <w:t>общества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Основными факторами риска, которые могут повлиять на деятельность Общества, можно считать следующие: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i/>
          <w:sz w:val="24"/>
        </w:rPr>
        <w:t>9.1. Отраслевые, технологические и производственные риски.</w:t>
      </w:r>
      <w:r>
        <w:rPr>
          <w:sz w:val="24"/>
        </w:rPr>
        <w:t xml:space="preserve"> </w:t>
      </w:r>
    </w:p>
    <w:p w:rsidR="00642CDE" w:rsidRDefault="006D0C79">
      <w:pPr>
        <w:pStyle w:val="ab"/>
        <w:numPr>
          <w:ilvl w:val="0"/>
          <w:numId w:val="11"/>
        </w:numPr>
        <w:tabs>
          <w:tab w:val="left" w:pos="851"/>
        </w:tabs>
        <w:spacing w:after="0" w:line="240" w:lineRule="auto"/>
        <w:jc w:val="both"/>
        <w:rPr>
          <w:sz w:val="24"/>
        </w:rPr>
      </w:pPr>
      <w:r>
        <w:rPr>
          <w:sz w:val="24"/>
        </w:rPr>
        <w:t>недостатки в проектировании;</w:t>
      </w:r>
    </w:p>
    <w:p w:rsidR="00642CDE" w:rsidRDefault="006D0C79">
      <w:pPr>
        <w:pStyle w:val="ab"/>
        <w:numPr>
          <w:ilvl w:val="0"/>
          <w:numId w:val="11"/>
        </w:numPr>
        <w:tabs>
          <w:tab w:val="left" w:pos="851"/>
        </w:tabs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усиление конкуренции со стороны российских </w:t>
      </w:r>
      <w:r>
        <w:rPr>
          <w:sz w:val="24"/>
        </w:rPr>
        <w:t>производителей;</w:t>
      </w:r>
    </w:p>
    <w:p w:rsidR="00642CDE" w:rsidRDefault="006D0C79">
      <w:pPr>
        <w:pStyle w:val="ab"/>
        <w:numPr>
          <w:ilvl w:val="0"/>
          <w:numId w:val="11"/>
        </w:numPr>
        <w:tabs>
          <w:tab w:val="left" w:pos="851"/>
        </w:tabs>
        <w:spacing w:after="0" w:line="240" w:lineRule="auto"/>
        <w:jc w:val="both"/>
        <w:rPr>
          <w:sz w:val="24"/>
        </w:rPr>
      </w:pPr>
      <w:r>
        <w:rPr>
          <w:sz w:val="24"/>
        </w:rPr>
        <w:t>трудности в поиске квалифицированных кадров;</w:t>
      </w:r>
    </w:p>
    <w:p w:rsidR="00642CDE" w:rsidRDefault="006D0C79">
      <w:pPr>
        <w:pStyle w:val="ab"/>
        <w:numPr>
          <w:ilvl w:val="0"/>
          <w:numId w:val="11"/>
        </w:numPr>
        <w:tabs>
          <w:tab w:val="left" w:pos="851"/>
        </w:tabs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появление непредвиденных работ и устранение различного брака; </w:t>
      </w:r>
    </w:p>
    <w:p w:rsidR="00642CDE" w:rsidRDefault="006D0C79">
      <w:pPr>
        <w:pStyle w:val="ab"/>
        <w:numPr>
          <w:ilvl w:val="0"/>
          <w:numId w:val="11"/>
        </w:numPr>
        <w:tabs>
          <w:tab w:val="left" w:pos="851"/>
        </w:tabs>
        <w:spacing w:after="0" w:line="240" w:lineRule="auto"/>
        <w:jc w:val="both"/>
        <w:rPr>
          <w:sz w:val="24"/>
        </w:rPr>
      </w:pPr>
      <w:r>
        <w:rPr>
          <w:sz w:val="24"/>
        </w:rPr>
        <w:t>качество сырья и материалов;</w:t>
      </w:r>
    </w:p>
    <w:p w:rsidR="00642CDE" w:rsidRDefault="006D0C79">
      <w:pPr>
        <w:pStyle w:val="ab"/>
        <w:numPr>
          <w:ilvl w:val="0"/>
          <w:numId w:val="11"/>
        </w:numPr>
        <w:tabs>
          <w:tab w:val="left" w:pos="851"/>
        </w:tabs>
        <w:spacing w:after="0" w:line="240" w:lineRule="auto"/>
        <w:jc w:val="both"/>
        <w:rPr>
          <w:sz w:val="24"/>
        </w:rPr>
      </w:pPr>
      <w:r>
        <w:rPr>
          <w:sz w:val="24"/>
        </w:rPr>
        <w:t>погодные и климатические условия и др.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9.2. Финансовые риски.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К финансовым рискам относятся:</w:t>
      </w:r>
    </w:p>
    <w:p w:rsidR="00642CDE" w:rsidRDefault="006D0C79">
      <w:pPr>
        <w:numPr>
          <w:ilvl w:val="0"/>
          <w:numId w:val="1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изменени</w:t>
      </w:r>
      <w:r>
        <w:rPr>
          <w:sz w:val="24"/>
        </w:rPr>
        <w:t>я налогового законодательства и увеличение налоговых ставок;</w:t>
      </w:r>
    </w:p>
    <w:p w:rsidR="00642CDE" w:rsidRDefault="006D0C79">
      <w:pPr>
        <w:numPr>
          <w:ilvl w:val="0"/>
          <w:numId w:val="13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высокая продолжительность операционного цикла, на которую влияет большой удельный вес незавершенного строительства, снижающий оборачиваемость оборотных средств и повышающий потребности в денежных</w:t>
      </w:r>
      <w:r>
        <w:rPr>
          <w:sz w:val="24"/>
        </w:rPr>
        <w:t xml:space="preserve"> средствах</w:t>
      </w:r>
    </w:p>
    <w:p w:rsidR="00642CDE" w:rsidRDefault="006D0C79">
      <w:pPr>
        <w:numPr>
          <w:ilvl w:val="0"/>
          <w:numId w:val="13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рост ставок по кредитам и др.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9.3. Правовые риски.</w:t>
      </w:r>
    </w:p>
    <w:p w:rsidR="00642CDE" w:rsidRDefault="006D0C79">
      <w:pPr>
        <w:numPr>
          <w:ilvl w:val="0"/>
          <w:numId w:val="1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изменения законодательной базы; </w:t>
      </w:r>
    </w:p>
    <w:p w:rsidR="00642CDE" w:rsidRDefault="006D0C79">
      <w:pPr>
        <w:numPr>
          <w:ilvl w:val="0"/>
          <w:numId w:val="1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ответственность за нарушение контрактных обязательств;</w:t>
      </w:r>
    </w:p>
    <w:p w:rsidR="00642CDE" w:rsidRDefault="006D0C79">
      <w:pPr>
        <w:numPr>
          <w:ilvl w:val="0"/>
          <w:numId w:val="1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степень защищенности внутреннего рынка; </w:t>
      </w:r>
    </w:p>
    <w:p w:rsidR="00642CDE" w:rsidRDefault="006D0C79">
      <w:pPr>
        <w:numPr>
          <w:ilvl w:val="0"/>
          <w:numId w:val="1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таможенная политика, тарифные соглашения;</w:t>
      </w:r>
    </w:p>
    <w:p w:rsidR="00642CDE" w:rsidRDefault="006D0C79">
      <w:pPr>
        <w:numPr>
          <w:ilvl w:val="0"/>
          <w:numId w:val="12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лицензионная политика.</w:t>
      </w:r>
    </w:p>
    <w:p w:rsidR="00642CDE" w:rsidRDefault="00642CDE">
      <w:pPr>
        <w:numPr>
          <w:ilvl w:val="0"/>
          <w:numId w:val="12"/>
        </w:numPr>
        <w:spacing w:after="0" w:line="240" w:lineRule="auto"/>
        <w:jc w:val="both"/>
        <w:rPr>
          <w:sz w:val="24"/>
        </w:rPr>
      </w:pPr>
    </w:p>
    <w:p w:rsidR="00642CDE" w:rsidRDefault="00642CDE">
      <w:pPr>
        <w:spacing w:after="0" w:line="240" w:lineRule="auto"/>
        <w:ind w:firstLine="708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 2024 г. Обществом принимались следующие меры по минимизации рисков:</w:t>
      </w:r>
    </w:p>
    <w:p w:rsidR="00642CDE" w:rsidRDefault="006D0C79">
      <w:pPr>
        <w:numPr>
          <w:ilvl w:val="0"/>
          <w:numId w:val="14"/>
        </w:numPr>
        <w:tabs>
          <w:tab w:val="left" w:pos="1134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Соблюдался режим максимально возможной экономии издержек</w:t>
      </w:r>
    </w:p>
    <w:p w:rsidR="00642CDE" w:rsidRDefault="006D0C79">
      <w:pPr>
        <w:numPr>
          <w:ilvl w:val="0"/>
          <w:numId w:val="14"/>
        </w:numPr>
        <w:tabs>
          <w:tab w:val="left" w:pos="1134"/>
        </w:tabs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 xml:space="preserve">В целях недопущения необоснованного отвлечения денежных средств из оборота установлен наиболее оптимальный период оборачиваемости производственных запасов </w:t>
      </w:r>
    </w:p>
    <w:p w:rsidR="00642CDE" w:rsidRDefault="006D0C79">
      <w:pPr>
        <w:numPr>
          <w:ilvl w:val="0"/>
          <w:numId w:val="1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На протяжении предыдущего года и в настоящее время особое внимание уделяется организации и ведению д</w:t>
      </w:r>
      <w:r>
        <w:rPr>
          <w:sz w:val="24"/>
        </w:rPr>
        <w:t>оговорной и претензионной работы, в т. ч. при заключении договоров приобретение товарно-материальных ценностей (выполнение работ, оказание услуг) Обществом используется механизм отсрочка платежа до 30 рабочих дней;</w:t>
      </w:r>
    </w:p>
    <w:p w:rsidR="00642CDE" w:rsidRDefault="006D0C79">
      <w:pPr>
        <w:numPr>
          <w:ilvl w:val="0"/>
          <w:numId w:val="1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максимально исключены исполнения обязател</w:t>
      </w:r>
      <w:r>
        <w:rPr>
          <w:sz w:val="24"/>
        </w:rPr>
        <w:t>ьств путем предварительной оплаты в адрес поставщиков;</w:t>
      </w:r>
    </w:p>
    <w:p w:rsidR="00642CDE" w:rsidRDefault="006D0C79">
      <w:pPr>
        <w:numPr>
          <w:ilvl w:val="0"/>
          <w:numId w:val="15"/>
        </w:numPr>
        <w:tabs>
          <w:tab w:val="left" w:pos="1134"/>
        </w:tabs>
        <w:spacing w:after="0" w:line="240" w:lineRule="auto"/>
        <w:ind w:left="0" w:firstLine="709"/>
        <w:contextualSpacing/>
        <w:jc w:val="both"/>
        <w:rPr>
          <w:sz w:val="24"/>
        </w:rPr>
      </w:pPr>
      <w:r>
        <w:rPr>
          <w:sz w:val="24"/>
        </w:rPr>
        <w:t>своевременно заключались договоры страхования.</w:t>
      </w:r>
    </w:p>
    <w:p w:rsidR="00642CDE" w:rsidRDefault="00642CDE">
      <w:pPr>
        <w:tabs>
          <w:tab w:val="left" w:pos="1418"/>
        </w:tabs>
        <w:spacing w:after="0" w:line="240" w:lineRule="auto"/>
        <w:ind w:left="709"/>
        <w:contextualSpacing/>
        <w:jc w:val="both"/>
        <w:rPr>
          <w:sz w:val="24"/>
        </w:rPr>
      </w:pPr>
    </w:p>
    <w:p w:rsidR="00642CDE" w:rsidRDefault="006D0C79">
      <w:pPr>
        <w:tabs>
          <w:tab w:val="left" w:pos="1134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Все основные объемы закупок производственных ресурсов (наиболее объёмной и значимой номенклатуры) производятся на конкурсной основе.</w:t>
      </w:r>
    </w:p>
    <w:p w:rsidR="00642CDE" w:rsidRDefault="006D0C79">
      <w:pPr>
        <w:tabs>
          <w:tab w:val="left" w:pos="1134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При закупках проводи</w:t>
      </w:r>
      <w:r>
        <w:rPr>
          <w:sz w:val="24"/>
        </w:rPr>
        <w:t xml:space="preserve">лся анализ альтернативных поставок, их цен на аналогичную работу (продукцию). </w:t>
      </w:r>
    </w:p>
    <w:p w:rsidR="00642CDE" w:rsidRDefault="006D0C79">
      <w:pPr>
        <w:tabs>
          <w:tab w:val="left" w:pos="1134"/>
        </w:tabs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Уделялось должное внимание повышению квалификации руководителей и специалистов по направлениям, соответствующим их деятельности (участку работы).</w:t>
      </w:r>
    </w:p>
    <w:p w:rsidR="00642CDE" w:rsidRDefault="00642CDE">
      <w:pPr>
        <w:tabs>
          <w:tab w:val="left" w:pos="1134"/>
        </w:tabs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Руководство Общества вполне ос</w:t>
      </w:r>
      <w:r>
        <w:rPr>
          <w:sz w:val="24"/>
        </w:rPr>
        <w:t>ознает значение рисков, которые могут возникнуть в процессе производственно-хозяйственной деятельности, и принимает все возможные меры к их минимизации.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Полностью избежать рисков практически невозможно, но, зная источники потерь, Общество способно снизить </w:t>
      </w:r>
      <w:r>
        <w:rPr>
          <w:sz w:val="24"/>
        </w:rPr>
        <w:t>их угрозу, уменьшить действие неблагоприятных факторов.</w:t>
      </w:r>
    </w:p>
    <w:p w:rsidR="00642CDE" w:rsidRDefault="00642CDE">
      <w:pPr>
        <w:spacing w:after="0" w:line="240" w:lineRule="auto"/>
        <w:ind w:firstLine="709"/>
        <w:jc w:val="both"/>
        <w:rPr>
          <w:sz w:val="24"/>
        </w:rPr>
      </w:pPr>
    </w:p>
    <w:p w:rsidR="00642CDE" w:rsidRDefault="006D0C79">
      <w:pPr>
        <w:pStyle w:val="30"/>
        <w:ind w:firstLine="562"/>
        <w:rPr>
          <w:rFonts w:ascii="Times New Roman" w:hAnsi="Times New Roman"/>
          <w:color w:val="1F4E79"/>
          <w:sz w:val="28"/>
        </w:rPr>
      </w:pPr>
      <w:bookmarkStart w:id="11" w:name="__RefHeading___10"/>
      <w:bookmarkEnd w:id="11"/>
      <w:r>
        <w:rPr>
          <w:rFonts w:ascii="Times New Roman" w:hAnsi="Times New Roman"/>
          <w:color w:val="1F4E79"/>
          <w:sz w:val="28"/>
        </w:rPr>
        <w:t>Раздел 10. Сведения о совершенных обществом в отчетном году крупных сделках и сделках с заинтересованностью</w:t>
      </w:r>
    </w:p>
    <w:p w:rsidR="00642CDE" w:rsidRDefault="006D0C79">
      <w:pPr>
        <w:spacing w:before="280" w:after="0" w:line="240" w:lineRule="auto"/>
        <w:ind w:firstLine="567"/>
        <w:jc w:val="both"/>
        <w:rPr>
          <w:sz w:val="24"/>
        </w:rPr>
      </w:pPr>
      <w:r>
        <w:rPr>
          <w:sz w:val="24"/>
        </w:rPr>
        <w:t xml:space="preserve">Сделок, признаваемых в соответствии с Федеральным </w:t>
      </w:r>
      <w:hyperlink r:id="rId16" w:history="1">
        <w:r>
          <w:rPr>
            <w:color w:val="0000FF"/>
            <w:sz w:val="24"/>
          </w:rPr>
          <w:t>законом</w:t>
        </w:r>
      </w:hyperlink>
      <w:r>
        <w:rPr>
          <w:sz w:val="24"/>
        </w:rPr>
        <w:t xml:space="preserve"> об акционерных обществах крупными или сделками, в которых имеется заинтересованность, в отчетном 2024 г. не совершалось</w:t>
      </w:r>
      <w:r>
        <w:rPr>
          <w:sz w:val="24"/>
        </w:rPr>
        <w:t>.</w:t>
      </w:r>
    </w:p>
    <w:p w:rsidR="00642CDE" w:rsidRDefault="00642CDE">
      <w:pPr>
        <w:spacing w:after="0" w:line="240" w:lineRule="auto"/>
        <w:ind w:firstLine="562"/>
        <w:jc w:val="both"/>
        <w:rPr>
          <w:sz w:val="24"/>
        </w:rPr>
      </w:pPr>
    </w:p>
    <w:p w:rsidR="00642CDE" w:rsidRDefault="006D0C79">
      <w:pPr>
        <w:pStyle w:val="30"/>
        <w:ind w:firstLine="562"/>
        <w:rPr>
          <w:rFonts w:ascii="Times New Roman" w:hAnsi="Times New Roman"/>
          <w:sz w:val="23"/>
        </w:rPr>
      </w:pPr>
      <w:bookmarkStart w:id="12" w:name="__RefHeading___11"/>
      <w:bookmarkEnd w:id="12"/>
      <w:r>
        <w:rPr>
          <w:rFonts w:ascii="Times New Roman" w:hAnsi="Times New Roman"/>
          <w:color w:val="1F4E79"/>
          <w:sz w:val="28"/>
        </w:rPr>
        <w:t>Раздел 11. Сведения о совете директоров</w:t>
      </w:r>
    </w:p>
    <w:p w:rsidR="00642CDE" w:rsidRDefault="006D0C79">
      <w:pPr>
        <w:pStyle w:val="500"/>
        <w:spacing w:before="0" w:after="296" w:line="317" w:lineRule="exact"/>
        <w:ind w:left="0" w:right="20" w:firstLine="567"/>
        <w:jc w:val="both"/>
        <w:rPr>
          <w:sz w:val="24"/>
        </w:rPr>
      </w:pPr>
      <w:r>
        <w:rPr>
          <w:sz w:val="24"/>
        </w:rPr>
        <w:t>Совет директоров Общества осуществляет общее руководство деятельностью Общества, за исключением вопросов, отнесенных Федеральным законом «Об акционерных обществах» к компетенции общего собрания. Члены Совета директоров Общества избираются общим собранием а</w:t>
      </w:r>
      <w:r>
        <w:rPr>
          <w:sz w:val="24"/>
        </w:rPr>
        <w:t>кционеров. Лица, избранные в состав Совета директоров Общества, могут переизбираться неограниченное число раз.</w:t>
      </w:r>
    </w:p>
    <w:p w:rsidR="00642CDE" w:rsidRDefault="006D0C79">
      <w:pPr>
        <w:pStyle w:val="500"/>
        <w:spacing w:before="0" w:line="322" w:lineRule="exact"/>
        <w:ind w:left="0" w:right="20" w:firstLine="567"/>
        <w:jc w:val="both"/>
        <w:rPr>
          <w:sz w:val="24"/>
        </w:rPr>
      </w:pPr>
      <w:r>
        <w:rPr>
          <w:rStyle w:val="44"/>
          <w:sz w:val="24"/>
          <w:highlight w:val="none"/>
          <w:u w:val="none"/>
        </w:rPr>
        <w:t>В 2024 году в Совет директоров входили:</w:t>
      </w:r>
    </w:p>
    <w:p w:rsidR="00642CDE" w:rsidRDefault="00642CDE">
      <w:pPr>
        <w:pStyle w:val="500"/>
        <w:spacing w:before="0" w:line="322" w:lineRule="exact"/>
        <w:ind w:left="0" w:right="20" w:firstLine="567"/>
        <w:jc w:val="both"/>
        <w:rPr>
          <w:sz w:val="24"/>
        </w:rPr>
      </w:pPr>
    </w:p>
    <w:p w:rsidR="00642CDE" w:rsidRDefault="006D0C79">
      <w:pPr>
        <w:pStyle w:val="500"/>
        <w:numPr>
          <w:ilvl w:val="0"/>
          <w:numId w:val="16"/>
        </w:numPr>
        <w:spacing w:before="0" w:line="200" w:lineRule="exact"/>
        <w:ind w:left="567" w:hanging="567"/>
        <w:jc w:val="left"/>
        <w:rPr>
          <w:b/>
          <w:sz w:val="24"/>
        </w:rPr>
      </w:pPr>
      <w:r>
        <w:rPr>
          <w:b/>
          <w:sz w:val="24"/>
        </w:rPr>
        <w:t xml:space="preserve">Глазырин Андрей Владимирович </w:t>
      </w:r>
    </w:p>
    <w:p w:rsidR="00642CDE" w:rsidRDefault="00642CDE">
      <w:pPr>
        <w:pStyle w:val="500"/>
        <w:spacing w:before="0" w:line="200" w:lineRule="exact"/>
        <w:ind w:left="0" w:firstLine="284"/>
        <w:jc w:val="left"/>
        <w:rPr>
          <w:b/>
          <w:sz w:val="24"/>
        </w:rPr>
      </w:pPr>
    </w:p>
    <w:p w:rsidR="00642CDE" w:rsidRDefault="006D0C79">
      <w:pPr>
        <w:spacing w:before="120" w:after="0" w:line="240" w:lineRule="auto"/>
        <w:jc w:val="both"/>
        <w:rPr>
          <w:sz w:val="24"/>
        </w:rPr>
      </w:pPr>
      <w:r>
        <w:rPr>
          <w:sz w:val="24"/>
        </w:rPr>
        <w:t>Год рождения: 1975</w:t>
      </w:r>
    </w:p>
    <w:p w:rsidR="00642CDE" w:rsidRDefault="006D0C79">
      <w:pPr>
        <w:spacing w:before="120" w:after="0" w:line="240" w:lineRule="auto"/>
        <w:jc w:val="both"/>
        <w:rPr>
          <w:sz w:val="24"/>
        </w:rPr>
      </w:pPr>
      <w:r>
        <w:rPr>
          <w:sz w:val="24"/>
        </w:rPr>
        <w:t>Образование: Высшее: Балтийский государственный технич</w:t>
      </w:r>
      <w:r>
        <w:rPr>
          <w:sz w:val="24"/>
        </w:rPr>
        <w:t>еский университет «ВОЕНМЕХ» им. Д.Ф. Устинова, менеджмент, 1998 г.</w:t>
      </w:r>
    </w:p>
    <w:p w:rsidR="00642CDE" w:rsidRDefault="006D0C79">
      <w:pPr>
        <w:pStyle w:val="500"/>
        <w:spacing w:before="120" w:line="240" w:lineRule="auto"/>
        <w:ind w:left="0" w:firstLine="0"/>
        <w:jc w:val="left"/>
        <w:rPr>
          <w:sz w:val="24"/>
        </w:rPr>
      </w:pPr>
      <w:r>
        <w:rPr>
          <w:sz w:val="24"/>
        </w:rPr>
        <w:t>С 02.12.2013 г. по настоящее время  основное место работы: директор по экономике и финансам АО «КОНЦЕРН ТИТАН-2». ,</w:t>
      </w:r>
    </w:p>
    <w:p w:rsidR="00642CDE" w:rsidRDefault="006D0C79">
      <w:pPr>
        <w:pStyle w:val="500"/>
        <w:spacing w:before="120" w:line="240" w:lineRule="auto"/>
        <w:ind w:left="0" w:firstLine="0"/>
        <w:jc w:val="left"/>
        <w:rPr>
          <w:sz w:val="24"/>
        </w:rPr>
      </w:pPr>
      <w:r>
        <w:rPr>
          <w:sz w:val="24"/>
        </w:rPr>
        <w:t>Доля участия лица в уставном капитале Общества, %: 0</w:t>
      </w:r>
    </w:p>
    <w:p w:rsidR="00642CDE" w:rsidRDefault="006D0C79">
      <w:pPr>
        <w:pStyle w:val="500"/>
        <w:spacing w:before="120" w:line="240" w:lineRule="auto"/>
        <w:ind w:left="0" w:firstLine="0"/>
        <w:jc w:val="left"/>
        <w:rPr>
          <w:sz w:val="24"/>
        </w:rPr>
      </w:pPr>
      <w:r>
        <w:rPr>
          <w:sz w:val="24"/>
        </w:rPr>
        <w:t xml:space="preserve">Доля принадлежащих </w:t>
      </w:r>
      <w:r>
        <w:rPr>
          <w:sz w:val="24"/>
        </w:rPr>
        <w:t>лицу обыкновенных акций Общества, %: 0</w:t>
      </w:r>
    </w:p>
    <w:p w:rsidR="00642CDE" w:rsidRDefault="006D0C79">
      <w:pPr>
        <w:pStyle w:val="500"/>
        <w:spacing w:before="120" w:line="240" w:lineRule="auto"/>
        <w:ind w:left="0" w:firstLine="0"/>
        <w:jc w:val="left"/>
        <w:rPr>
          <w:sz w:val="24"/>
        </w:rPr>
      </w:pPr>
      <w:r>
        <w:rPr>
          <w:sz w:val="24"/>
        </w:rPr>
        <w:t>У Общества отсутствует информация о совершении лицом в отчетном периоде сделок по приобретению или отчуждению акций Общества.</w:t>
      </w:r>
    </w:p>
    <w:p w:rsidR="00642CDE" w:rsidRDefault="006D0C79">
      <w:pPr>
        <w:pStyle w:val="500"/>
        <w:spacing w:before="120" w:line="240" w:lineRule="auto"/>
        <w:ind w:left="0" w:firstLine="0"/>
        <w:jc w:val="left"/>
        <w:rPr>
          <w:sz w:val="24"/>
        </w:rPr>
      </w:pPr>
      <w:r>
        <w:rPr>
          <w:sz w:val="24"/>
        </w:rPr>
        <w:t>Информация о наличии у лица конфликта интересов (в том числе связанного с участием лица в о</w:t>
      </w:r>
      <w:r>
        <w:rPr>
          <w:sz w:val="24"/>
        </w:rPr>
        <w:t>рганах управления конкурентов Общества) отсутствует.</w:t>
      </w:r>
    </w:p>
    <w:p w:rsidR="00642CDE" w:rsidRDefault="00642CDE">
      <w:pPr>
        <w:spacing w:line="200" w:lineRule="exact"/>
        <w:ind w:left="567" w:hanging="567"/>
        <w:rPr>
          <w:b/>
          <w:sz w:val="24"/>
        </w:rPr>
      </w:pPr>
    </w:p>
    <w:p w:rsidR="00642CDE" w:rsidRDefault="006D0C79">
      <w:pPr>
        <w:numPr>
          <w:ilvl w:val="0"/>
          <w:numId w:val="16"/>
        </w:numPr>
        <w:spacing w:line="200" w:lineRule="exact"/>
        <w:ind w:left="0" w:firstLine="0"/>
        <w:rPr>
          <w:b/>
          <w:sz w:val="24"/>
        </w:rPr>
      </w:pPr>
      <w:r>
        <w:rPr>
          <w:b/>
          <w:sz w:val="24"/>
        </w:rPr>
        <w:t>Яценко Евгений Анатольевич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Год рождения: 1985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rStyle w:val="Subst0"/>
          <w:sz w:val="24"/>
        </w:rPr>
      </w:pPr>
      <w:r>
        <w:rPr>
          <w:sz w:val="24"/>
        </w:rPr>
        <w:t xml:space="preserve">Образование: высшее, </w:t>
      </w:r>
      <w:r>
        <w:rPr>
          <w:rStyle w:val="Subst0"/>
          <w:b w:val="0"/>
          <w:i w:val="0"/>
          <w:sz w:val="24"/>
        </w:rPr>
        <w:t>Дальневосточный инженерно-строительный институт</w:t>
      </w:r>
      <w:r>
        <w:t xml:space="preserve"> </w:t>
      </w:r>
      <w:r>
        <w:rPr>
          <w:rStyle w:val="Subst0"/>
          <w:b w:val="0"/>
          <w:i w:val="0"/>
          <w:sz w:val="24"/>
        </w:rPr>
        <w:t xml:space="preserve">(ФВПИ им В.В. Куйбышева), </w:t>
      </w:r>
      <w:r>
        <w:rPr>
          <w:sz w:val="24"/>
        </w:rPr>
        <w:t>2007 г. высшее, промышленное и гражданское строительство, инж</w:t>
      </w:r>
      <w:r>
        <w:rPr>
          <w:sz w:val="24"/>
        </w:rPr>
        <w:t>енер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 xml:space="preserve">Наименование должности по основному и дополнительному месту работы:  С марта 2017 года   по настоящее время Директор по строительству АО «КОНЦЕРН ТИТАН-2», с  сентября 2022 по настоящее время - уполномоченный представитель от имени директора </w:t>
      </w:r>
      <w:r>
        <w:rPr>
          <w:spacing w:val="11"/>
          <w:sz w:val="24"/>
        </w:rPr>
        <w:t>TSM ENERJ</w:t>
      </w:r>
      <w:r>
        <w:rPr>
          <w:spacing w:val="11"/>
          <w:sz w:val="24"/>
        </w:rPr>
        <w:t>İ İNŞAAT SANAYİ LİMİTED ŞİRKETİ (TSM ENERJİ). 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Доля участия лица в уставном капитале Общества, %: 0</w:t>
      </w:r>
    </w:p>
    <w:p w:rsidR="00642CDE" w:rsidRDefault="006D0C79">
      <w:pPr>
        <w:spacing w:before="120" w:after="0" w:line="20" w:lineRule="atLeast"/>
        <w:rPr>
          <w:sz w:val="24"/>
        </w:rPr>
      </w:pPr>
      <w:r>
        <w:rPr>
          <w:sz w:val="24"/>
        </w:rPr>
        <w:t>Доля принадлежащих лицу обыкновенных акций Общества, %: 0,</w:t>
      </w:r>
    </w:p>
    <w:p w:rsidR="00642CDE" w:rsidRDefault="006D0C79">
      <w:pPr>
        <w:pStyle w:val="500"/>
        <w:spacing w:before="120" w:line="240" w:lineRule="auto"/>
        <w:ind w:left="0" w:firstLine="0"/>
        <w:jc w:val="left"/>
        <w:rPr>
          <w:sz w:val="24"/>
        </w:rPr>
      </w:pPr>
      <w:r>
        <w:rPr>
          <w:sz w:val="24"/>
        </w:rPr>
        <w:t>У Общества отсутствует информация о совершении лицом в отчетном периоде сделок по приобретению ил</w:t>
      </w:r>
      <w:r>
        <w:rPr>
          <w:sz w:val="24"/>
        </w:rPr>
        <w:t>и отчуждению акций Общества.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:rsidR="00642CDE" w:rsidRDefault="00642CDE">
      <w:pPr>
        <w:spacing w:after="0" w:line="252" w:lineRule="auto"/>
        <w:rPr>
          <w:sz w:val="24"/>
        </w:rPr>
      </w:pPr>
    </w:p>
    <w:p w:rsidR="00642CDE" w:rsidRDefault="006D0C79">
      <w:pPr>
        <w:numPr>
          <w:ilvl w:val="0"/>
          <w:numId w:val="16"/>
        </w:numPr>
        <w:spacing w:after="0" w:line="252" w:lineRule="auto"/>
        <w:ind w:left="567" w:hanging="567"/>
        <w:rPr>
          <w:b/>
          <w:sz w:val="24"/>
        </w:rPr>
      </w:pPr>
      <w:r>
        <w:rPr>
          <w:b/>
          <w:sz w:val="24"/>
        </w:rPr>
        <w:t>Трофимова Ирина Леонидовна</w:t>
      </w:r>
    </w:p>
    <w:p w:rsidR="00642CDE" w:rsidRDefault="006D0C79">
      <w:pPr>
        <w:spacing w:before="120" w:after="0" w:line="20" w:lineRule="atLeast"/>
        <w:rPr>
          <w:sz w:val="24"/>
        </w:rPr>
      </w:pPr>
      <w:r>
        <w:rPr>
          <w:sz w:val="24"/>
        </w:rPr>
        <w:t>Год рождения: 1963 г.</w:t>
      </w:r>
    </w:p>
    <w:p w:rsidR="00642CDE" w:rsidRDefault="006D0C79">
      <w:pPr>
        <w:spacing w:before="120" w:after="0" w:line="20" w:lineRule="atLeast"/>
        <w:rPr>
          <w:sz w:val="24"/>
        </w:rPr>
      </w:pPr>
      <w:r>
        <w:rPr>
          <w:sz w:val="24"/>
        </w:rPr>
        <w:t>Образование: высшее, Северо-Запад</w:t>
      </w:r>
      <w:r>
        <w:rPr>
          <w:sz w:val="24"/>
        </w:rPr>
        <w:t>ная академия государственной службы</w:t>
      </w:r>
      <w:r>
        <w:rPr>
          <w:rFonts w:ascii="Calibri" w:hAnsi="Calibri"/>
          <w:color w:val="1F497D"/>
          <w:sz w:val="22"/>
        </w:rPr>
        <w:t>,</w:t>
      </w:r>
      <w:r>
        <w:rPr>
          <w:sz w:val="24"/>
        </w:rPr>
        <w:t xml:space="preserve"> экономист, финансы и кредит, 2001</w:t>
      </w:r>
    </w:p>
    <w:p w:rsidR="00642CDE" w:rsidRDefault="006D0C79">
      <w:pPr>
        <w:spacing w:before="120" w:after="0" w:line="20" w:lineRule="atLeast"/>
        <w:rPr>
          <w:sz w:val="24"/>
        </w:rPr>
      </w:pPr>
      <w:r>
        <w:rPr>
          <w:sz w:val="24"/>
        </w:rPr>
        <w:t>Наименование должности по основному месту работы: Заместитель Генерального директора - внутренний аудитор АО «ТИТАН-2» с 01.03.2016 г. по настоящее время</w:t>
      </w:r>
    </w:p>
    <w:p w:rsidR="00642CDE" w:rsidRDefault="006D0C79">
      <w:pPr>
        <w:spacing w:before="120" w:after="0" w:line="20" w:lineRule="atLeast"/>
        <w:rPr>
          <w:sz w:val="24"/>
        </w:rPr>
      </w:pPr>
      <w:r>
        <w:rPr>
          <w:sz w:val="24"/>
        </w:rPr>
        <w:t>Доля участия лица в уставном ка</w:t>
      </w:r>
      <w:r>
        <w:rPr>
          <w:sz w:val="24"/>
        </w:rPr>
        <w:t>питале Общества, %: 0</w:t>
      </w:r>
    </w:p>
    <w:p w:rsidR="00642CDE" w:rsidRDefault="006D0C79">
      <w:pPr>
        <w:spacing w:before="120" w:after="0" w:line="20" w:lineRule="atLeast"/>
        <w:rPr>
          <w:sz w:val="24"/>
        </w:rPr>
      </w:pPr>
      <w:r>
        <w:rPr>
          <w:sz w:val="24"/>
        </w:rPr>
        <w:t>Доля принадлежащих лицу обыкновенных акций Общества, %: 0</w:t>
      </w:r>
    </w:p>
    <w:p w:rsidR="00642CDE" w:rsidRDefault="006D0C79">
      <w:pPr>
        <w:pStyle w:val="500"/>
        <w:spacing w:before="120" w:line="240" w:lineRule="auto"/>
        <w:ind w:left="0" w:firstLine="0"/>
        <w:jc w:val="left"/>
        <w:rPr>
          <w:sz w:val="24"/>
        </w:rPr>
      </w:pPr>
      <w:r>
        <w:rPr>
          <w:sz w:val="24"/>
        </w:rPr>
        <w:t>У Общества отсутствует информация о совершении лицом в отчетном периоде сделок по приобретению или отчуждению акций Общества.</w:t>
      </w:r>
    </w:p>
    <w:p w:rsidR="00642CDE" w:rsidRDefault="006D0C79">
      <w:pPr>
        <w:spacing w:before="120" w:after="0" w:line="20" w:lineRule="atLeast"/>
        <w:rPr>
          <w:sz w:val="24"/>
        </w:rPr>
      </w:pPr>
      <w:r>
        <w:rPr>
          <w:sz w:val="24"/>
        </w:rPr>
        <w:t>Информация о наличии у лица конфликта интересов (в</w:t>
      </w:r>
      <w:r>
        <w:rPr>
          <w:sz w:val="24"/>
        </w:rPr>
        <w:t xml:space="preserve"> том числе связанного с участием лица в органах управления конкурентов Общества) отсутствует.</w:t>
      </w:r>
    </w:p>
    <w:p w:rsidR="00642CDE" w:rsidRDefault="00642CDE">
      <w:pPr>
        <w:pStyle w:val="500"/>
        <w:spacing w:before="120" w:line="20" w:lineRule="atLeast"/>
        <w:ind w:left="0" w:firstLine="0"/>
        <w:jc w:val="left"/>
        <w:rPr>
          <w:sz w:val="24"/>
        </w:rPr>
      </w:pPr>
    </w:p>
    <w:p w:rsidR="00642CDE" w:rsidRDefault="006D0C79">
      <w:pPr>
        <w:numPr>
          <w:ilvl w:val="0"/>
          <w:numId w:val="16"/>
        </w:numPr>
        <w:spacing w:line="200" w:lineRule="exact"/>
        <w:ind w:left="567" w:hanging="567"/>
        <w:rPr>
          <w:b/>
          <w:sz w:val="24"/>
        </w:rPr>
      </w:pPr>
      <w:r>
        <w:rPr>
          <w:b/>
          <w:sz w:val="24"/>
        </w:rPr>
        <w:t xml:space="preserve">Улокина Елена Валерьевна 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Год рождения: 1964 г.</w:t>
      </w:r>
    </w:p>
    <w:p w:rsidR="00642CDE" w:rsidRDefault="006D0C79">
      <w:pPr>
        <w:spacing w:before="120" w:after="0" w:line="20" w:lineRule="atLeast"/>
        <w:rPr>
          <w:rStyle w:val="Subst0"/>
          <w:sz w:val="24"/>
        </w:rPr>
      </w:pPr>
      <w:r>
        <w:rPr>
          <w:sz w:val="24"/>
        </w:rPr>
        <w:t xml:space="preserve">Образование: высшее, </w:t>
      </w:r>
      <w:r>
        <w:rPr>
          <w:rStyle w:val="Subst0"/>
          <w:b w:val="0"/>
          <w:i w:val="0"/>
          <w:sz w:val="24"/>
        </w:rPr>
        <w:t>Ленинградский ордена Ленина Государственный Университет им.  А.А. Жданова.</w:t>
      </w:r>
      <w:r>
        <w:rPr>
          <w:sz w:val="24"/>
        </w:rPr>
        <w:t xml:space="preserve">, правоведение, </w:t>
      </w:r>
      <w:r>
        <w:rPr>
          <w:sz w:val="24"/>
        </w:rPr>
        <w:t>юрист, 1988</w:t>
      </w:r>
    </w:p>
    <w:p w:rsidR="00642CDE" w:rsidRDefault="006D0C79">
      <w:pPr>
        <w:spacing w:before="120" w:after="0" w:line="20" w:lineRule="atLeast"/>
        <w:rPr>
          <w:rStyle w:val="Subst0"/>
          <w:b w:val="0"/>
          <w:i w:val="0"/>
          <w:sz w:val="24"/>
        </w:rPr>
      </w:pPr>
      <w:r>
        <w:rPr>
          <w:sz w:val="24"/>
        </w:rPr>
        <w:t xml:space="preserve">Наименование должности по основному месту работы: Директор по внутреннему контролю и экономической безопасности АО «КОНЦЕРН ТИТАН-2» с 25.11.2016 года по настоящее время 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Доля участия лица в уставном капитале Общества, %: 0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Доля принадлежащих л</w:t>
      </w:r>
      <w:r>
        <w:rPr>
          <w:sz w:val="24"/>
        </w:rPr>
        <w:t>ицу обыкновенных акций Общества, %: 0,</w:t>
      </w:r>
    </w:p>
    <w:p w:rsidR="00642CDE" w:rsidRDefault="006D0C79">
      <w:pPr>
        <w:pStyle w:val="500"/>
        <w:spacing w:before="120" w:line="240" w:lineRule="auto"/>
        <w:ind w:left="0" w:firstLine="0"/>
        <w:jc w:val="left"/>
        <w:rPr>
          <w:sz w:val="24"/>
        </w:rPr>
      </w:pPr>
      <w:r>
        <w:rPr>
          <w:sz w:val="24"/>
        </w:rPr>
        <w:t>У Общества отсутствует информация о совершении лицом в отчетном периоде сделок по приобретению или отчуждению акций Общества.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Информация о наличии у лица конфликта интересов (в том числе связанного с участием лица в о</w:t>
      </w:r>
      <w:r>
        <w:rPr>
          <w:sz w:val="24"/>
        </w:rPr>
        <w:t>рганах управления конкурентов Общества) отсутствует.</w:t>
      </w:r>
    </w:p>
    <w:p w:rsidR="00642CDE" w:rsidRDefault="00642CDE">
      <w:pPr>
        <w:pStyle w:val="500"/>
        <w:spacing w:before="0" w:line="40" w:lineRule="atLeast"/>
        <w:ind w:left="0" w:firstLine="284"/>
        <w:jc w:val="left"/>
        <w:rPr>
          <w:sz w:val="24"/>
        </w:rPr>
      </w:pPr>
    </w:p>
    <w:p w:rsidR="00642CDE" w:rsidRDefault="006D0C79">
      <w:pPr>
        <w:numPr>
          <w:ilvl w:val="0"/>
          <w:numId w:val="16"/>
        </w:numPr>
        <w:spacing w:line="200" w:lineRule="exact"/>
        <w:ind w:left="567" w:hanging="567"/>
        <w:rPr>
          <w:b/>
          <w:sz w:val="24"/>
        </w:rPr>
      </w:pPr>
      <w:r>
        <w:rPr>
          <w:b/>
          <w:sz w:val="24"/>
        </w:rPr>
        <w:t>Николаева Татьяна Павловна</w:t>
      </w:r>
    </w:p>
    <w:p w:rsidR="00642CDE" w:rsidRDefault="006D0C79">
      <w:pPr>
        <w:spacing w:before="120" w:after="0" w:line="20" w:lineRule="atLeast"/>
        <w:rPr>
          <w:sz w:val="24"/>
        </w:rPr>
      </w:pPr>
      <w:r>
        <w:rPr>
          <w:sz w:val="24"/>
        </w:rPr>
        <w:t>Год рождения: 1974 г.</w:t>
      </w:r>
    </w:p>
    <w:p w:rsidR="00642CDE" w:rsidRDefault="006D0C79">
      <w:pPr>
        <w:spacing w:before="120" w:after="0" w:line="20" w:lineRule="atLeast"/>
        <w:rPr>
          <w:sz w:val="24"/>
        </w:rPr>
      </w:pPr>
      <w:r>
        <w:rPr>
          <w:sz w:val="24"/>
        </w:rPr>
        <w:t>Образование: Высшее образование - специалист, магистратура, Российская академия государственной службы при Президенте РФ, менеджер, 2009 г.</w:t>
      </w:r>
    </w:p>
    <w:p w:rsidR="00642CDE" w:rsidRDefault="006D0C79">
      <w:pPr>
        <w:spacing w:before="120" w:after="0" w:line="20" w:lineRule="atLeast"/>
        <w:jc w:val="both"/>
        <w:rPr>
          <w:sz w:val="24"/>
        </w:rPr>
      </w:pPr>
      <w:r>
        <w:rPr>
          <w:sz w:val="24"/>
        </w:rPr>
        <w:t xml:space="preserve">Наименование </w:t>
      </w:r>
      <w:r>
        <w:rPr>
          <w:sz w:val="24"/>
        </w:rPr>
        <w:t>должности по основному месту работы: Директор по персоналу АО «КОНЦЕРН ТИТАН-2» с 18.06.2012 г. по настоящее время ,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Доля участия лица в уставном капитале Общества, %: 0,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Доля принадлежащих лицу обыкновенных акций Общества, %: 0,</w:t>
      </w:r>
    </w:p>
    <w:p w:rsidR="00642CDE" w:rsidRDefault="006D0C79">
      <w:pPr>
        <w:pStyle w:val="500"/>
        <w:spacing w:before="120" w:line="240" w:lineRule="auto"/>
        <w:ind w:left="0" w:firstLine="0"/>
        <w:jc w:val="left"/>
        <w:rPr>
          <w:sz w:val="24"/>
        </w:rPr>
      </w:pPr>
      <w:r>
        <w:rPr>
          <w:sz w:val="24"/>
        </w:rPr>
        <w:t xml:space="preserve">У Общества отсутствует </w:t>
      </w:r>
      <w:r>
        <w:rPr>
          <w:sz w:val="24"/>
        </w:rPr>
        <w:t>информация о совершении лицом в отчетном периоде сделок по приобретению или отчуждению акций Общества.</w:t>
      </w:r>
    </w:p>
    <w:p w:rsidR="00642CDE" w:rsidRDefault="006D0C79">
      <w:pPr>
        <w:pStyle w:val="500"/>
        <w:spacing w:before="120" w:line="20" w:lineRule="atLeast"/>
        <w:ind w:left="0" w:firstLine="0"/>
        <w:jc w:val="left"/>
        <w:rPr>
          <w:sz w:val="24"/>
        </w:rPr>
      </w:pPr>
      <w:r>
        <w:rPr>
          <w:sz w:val="24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:rsidR="00642CDE" w:rsidRDefault="00642CDE">
      <w:pPr>
        <w:pStyle w:val="500"/>
        <w:spacing w:before="0" w:line="240" w:lineRule="atLeast"/>
        <w:ind w:left="0" w:firstLine="0"/>
        <w:jc w:val="left"/>
        <w:rPr>
          <w:sz w:val="24"/>
        </w:rPr>
      </w:pPr>
    </w:p>
    <w:p w:rsidR="00642CDE" w:rsidRDefault="006D0C79">
      <w:pPr>
        <w:spacing w:after="0" w:line="240" w:lineRule="auto"/>
        <w:jc w:val="both"/>
        <w:rPr>
          <w:sz w:val="24"/>
        </w:rPr>
      </w:pPr>
      <w:r>
        <w:rPr>
          <w:sz w:val="24"/>
        </w:rPr>
        <w:t>Совет ди</w:t>
      </w:r>
      <w:r>
        <w:rPr>
          <w:sz w:val="24"/>
        </w:rPr>
        <w:t>ректоров, сформированный в данном составе, действует с даты принятия соответствующего решения на годовом собрании акционеров в 2003 году ( изменения в устав по количественному составу были внесены и зарегистрированы 01.09.2023 г). На годовом собрании акцио</w:t>
      </w:r>
      <w:r>
        <w:rPr>
          <w:sz w:val="24"/>
        </w:rPr>
        <w:t>неров 30.06.2024 года состав директоров переизбран в том же составе.</w:t>
      </w:r>
    </w:p>
    <w:p w:rsidR="00642CDE" w:rsidRDefault="00642CDE">
      <w:pPr>
        <w:spacing w:after="0" w:line="240" w:lineRule="auto"/>
        <w:jc w:val="both"/>
        <w:rPr>
          <w:sz w:val="24"/>
        </w:rPr>
      </w:pPr>
    </w:p>
    <w:p w:rsidR="00642CDE" w:rsidRDefault="006D0C79">
      <w:pPr>
        <w:pStyle w:val="30"/>
        <w:ind w:firstLine="562"/>
        <w:rPr>
          <w:rFonts w:ascii="Times New Roman" w:hAnsi="Times New Roman"/>
          <w:color w:val="1F4E79"/>
          <w:sz w:val="28"/>
        </w:rPr>
      </w:pPr>
      <w:bookmarkStart w:id="13" w:name="__RefHeading___12"/>
      <w:bookmarkEnd w:id="13"/>
      <w:r>
        <w:rPr>
          <w:rFonts w:ascii="Times New Roman" w:hAnsi="Times New Roman"/>
          <w:color w:val="1F4E79"/>
          <w:sz w:val="28"/>
        </w:rPr>
        <w:t>Раздел 12. Сведения о директоре</w:t>
      </w:r>
    </w:p>
    <w:p w:rsidR="00642CDE" w:rsidRDefault="006D0C79">
      <w:pPr>
        <w:pStyle w:val="500"/>
        <w:spacing w:before="0" w:line="240" w:lineRule="atLeast"/>
        <w:ind w:left="0" w:firstLine="709"/>
        <w:jc w:val="both"/>
        <w:rPr>
          <w:sz w:val="24"/>
        </w:rPr>
      </w:pPr>
      <w:r>
        <w:rPr>
          <w:sz w:val="24"/>
        </w:rPr>
        <w:t>С «12» сентября 2023 года на должность генерального директора ПАО «СУС» Советом директоров общества (Протокол СД № 12-2023 от «11» сентября 2023 г) был на</w:t>
      </w:r>
      <w:r>
        <w:rPr>
          <w:sz w:val="24"/>
        </w:rPr>
        <w:t xml:space="preserve">значен </w:t>
      </w:r>
      <w:r>
        <w:rPr>
          <w:b/>
          <w:sz w:val="24"/>
        </w:rPr>
        <w:t>Волгин Дмитрий Юрьевич</w:t>
      </w:r>
      <w:r>
        <w:rPr>
          <w:sz w:val="24"/>
        </w:rPr>
        <w:t xml:space="preserve"> сроком на 3 года.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 xml:space="preserve">Год рождения: 1989 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>Образование: Высшее, ГОУ ВПО "Санкт-Петербургский государственный политехнический университет", год окончания – 2012 г.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>Квалификация: инженер, специальность - «Промышленное и гражданское с</w:t>
      </w:r>
      <w:r>
        <w:rPr>
          <w:sz w:val="24"/>
        </w:rPr>
        <w:t>троительство»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>Наименование должности по основному месту работы: Директор филиала АО «КОНЦЕРН ТИТАН-2» «Собственное управление строительством»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 xml:space="preserve"> Все должности, занимаемые данным лицом в эмитенте и других организациях за последние 5 лет и в настоящее время в </w:t>
      </w:r>
      <w:r>
        <w:rPr>
          <w:sz w:val="24"/>
        </w:rPr>
        <w:t>хронологическом порядке, в том числе по совместительству: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8"/>
        <w:gridCol w:w="2126"/>
        <w:gridCol w:w="3119"/>
        <w:gridCol w:w="2659"/>
      </w:tblGrid>
      <w:tr w:rsidR="00642CDE">
        <w:trPr>
          <w:trHeight w:val="378"/>
        </w:trPr>
        <w:tc>
          <w:tcPr>
            <w:tcW w:w="3474" w:type="dxa"/>
            <w:gridSpan w:val="2"/>
            <w:tcBorders>
              <w:top w:val="double" w:sz="6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Период</w:t>
            </w:r>
          </w:p>
        </w:tc>
        <w:tc>
          <w:tcPr>
            <w:tcW w:w="3119" w:type="dxa"/>
            <w:vMerge w:val="restart"/>
            <w:tcBorders>
              <w:top w:val="double" w:sz="6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42CDE">
            <w:pPr>
              <w:jc w:val="center"/>
              <w:rPr>
                <w:sz w:val="24"/>
              </w:rPr>
            </w:pPr>
          </w:p>
          <w:p w:rsidR="00642CDE" w:rsidRDefault="006D0C7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Наименование организации</w:t>
            </w:r>
          </w:p>
        </w:tc>
        <w:tc>
          <w:tcPr>
            <w:tcW w:w="2659" w:type="dxa"/>
            <w:vMerge w:val="restart"/>
            <w:tcBorders>
              <w:top w:val="double" w:sz="6" w:space="0" w:color="000000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42CDE">
            <w:pPr>
              <w:jc w:val="center"/>
              <w:rPr>
                <w:sz w:val="24"/>
              </w:rPr>
            </w:pPr>
          </w:p>
          <w:p w:rsidR="00642CDE" w:rsidRDefault="006D0C7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Должность</w:t>
            </w:r>
          </w:p>
        </w:tc>
      </w:tr>
      <w:tr w:rsidR="00642CDE">
        <w:trPr>
          <w:trHeight w:val="238"/>
        </w:trPr>
        <w:tc>
          <w:tcPr>
            <w:tcW w:w="1348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по</w:t>
            </w:r>
          </w:p>
        </w:tc>
        <w:tc>
          <w:tcPr>
            <w:tcW w:w="3119" w:type="dxa"/>
            <w:vMerge/>
            <w:tcBorders>
              <w:top w:val="double" w:sz="6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42CDE"/>
        </w:tc>
        <w:tc>
          <w:tcPr>
            <w:tcW w:w="2659" w:type="dxa"/>
            <w:vMerge/>
            <w:tcBorders>
              <w:top w:val="double" w:sz="6" w:space="0" w:color="000000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42CDE"/>
        </w:tc>
      </w:tr>
      <w:tr w:rsidR="00642CDE">
        <w:tc>
          <w:tcPr>
            <w:tcW w:w="1348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01.03.2018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30.04.2021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АО «КОНЦЕРН ТИТАН-2»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Начальник отдела</w:t>
            </w:r>
          </w:p>
        </w:tc>
      </w:tr>
      <w:tr w:rsidR="00642CDE">
        <w:tc>
          <w:tcPr>
            <w:tcW w:w="1348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01.05.2021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Настоящее время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АО «КОНЦЕРН ТИТАН-2»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Директор филиала «СУС»</w:t>
            </w:r>
          </w:p>
        </w:tc>
      </w:tr>
      <w:tr w:rsidR="00642CDE">
        <w:tc>
          <w:tcPr>
            <w:tcW w:w="1348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20.03.2023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11.09.2023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ПАО «СУС» (по совместительству)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Начальник СМУ</w:t>
            </w:r>
          </w:p>
        </w:tc>
      </w:tr>
      <w:tr w:rsidR="00642CDE">
        <w:trPr>
          <w:trHeight w:val="312"/>
        </w:trPr>
        <w:tc>
          <w:tcPr>
            <w:tcW w:w="1348" w:type="dxa"/>
            <w:tcBorders>
              <w:top w:val="nil"/>
              <w:left w:val="double" w:sz="6" w:space="0" w:color="000000"/>
              <w:bottom w:val="double" w:sz="6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 xml:space="preserve">12.09.2023 </w:t>
            </w:r>
          </w:p>
        </w:tc>
        <w:tc>
          <w:tcPr>
            <w:tcW w:w="2126" w:type="dxa"/>
            <w:tcBorders>
              <w:top w:val="nil"/>
              <w:left w:val="nil"/>
              <w:bottom w:val="double" w:sz="6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jc w:val="center"/>
              <w:rPr>
                <w:sz w:val="24"/>
              </w:rPr>
            </w:pPr>
            <w:r>
              <w:rPr>
                <w:sz w:val="24"/>
              </w:rPr>
              <w:t>Настоящее время</w:t>
            </w:r>
          </w:p>
        </w:tc>
        <w:tc>
          <w:tcPr>
            <w:tcW w:w="3119" w:type="dxa"/>
            <w:tcBorders>
              <w:top w:val="nil"/>
              <w:left w:val="nil"/>
              <w:bottom w:val="double" w:sz="6" w:space="0" w:color="000000"/>
              <w:right w:val="single" w:sz="8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ПАО «СУС» (по совместительству)</w:t>
            </w:r>
          </w:p>
        </w:tc>
        <w:tc>
          <w:tcPr>
            <w:tcW w:w="2659" w:type="dxa"/>
            <w:tcBorders>
              <w:top w:val="nil"/>
              <w:left w:val="nil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642CDE" w:rsidRDefault="006D0C79">
            <w:pPr>
              <w:rPr>
                <w:sz w:val="24"/>
              </w:rPr>
            </w:pPr>
            <w:r>
              <w:rPr>
                <w:sz w:val="24"/>
              </w:rPr>
              <w:t>Генеральный директор</w:t>
            </w:r>
          </w:p>
        </w:tc>
      </w:tr>
    </w:tbl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>Доли участия лица в уставном капитале Общества: 0%;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>Доли принадлежащих лицу обыкновенных акций Общества: 0%;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>Родственных связей с иными лицами, входящими в состав органов управления эмитента и/или органов контроля за финансово - хозяйственной деятельностью эмитента: не имеет;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>К административной ответственности за правонарушения в области финансов, налогов и сборо</w:t>
      </w:r>
      <w:r>
        <w:rPr>
          <w:sz w:val="24"/>
        </w:rPr>
        <w:t>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не привлекался;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>У Общества отсутствовала информация о совершении лицом в отчетном периоде сделок по</w:t>
      </w:r>
      <w:r>
        <w:rPr>
          <w:sz w:val="24"/>
        </w:rPr>
        <w:t xml:space="preserve"> приобретению или отчуждению акций Общества.</w:t>
      </w:r>
    </w:p>
    <w:p w:rsidR="00642CDE" w:rsidRDefault="006D0C79">
      <w:pPr>
        <w:spacing w:before="120" w:after="0" w:line="21" w:lineRule="atLeast"/>
        <w:ind w:firstLine="567"/>
        <w:jc w:val="both"/>
        <w:rPr>
          <w:sz w:val="24"/>
        </w:rPr>
      </w:pPr>
      <w:r>
        <w:rPr>
          <w:sz w:val="24"/>
        </w:rPr>
        <w:t>Информация о наличии у лица конфликта интересов (в том числе связанного с участием лица в органах управления конкурентов Общества) отсутствует.</w:t>
      </w:r>
    </w:p>
    <w:p w:rsidR="00642CDE" w:rsidRDefault="00642CDE">
      <w:pPr>
        <w:spacing w:after="0" w:line="252" w:lineRule="auto"/>
        <w:jc w:val="both"/>
        <w:rPr>
          <w:sz w:val="24"/>
        </w:rPr>
      </w:pPr>
    </w:p>
    <w:p w:rsidR="00642CDE" w:rsidRDefault="006D0C79">
      <w:pPr>
        <w:pStyle w:val="30"/>
        <w:spacing w:line="60" w:lineRule="atLeast"/>
        <w:ind w:firstLine="562"/>
        <w:rPr>
          <w:rFonts w:ascii="Times New Roman" w:hAnsi="Times New Roman"/>
          <w:color w:val="376092"/>
          <w:sz w:val="28"/>
        </w:rPr>
      </w:pPr>
      <w:bookmarkStart w:id="14" w:name="__RefHeading___13"/>
      <w:bookmarkEnd w:id="14"/>
      <w:r>
        <w:rPr>
          <w:rFonts w:ascii="Times New Roman" w:hAnsi="Times New Roman"/>
          <w:color w:val="376092"/>
          <w:sz w:val="28"/>
        </w:rPr>
        <w:t xml:space="preserve"> Раздел 13. Состояние чистых активов общества</w:t>
      </w:r>
    </w:p>
    <w:p w:rsidR="00642CDE" w:rsidRDefault="006D0C79">
      <w:pPr>
        <w:pStyle w:val="ab"/>
        <w:spacing w:after="0" w:line="240" w:lineRule="auto"/>
        <w:ind w:left="0"/>
        <w:jc w:val="center"/>
        <w:rPr>
          <w:b/>
          <w:sz w:val="24"/>
        </w:rPr>
      </w:pPr>
      <w:r>
        <w:rPr>
          <w:b/>
          <w:sz w:val="24"/>
        </w:rPr>
        <w:t>Динамика показателей</w:t>
      </w:r>
      <w:r>
        <w:rPr>
          <w:b/>
          <w:sz w:val="24"/>
        </w:rPr>
        <w:t xml:space="preserve"> чистых активов ПАО «СУС» и уставного капитала, тыс.руб.</w:t>
      </w:r>
    </w:p>
    <w:p w:rsidR="00642CDE" w:rsidRDefault="00642CDE">
      <w:pPr>
        <w:pStyle w:val="ab"/>
        <w:spacing w:after="0" w:line="240" w:lineRule="auto"/>
        <w:ind w:left="0" w:firstLine="567"/>
        <w:jc w:val="center"/>
        <w:rPr>
          <w:b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639"/>
        <w:gridCol w:w="1701"/>
        <w:gridCol w:w="1701"/>
        <w:gridCol w:w="1701"/>
      </w:tblGrid>
      <w:tr w:rsidR="00642CDE">
        <w:trPr>
          <w:trHeight w:val="208"/>
          <w:jc w:val="center"/>
        </w:trPr>
        <w:tc>
          <w:tcPr>
            <w:tcW w:w="46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rStyle w:val="1fa"/>
                <w:b/>
                <w:sz w:val="24"/>
              </w:rPr>
              <w:t>Показатели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rStyle w:val="1fa"/>
                <w:b/>
                <w:sz w:val="24"/>
              </w:rPr>
              <w:t>По состоянию на:</w:t>
            </w:r>
          </w:p>
        </w:tc>
      </w:tr>
      <w:tr w:rsidR="00642CDE">
        <w:trPr>
          <w:trHeight w:val="244"/>
          <w:jc w:val="center"/>
        </w:trPr>
        <w:tc>
          <w:tcPr>
            <w:tcW w:w="46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42CDE"/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31.12.2022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31.12.2023 г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31.12.2024 г</w:t>
            </w:r>
          </w:p>
        </w:tc>
      </w:tr>
      <w:tr w:rsidR="00642CDE">
        <w:trPr>
          <w:trHeight w:val="412"/>
          <w:jc w:val="center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rStyle w:val="1fa"/>
                <w:sz w:val="24"/>
              </w:rPr>
              <w:t>Стоимость чистых активов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rStyle w:val="1fa"/>
                <w:sz w:val="24"/>
              </w:rPr>
              <w:t>-3 188 338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rStyle w:val="1fa"/>
                <w:sz w:val="24"/>
              </w:rPr>
              <w:t>- 3 159 792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- 3 927 783</w:t>
            </w:r>
          </w:p>
        </w:tc>
      </w:tr>
      <w:tr w:rsidR="00642CDE">
        <w:trPr>
          <w:trHeight w:val="187"/>
          <w:jc w:val="center"/>
        </w:trPr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rStyle w:val="1fa"/>
                <w:sz w:val="24"/>
              </w:rPr>
              <w:t>Размер уставного капитала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rStyle w:val="1fa"/>
                <w:sz w:val="24"/>
              </w:rPr>
              <w:t>4 038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rStyle w:val="1fa"/>
                <w:sz w:val="24"/>
              </w:rPr>
              <w:t>4 038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2CDE" w:rsidRDefault="006D0C79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rStyle w:val="1fa"/>
                <w:sz w:val="24"/>
              </w:rPr>
              <w:t>4 038</w:t>
            </w:r>
          </w:p>
        </w:tc>
      </w:tr>
    </w:tbl>
    <w:p w:rsidR="00642CDE" w:rsidRDefault="00642CDE">
      <w:pPr>
        <w:pStyle w:val="ab"/>
        <w:spacing w:after="0" w:line="240" w:lineRule="auto"/>
        <w:ind w:left="0" w:firstLine="567"/>
        <w:jc w:val="both"/>
      </w:pP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Динамика показателей</w:t>
      </w:r>
      <w:r>
        <w:rPr>
          <w:sz w:val="24"/>
        </w:rPr>
        <w:t xml:space="preserve"> стоимости чистых активов на протяжении трех лет показывает отрицательный результат.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Несмотря на это, ПАО СУС функционирует непрерывно и планирует вести операции в обозримом будущем.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Основными стратегическими задачами ПАО «СУС» в долгосрочной перспективе </w:t>
      </w:r>
      <w:r>
        <w:rPr>
          <w:sz w:val="24"/>
        </w:rPr>
        <w:t>являются развитие компании, как одной из ведущих компаний в области выполнения строительно-монтажных работ как на территории Российской Федерации, так и за рубежом, повышение прибыли акционеров путем ежегодного наращивания объемов выполняемых строительно-м</w:t>
      </w:r>
      <w:r>
        <w:rPr>
          <w:sz w:val="24"/>
        </w:rPr>
        <w:t>онтажных работ, обеспечение безубыточной производственно-хозяйственной деятельности всех структурных подразделений Общества.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На способность организации продолжать свою деятельность непрерывно указывают ряд существенных факторов:</w:t>
      </w:r>
    </w:p>
    <w:p w:rsidR="00642CDE" w:rsidRDefault="006D0C79">
      <w:pPr>
        <w:pStyle w:val="ab"/>
        <w:numPr>
          <w:ilvl w:val="0"/>
          <w:numId w:val="17"/>
        </w:numPr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Целями ПАО «СУС» в долгосро</w:t>
      </w:r>
      <w:r>
        <w:rPr>
          <w:sz w:val="24"/>
        </w:rPr>
        <w:t>чной перспективе являются дальнейшее поэтапное развитие компании, как одной из ведущих компаний в области строительства объектов атомной энергетики; усиление эффективности деятельности с целью увеличения прибыли; расширение географии участия на строительны</w:t>
      </w:r>
      <w:r>
        <w:rPr>
          <w:sz w:val="24"/>
        </w:rPr>
        <w:t>х объектах (площадках) строительства путем пополнения производственной программы новыми объектами, находящимися за пределами региона.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В свете экономической нестабильности и сложности геополитической ситуации последних лет (значительный рост ключевой ставки</w:t>
      </w:r>
      <w:r>
        <w:rPr>
          <w:sz w:val="24"/>
        </w:rPr>
        <w:t>; рост инфляции; сложности с логистикой и поставками материалов; импортозамещения строительных материалов, сложнейшего оборудования и техники; борьба с фальсификатом и др.), ПАО СУС не только не прекращает выполнять свои обязательства по заключенным контра</w:t>
      </w:r>
      <w:r>
        <w:rPr>
          <w:sz w:val="24"/>
        </w:rPr>
        <w:t>ктам, в том числе государственным контрактам и контрактам Министерства обороны), но и начинает новые долгосрочные проекты. Данные о планируемой выручке до 2030 г. предоставлены в годовом отчете в разделе 6.</w:t>
      </w:r>
    </w:p>
    <w:p w:rsidR="00642CDE" w:rsidRDefault="006D0C79">
      <w:pPr>
        <w:pStyle w:val="ab"/>
        <w:numPr>
          <w:ilvl w:val="0"/>
          <w:numId w:val="17"/>
        </w:numPr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Еще одним фактором непрерывности дальнейшей деятельности является размер организации и сложность выполняемых работ.</w:t>
      </w:r>
    </w:p>
    <w:p w:rsidR="00642CDE" w:rsidRDefault="006D0C79">
      <w:pPr>
        <w:spacing w:after="0" w:line="240" w:lineRule="auto"/>
        <w:ind w:firstLine="851"/>
        <w:jc w:val="both"/>
        <w:rPr>
          <w:sz w:val="24"/>
        </w:rPr>
      </w:pPr>
      <w:r>
        <w:rPr>
          <w:sz w:val="24"/>
        </w:rPr>
        <w:t xml:space="preserve">Начиная с момента реорганизации в июле 2023 года списочный состав ПАО СУС только увеличивается. Рост списочного состава происходит и в 2025 </w:t>
      </w:r>
      <w:r>
        <w:rPr>
          <w:sz w:val="24"/>
        </w:rPr>
        <w:t>году. Увеличение численности связано с растущим объемом работ на объектах строительства Ленинградской и Курской АЭС, объекте «Прорыв» в ЗАТО г. Северск, Красноярском Крае, Центральном, Уральском, Сибирском Федеральных округах, а также строительстве атомных</w:t>
      </w:r>
      <w:r>
        <w:rPr>
          <w:sz w:val="24"/>
        </w:rPr>
        <w:t xml:space="preserve"> станций в республике Турция и на территории АРЕ в Египте.</w:t>
      </w:r>
    </w:p>
    <w:p w:rsidR="00642CDE" w:rsidRDefault="006D0C79">
      <w:pPr>
        <w:numPr>
          <w:ilvl w:val="0"/>
          <w:numId w:val="17"/>
        </w:numPr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ПАО СУС в своей деятельности не привлекает кредиты и займы. Инвестиционный капитал ПАО «СУС» состоит из собственного капитала. За последние три года долгосрочные заемные средства не привлекались.</w:t>
      </w:r>
    </w:p>
    <w:p w:rsidR="00642CDE" w:rsidRDefault="006D0C79">
      <w:pPr>
        <w:pStyle w:val="ab"/>
        <w:numPr>
          <w:ilvl w:val="0"/>
          <w:numId w:val="17"/>
        </w:numPr>
        <w:spacing w:after="0" w:line="240" w:lineRule="auto"/>
        <w:ind w:left="0" w:firstLine="709"/>
        <w:jc w:val="both"/>
        <w:rPr>
          <w:sz w:val="24"/>
        </w:rPr>
      </w:pPr>
      <w:r>
        <w:rPr>
          <w:sz w:val="24"/>
        </w:rPr>
        <w:t>О</w:t>
      </w:r>
      <w:r>
        <w:rPr>
          <w:sz w:val="24"/>
        </w:rPr>
        <w:t>рганизация не имеет задолженности перед персоналом по заработной плате и своевременно производит уплату всех налогов в бюджет, а также погашает кредиторскую задолженность в надлежащие сроки.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Предприятие функционирует на рынке строительства объектов атомной</w:t>
      </w:r>
      <w:r>
        <w:rPr>
          <w:sz w:val="24"/>
        </w:rPr>
        <w:t xml:space="preserve"> энергетики в составе организаций Холдинга «ТИТАН-2» и, по имеющейся у нас информации, намерено и в дальнейшем осуществлять свою деятельность. В настоящее время идет активное развитее Общества, имеются планы по оздоровлению финансово-хозяйственной деятельн</w:t>
      </w:r>
      <w:r>
        <w:rPr>
          <w:sz w:val="24"/>
        </w:rPr>
        <w:t xml:space="preserve">ости. 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По оценке руководства ПАО «СУС», организация способна продолжать непрерывно свою деятельность как минимум в течении 12 месяцев после отчетной даты. У руководства ПАО «СУС» нет намерений в дальнейшем прекратить деятельность, сократить объемы деятельн</w:t>
      </w:r>
      <w:r>
        <w:rPr>
          <w:sz w:val="24"/>
        </w:rPr>
        <w:t>ости, отсутствуют планы ликвидации предприятия, следовательно, обязательства в будущем будут погашаться, а активы реализовываться в ходе обычной хозяйственной деятельности что в будущем должно положительно повлиять на рост чистых активов. Какие-либо событи</w:t>
      </w:r>
      <w:r>
        <w:rPr>
          <w:sz w:val="24"/>
        </w:rPr>
        <w:t>я или условий за пределами периода 12 месяцев, которые могут вызвать значительные сомнения в способности организации продолжать непрерывно свою деятельность отсутствуют.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>Однако, в связи с тем, что чистые активы в настоящее время имеют отрицательную величин</w:t>
      </w:r>
      <w:r>
        <w:rPr>
          <w:sz w:val="24"/>
        </w:rPr>
        <w:t>у, Общество в случае возникновения трудностей с выполнением обязательств перед третьими лицами или с целью увеличения чистых активов может обратиться к ключевому акционеру АО «Титан-2» за помощью. Ключевой акционер АО «Титан-2» подтвердил возможность в буд</w:t>
      </w:r>
      <w:r>
        <w:rPr>
          <w:sz w:val="24"/>
        </w:rPr>
        <w:t>ущем, в случае необходимости, предпринять действия в проведении: реструктуризации долга, сокращению или отсрочке расходов, или увеличению капитала и т.д. Таким образом, возможность ПАО «СУС» продолжать свою деятельность непрерывно зависит в дальнейшем от ж</w:t>
      </w:r>
      <w:r>
        <w:rPr>
          <w:sz w:val="24"/>
        </w:rPr>
        <w:t>елания и возможности ключевого акционера АО «Титан-2», предоставить в случае необходимости помощь в увеличении чистых активов.</w:t>
      </w:r>
    </w:p>
    <w:p w:rsidR="00642CDE" w:rsidRDefault="006D0C79">
      <w:pPr>
        <w:spacing w:after="0" w:line="240" w:lineRule="auto"/>
        <w:ind w:firstLine="709"/>
        <w:jc w:val="both"/>
        <w:rPr>
          <w:sz w:val="24"/>
        </w:rPr>
      </w:pPr>
      <w:r>
        <w:rPr>
          <w:sz w:val="24"/>
        </w:rPr>
        <w:t xml:space="preserve">Совет директоров ПАО «СУС» при подготовке к годовому общему собранию акционеров включит в состав годового отчета Общества раздел </w:t>
      </w:r>
      <w:r>
        <w:rPr>
          <w:sz w:val="24"/>
        </w:rPr>
        <w:t>о состоянии чистых активов, который помимо прочего будет включать перечень мер по приведению величины чистых активов Общества в соответствие с величиной уставного капитала.</w:t>
      </w:r>
    </w:p>
    <w:p w:rsidR="00642CDE" w:rsidRDefault="006D0C79">
      <w:pPr>
        <w:pStyle w:val="30"/>
        <w:ind w:firstLine="562"/>
        <w:rPr>
          <w:rFonts w:ascii="Times New Roman" w:hAnsi="Times New Roman"/>
          <w:color w:val="1F4E79"/>
          <w:sz w:val="28"/>
        </w:rPr>
      </w:pPr>
      <w:bookmarkStart w:id="15" w:name="__RefHeading___14"/>
      <w:bookmarkEnd w:id="15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color w:val="1F4E79"/>
          <w:sz w:val="28"/>
        </w:rPr>
        <w:t>Раздел 14. Основные положения политики общества в области вознаграждения и компенс</w:t>
      </w:r>
      <w:r>
        <w:rPr>
          <w:rFonts w:ascii="Times New Roman" w:hAnsi="Times New Roman"/>
          <w:color w:val="1F4E79"/>
          <w:sz w:val="28"/>
        </w:rPr>
        <w:t>ации расходов, а также информация по всем выплатам органам управления</w:t>
      </w:r>
    </w:p>
    <w:p w:rsidR="00642CDE" w:rsidRDefault="006D0C79">
      <w:pPr>
        <w:ind w:firstLine="562"/>
        <w:jc w:val="both"/>
        <w:rPr>
          <w:sz w:val="24"/>
        </w:rPr>
      </w:pPr>
      <w:r>
        <w:rPr>
          <w:sz w:val="24"/>
        </w:rPr>
        <w:t>На текущий момент обществом не разработано Положение о вознаграждении и компенсации расходов органам управления. Совокупный размер вознаграждений и компенсаций расходов членам органов уп</w:t>
      </w:r>
      <w:r>
        <w:rPr>
          <w:sz w:val="24"/>
        </w:rPr>
        <w:t>равления за отчетный 2024 г. составил 0 руб.</w:t>
      </w:r>
    </w:p>
    <w:p w:rsidR="00642CDE" w:rsidRDefault="006D0C79">
      <w:pPr>
        <w:spacing w:after="0" w:line="240" w:lineRule="auto"/>
        <w:ind w:firstLine="567"/>
        <w:jc w:val="both"/>
        <w:rPr>
          <w:sz w:val="24"/>
        </w:rPr>
      </w:pPr>
      <w:r>
        <w:rPr>
          <w:sz w:val="24"/>
        </w:rPr>
        <w:t xml:space="preserve">В соответствии с Положением о совете директоров, утвержденным решением внеочередного общего собрания акционеров от «14» декабря 2009 г., членам совета директоров в период исполнения ими своих обязанностей могут </w:t>
      </w:r>
      <w:r>
        <w:rPr>
          <w:sz w:val="24"/>
        </w:rPr>
        <w:t>выплачиваться вознаграждения и (или) компенсироваться расходы, связанные с исполнением ими функций членов совета директоров. Размеры вознаграждений и компенсаций устанавливаются решением общего собрания акционеров.</w:t>
      </w:r>
    </w:p>
    <w:p w:rsidR="00642CDE" w:rsidRDefault="006D0C79">
      <w:pPr>
        <w:spacing w:after="0" w:line="240" w:lineRule="auto"/>
        <w:ind w:firstLine="567"/>
        <w:jc w:val="both"/>
        <w:rPr>
          <w:sz w:val="24"/>
        </w:rPr>
      </w:pPr>
      <w:r>
        <w:rPr>
          <w:sz w:val="24"/>
        </w:rPr>
        <w:t>В отчетном году по результатам финансовог</w:t>
      </w:r>
      <w:r>
        <w:rPr>
          <w:sz w:val="24"/>
        </w:rPr>
        <w:t>о года решений по вознаграждению не принималось, вознаграждение членам совета директоров в 2024 году не выплачивалось.</w:t>
      </w:r>
    </w:p>
    <w:p w:rsidR="00642CDE" w:rsidRDefault="00642CDE">
      <w:pPr>
        <w:spacing w:after="0" w:line="240" w:lineRule="auto"/>
        <w:ind w:firstLine="562"/>
        <w:jc w:val="both"/>
        <w:rPr>
          <w:sz w:val="24"/>
        </w:rPr>
      </w:pPr>
    </w:p>
    <w:p w:rsidR="00642CDE" w:rsidRDefault="006D0C79">
      <w:pPr>
        <w:pStyle w:val="30"/>
        <w:ind w:firstLine="562"/>
        <w:rPr>
          <w:rFonts w:ascii="Times New Roman" w:hAnsi="Times New Roman"/>
          <w:color w:val="2F5496"/>
        </w:rPr>
      </w:pPr>
      <w:bookmarkStart w:id="16" w:name="__RefHeading___15"/>
      <w:bookmarkEnd w:id="16"/>
      <w:r>
        <w:rPr>
          <w:rFonts w:ascii="Times New Roman" w:hAnsi="Times New Roman"/>
          <w:color w:val="1F4E79"/>
          <w:sz w:val="28"/>
        </w:rPr>
        <w:t xml:space="preserve">Раздел 15. </w:t>
      </w:r>
      <w:r>
        <w:rPr>
          <w:rFonts w:ascii="Times New Roman" w:hAnsi="Times New Roman"/>
          <w:color w:val="2F5496"/>
        </w:rPr>
        <w:t>Сведения о соблюдении Кодекса корпоративного управления</w:t>
      </w:r>
    </w:p>
    <w:p w:rsidR="00642CDE" w:rsidRDefault="006D0C79">
      <w:pPr>
        <w:spacing w:after="0" w:line="252" w:lineRule="auto"/>
        <w:ind w:firstLine="567"/>
        <w:jc w:val="both"/>
        <w:rPr>
          <w:sz w:val="24"/>
        </w:rPr>
      </w:pPr>
      <w:r>
        <w:rPr>
          <w:sz w:val="24"/>
        </w:rPr>
        <w:t xml:space="preserve">В своей деятельности общество руководствуется действующим </w:t>
      </w:r>
      <w:r>
        <w:rPr>
          <w:sz w:val="24"/>
        </w:rPr>
        <w:t>законодательством и принимает решения в области корпоративных отношений на основе уважения прав и законных интересов акционеров.</w:t>
      </w:r>
    </w:p>
    <w:p w:rsidR="00642CDE" w:rsidRDefault="006D0C79">
      <w:pPr>
        <w:spacing w:after="0" w:line="252" w:lineRule="auto"/>
        <w:ind w:firstLine="567"/>
        <w:jc w:val="both"/>
        <w:rPr>
          <w:sz w:val="24"/>
        </w:rPr>
      </w:pPr>
      <w:r>
        <w:rPr>
          <w:sz w:val="24"/>
        </w:rPr>
        <w:t>Общество не утверждало внутренние положения Кодекса корпоративного управления как обязательные, вместе с тем стремится следоват</w:t>
      </w:r>
      <w:r>
        <w:rPr>
          <w:sz w:val="24"/>
        </w:rPr>
        <w:t>ь принципам и рекомендациям, заложенным в Кодексе корпоративного поведения, рекомендованным к применению Распоряжением ФКЦБ от 04.04.2002 года № 421/р «О рекомендации к применению Кодекса корпоративного поведения».</w:t>
      </w:r>
    </w:p>
    <w:p w:rsidR="00642CDE" w:rsidRDefault="006D0C79">
      <w:pPr>
        <w:spacing w:after="0" w:line="252" w:lineRule="auto"/>
        <w:ind w:firstLine="567"/>
        <w:jc w:val="both"/>
        <w:rPr>
          <w:color w:val="FF5259"/>
          <w:sz w:val="24"/>
        </w:rPr>
      </w:pPr>
      <w:r>
        <w:rPr>
          <w:sz w:val="24"/>
        </w:rPr>
        <w:t>Органы управления осуществляют свои функц</w:t>
      </w:r>
      <w:r>
        <w:rPr>
          <w:sz w:val="24"/>
        </w:rPr>
        <w:t xml:space="preserve">ии в основном следуя принципам, рекомендованным в Кодексе корпоративного поведения, основным из которых является строгая защита прав акционеров. </w:t>
      </w:r>
    </w:p>
    <w:p w:rsidR="00642CDE" w:rsidRDefault="006D0C79">
      <w:pPr>
        <w:spacing w:after="0" w:line="252" w:lineRule="auto"/>
        <w:ind w:firstLine="567"/>
        <w:jc w:val="both"/>
        <w:rPr>
          <w:sz w:val="24"/>
        </w:rPr>
      </w:pPr>
      <w:r>
        <w:rPr>
          <w:sz w:val="24"/>
        </w:rPr>
        <w:t>Акционеры имеют право участвовать в управлении Обществом путем принятия решений по наиболее важным вопросам де</w:t>
      </w:r>
      <w:r>
        <w:rPr>
          <w:sz w:val="24"/>
        </w:rPr>
        <w:t>ятельности Общества на общем собрании акционеров.</w:t>
      </w:r>
    </w:p>
    <w:p w:rsidR="00642CDE" w:rsidRDefault="006D0C79">
      <w:pPr>
        <w:spacing w:after="0" w:line="252" w:lineRule="auto"/>
        <w:jc w:val="both"/>
        <w:rPr>
          <w:sz w:val="24"/>
        </w:rPr>
      </w:pPr>
      <w:r>
        <w:rPr>
          <w:sz w:val="24"/>
        </w:rPr>
        <w:t>Акционерам предоставлено право на регулярное и своевременное получение информации о деятельности Общества. Устав Общества определяет место публикации информации, затрагивающей права акционеров, в газете «Са</w:t>
      </w:r>
      <w:r>
        <w:rPr>
          <w:sz w:val="24"/>
        </w:rPr>
        <w:t>нкт-Петербургские ведомости». В соответствии с требованиями Законодательства РФ России, Обществом ежегодно раскрываются отчеты эмитента.</w:t>
      </w:r>
    </w:p>
    <w:p w:rsidR="00642CDE" w:rsidRDefault="006D0C79">
      <w:pPr>
        <w:spacing w:after="0" w:line="252" w:lineRule="auto"/>
        <w:ind w:firstLine="567"/>
        <w:jc w:val="both"/>
        <w:rPr>
          <w:sz w:val="24"/>
        </w:rPr>
      </w:pPr>
      <w:r>
        <w:rPr>
          <w:sz w:val="24"/>
        </w:rPr>
        <w:t>Основная информация об Обществе оперативно размещается на странице Общества в сети Интернет по адресу:</w:t>
      </w:r>
      <w:r>
        <w:rPr>
          <w:color w:val="FF5259"/>
          <w:sz w:val="24"/>
        </w:rPr>
        <w:t xml:space="preserve"> </w:t>
      </w:r>
      <w:hyperlink r:id="rId17" w:history="1">
        <w:r>
          <w:rPr>
            <w:rStyle w:val="29"/>
            <w:sz w:val="24"/>
          </w:rPr>
          <w:t>office_sus@titan2.ru</w:t>
        </w:r>
      </w:hyperlink>
      <w:r>
        <w:rPr>
          <w:sz w:val="24"/>
        </w:rPr>
        <w:t>.</w:t>
      </w:r>
    </w:p>
    <w:p w:rsidR="00642CDE" w:rsidRDefault="006D0C79">
      <w:pPr>
        <w:spacing w:after="0" w:line="252" w:lineRule="auto"/>
        <w:ind w:firstLine="567"/>
        <w:jc w:val="both"/>
      </w:pPr>
      <w:r>
        <w:rPr>
          <w:sz w:val="24"/>
        </w:rPr>
        <w:t>В соответствии с Приказом ФСФР России № 05-5/пз-н «Об утверждении Положения о раскрытии информации эмитентами эмиссионных ценных бумаг», до всех заинтересованных лиц регулярно доводится информация в форме соо</w:t>
      </w:r>
      <w:r>
        <w:rPr>
          <w:sz w:val="24"/>
        </w:rPr>
        <w:t xml:space="preserve">бщений о существенных фактах путем размещения на сайте: </w:t>
      </w:r>
      <w:r>
        <w:rPr>
          <w:b/>
          <w:sz w:val="24"/>
          <w:u w:val="single"/>
        </w:rPr>
        <w:t>http://disclosure.1prime.ru/Portal/Default.aspx?emId=4714000211.</w:t>
      </w:r>
    </w:p>
    <w:p w:rsidR="00642CDE" w:rsidRDefault="00642CDE"/>
    <w:sectPr w:rsidR="00642CDE">
      <w:headerReference w:type="even" r:id="rId18"/>
      <w:headerReference w:type="default" r:id="rId19"/>
      <w:footerReference w:type="even" r:id="rId20"/>
      <w:footerReference w:type="default" r:id="rId21"/>
      <w:pgSz w:w="11907" w:h="16839"/>
      <w:pgMar w:top="1134" w:right="851" w:bottom="1134" w:left="1418" w:header="709" w:footer="56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6D0C79">
      <w:pPr>
        <w:spacing w:after="0" w:line="240" w:lineRule="auto"/>
      </w:pPr>
      <w:r>
        <w:separator/>
      </w:r>
    </w:p>
  </w:endnote>
  <w:endnote w:type="continuationSeparator" w:id="0">
    <w:p w:rsidR="00000000" w:rsidRDefault="006D0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XO Thames">
    <w:panose1 w:val="00000000000000000000"/>
    <w:charset w:val="00"/>
    <w:family w:val="roman"/>
    <w:notTrueType/>
    <w:pitch w:val="default"/>
  </w:font>
  <w:font w:name="Wingdings 2">
    <w:panose1 w:val="05020102010507070707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CDE" w:rsidRDefault="00642CDE">
    <w:pPr>
      <w:jc w:val="right"/>
    </w:pPr>
  </w:p>
  <w:p w:rsidR="00642CDE" w:rsidRDefault="006D0C79">
    <w:pPr>
      <w:jc w:val="right"/>
    </w:pPr>
    <w:r>
      <w:fldChar w:fldCharType="begin"/>
    </w:r>
    <w:r>
      <w:instrText xml:space="preserve">PAGE </w:instrText>
    </w:r>
    <w:r>
      <w:fldChar w:fldCharType="separate"/>
    </w:r>
    <w:r>
      <w:t xml:space="preserve"> </w:t>
    </w:r>
    <w:r>
      <w:fldChar w:fldCharType="end"/>
    </w:r>
    <w:r>
      <w:t xml:space="preserve"> </w:t>
    </w:r>
    <w:r>
      <w:rPr>
        <w:rFonts w:ascii="Wingdings 2" w:hAnsi="Wingdings 2"/>
        <w:color w:val="A04DA3"/>
      </w:rPr>
      <w:t></w:t>
    </w:r>
    <w:r>
      <w:t xml:space="preserve"> </w:t>
    </w:r>
  </w:p>
  <w:p w:rsidR="00642CDE" w:rsidRDefault="006D0C79">
    <w:pPr>
      <w:jc w:val="right"/>
    </w:pPr>
    <w:r>
      <w:rPr>
        <w:noProof/>
      </w:rPr>
      <mc:AlternateContent>
        <mc:Choice Requires="wpg">
          <w:drawing>
            <wp:inline distT="0" distB="0" distL="0" distR="0">
              <wp:extent cx="2327910" cy="45085"/>
              <wp:effectExtent l="0" t="0" r="0" b="0"/>
              <wp:docPr id="3" name="Picture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27910" cy="45085"/>
                        <a:chOff x="0" y="0"/>
                        <a:chExt cx="2327910" cy="45085"/>
                      </a:xfrm>
                    </wpg:grpSpPr>
                    <wps:wsp>
                      <wps:cNvPr id="4" name="Полилиния 4"/>
                      <wps:cNvSpPr/>
                      <wps:spPr>
                        <a:xfrm rot="10800000">
                          <a:off x="598170" y="0"/>
                          <a:ext cx="1729103" cy="0"/>
                        </a:xfrm>
                        <a:custGeom>
                          <a:avLst/>
                          <a:gdLst>
                            <a:gd name="COTextRectL" fmla="val 0"/>
                            <a:gd name="COTextRectT" fmla="val 0"/>
                            <a:gd name="COTextRectR" fmla="val 1"/>
                            <a:gd name="COTextRectB" fmla="val 1"/>
                            <a:gd name="ODFLeft" fmla="val 0"/>
                            <a:gd name="ODFTop" fmla="val 0"/>
                            <a:gd name="ODFRight" fmla="val 21600"/>
                            <a:gd name="ODFBottom" fmla="val 21600"/>
                            <a:gd name="ODFWidth" fmla="val 21600"/>
                            <a:gd name="ODFHeight" fmla="val 21600"/>
                            <a:gd name="OXMLTextRectL" fmla="*/ COTextRectL w 1"/>
                            <a:gd name="OXMLTextRectT" fmla="*/ COTextRectT h 1"/>
                            <a:gd name="OXMLTextRectR" fmla="*/ COTextRectR w 1"/>
                            <a:gd name="OXMLTextRectB" fmla="*/ COTextRectB h 1"/>
                          </a:gdLst>
                          <a:ahLst/>
                          <a:cxnLst/>
                          <a:rect l="OXMLTextRectL" t="OXMLTextRectT" r="OXMLTextRectR" b="OXMLTextRect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438086"/>
                          </a:solidFill>
                          <a:prstDash val="solid"/>
                        </a:ln>
                      </wps:spPr>
                      <wps:bodyPr lIns="91440" tIns="45720" rIns="91440" bIns="45720" anchor="t">
                        <a:noAutofit/>
                      </wps:bodyPr>
                    </wps:wsp>
                    <wps:wsp>
                      <wps:cNvPr id="5" name="Полилиния 5"/>
                      <wps:cNvSpPr/>
                      <wps:spPr>
                        <a:xfrm rot="10800000">
                          <a:off x="0" y="45085"/>
                          <a:ext cx="2327910" cy="0"/>
                        </a:xfrm>
                        <a:custGeom>
                          <a:avLst/>
                          <a:gdLst>
                            <a:gd name="COTextRectL" fmla="val 0"/>
                            <a:gd name="COTextRectT" fmla="val 0"/>
                            <a:gd name="COTextRectR" fmla="val 1"/>
                            <a:gd name="COTextRectB" fmla="val 1"/>
                            <a:gd name="ODFLeft" fmla="val 0"/>
                            <a:gd name="ODFTop" fmla="val 0"/>
                            <a:gd name="ODFRight" fmla="val 21600"/>
                            <a:gd name="ODFBottom" fmla="val 21600"/>
                            <a:gd name="ODFWidth" fmla="val 21600"/>
                            <a:gd name="ODFHeight" fmla="val 21600"/>
                            <a:gd name="OXMLTextRectL" fmla="*/ COTextRectL w 1"/>
                            <a:gd name="OXMLTextRectT" fmla="*/ COTextRectT h 1"/>
                            <a:gd name="OXMLTextRectR" fmla="*/ COTextRectR w 1"/>
                            <a:gd name="OXMLTextRectB" fmla="*/ COTextRectB h 1"/>
                          </a:gdLst>
                          <a:ahLst/>
                          <a:cxnLst/>
                          <a:rect l="OXMLTextRectL" t="OXMLTextRectT" r="OXMLTextRectR" b="OXMLTextRect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3175">
                          <a:solidFill>
                            <a:srgbClr val="438086"/>
                          </a:solidFill>
                          <a:prstDash val="solid"/>
                        </a:ln>
                      </wps:spPr>
                      <wps:bodyPr lIns="91440" tIns="45720" rIns="91440" bIns="45720" anchor="t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 xmlns:xm="http://schemas.microsoft.com/office/excel/2006/main" xmlns:xdr="http://schemas.openxmlformats.org/drawingml/2006/spreadsheetDrawing" xmlns:x14="http://schemas.microsoft.com/office/spreadsheetml/2009/9/main" xmlns:x12ac="http://schemas.microsoft.com/office/spreadsheetml/2011/1/ac" xmlns:x="urn:schemas-microsoft-com:office:excel" xmlns:sl="http://schemas.openxmlformats.org/schemaLibrary/2006/main" xmlns:s="http://schemas.openxmlformats.org/officeDocument/2006/sharedTypes" xmlns:pic="http://schemas.openxmlformats.org/drawingml/2006/picture" xmlns:p="http://schemas.openxmlformats.org/presentationml/2006/main" xmlns:co-ooxml="http://ncloudtech.com/ooxml" xmlns:co="http://ncloudtech.com" xmlns:c="http://schemas.openxmlformats.org/drawingml/2006/chart" xmlns:asvg="http://schemas.microsoft.com/office/drawing/2016/SVG/main" xmlns:a15="http://schemas.microsoft.com/office/drawing/2012/main" xmlns:a="http://schemas.openxmlformats.org/drawingml/2006/main"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</w:p>
  <w:p w:rsidR="00642CDE" w:rsidRDefault="00642CDE">
    <w:pPr>
      <w:pStyle w:val="affb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CDE" w:rsidRDefault="00642CDE">
    <w:pPr>
      <w:pStyle w:val="aff2"/>
      <w:jc w:val="right"/>
    </w:pPr>
  </w:p>
  <w:p w:rsidR="00642CDE" w:rsidRDefault="00642CDE">
    <w:pPr>
      <w:pStyle w:val="aff2"/>
      <w:spacing w:before="360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6D0C79">
      <w:pPr>
        <w:spacing w:after="0" w:line="240" w:lineRule="auto"/>
      </w:pPr>
      <w:r>
        <w:separator/>
      </w:r>
    </w:p>
  </w:footnote>
  <w:footnote w:type="continuationSeparator" w:id="0">
    <w:p w:rsidR="00000000" w:rsidRDefault="006D0C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CDE" w:rsidRDefault="006D0C79">
    <w:pPr>
      <w:pStyle w:val="af6"/>
    </w:pPr>
    <w:r>
      <w:t>Годовой отчет ОАО «ВА» за 2010 год</w:t>
    </w:r>
  </w:p>
  <w:p w:rsidR="00642CDE" w:rsidRDefault="00642CDE">
    <w:pPr>
      <w:pStyle w:val="af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2CDE" w:rsidRDefault="006D0C79">
    <w:pPr>
      <w:pStyle w:val="af6"/>
      <w:spacing w:after="0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page">
                <wp:posOffset>1080135</wp:posOffset>
              </wp:positionH>
              <wp:positionV relativeFrom="page">
                <wp:posOffset>387985</wp:posOffset>
              </wp:positionV>
              <wp:extent cx="6120130" cy="123190"/>
              <wp:effectExtent l="0" t="0" r="0" b="0"/>
              <wp:wrapNone/>
              <wp:docPr id="1" name="Pictur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120130" cy="123190"/>
                      </a:xfrm>
                      <a:custGeom>
                        <a:avLst/>
                        <a:gdLst>
                          <a:gd name="COTextRectL" fmla="val 0"/>
                          <a:gd name="COTextRectT" fmla="val 0"/>
                          <a:gd name="COTextRectR" fmla="val 1"/>
                          <a:gd name="COTextRectB" fmla="val 1"/>
                          <a:gd name="ODFLeft" fmla="val 0"/>
                          <a:gd name="ODFTop" fmla="val 0"/>
                          <a:gd name="ODFRight" fmla="val 21600"/>
                          <a:gd name="ODFBottom" fmla="val 21600"/>
                          <a:gd name="ODFWidth" fmla="val 21600"/>
                          <a:gd name="ODFHeight" fmla="val 21600"/>
                          <a:gd name="OXMLTextRectL" fmla="*/ COTextRectL w 1"/>
                          <a:gd name="OXMLTextRectT" fmla="*/ COTextRectT h 1"/>
                          <a:gd name="OXMLTextRectR" fmla="*/ COTextRectR w 1"/>
                          <a:gd name="OXMLTextRectB" fmla="*/ COTextRectB h 1"/>
                        </a:gdLst>
                        <a:ahLst/>
                        <a:cxnLst/>
                        <a:rect l="OXMLTextRectL" t="OXMLTextRectT" r="OXMLTextRectR" b="OXMLTextRect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0" y="21600"/>
                            </a:lnTo>
                            <a:lnTo>
                              <a:pt x="21600" y="21600"/>
                            </a:lnTo>
                            <a:lnTo>
                              <a:pt x="21600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:rsidR="00642CDE" w:rsidRDefault="00642CDE">
                          <w:pPr>
                            <w:spacing w:after="0" w:line="240" w:lineRule="auto"/>
                            <w:jc w:val="right"/>
                            <w:rPr>
                              <w:rFonts w:ascii="Verdana" w:hAnsi="Verdana"/>
                              <w:b/>
                              <w:color w:val="FFFFFF"/>
                              <w:sz w:val="16"/>
                            </w:rPr>
                          </w:pPr>
                        </w:p>
                      </w:txbxContent>
                    </wps:txbx>
                    <wps:bodyPr lIns="91440" tIns="0" rIns="91440" bIns="0" anchor="ctr">
                      <a:spAutoFit/>
                    </wps:bodyPr>
                  </wps:wsp>
                </a:graphicData>
              </a:graphic>
            </wp:anchor>
          </w:drawing>
        </mc:Choice>
        <mc:Fallback xmlns:xm="http://schemas.microsoft.com/office/excel/2006/main" xmlns:xdr="http://schemas.openxmlformats.org/drawingml/2006/spreadsheetDrawing" xmlns:x14="http://schemas.microsoft.com/office/spreadsheetml/2009/9/main" xmlns:x12ac="http://schemas.microsoft.com/office/spreadsheetml/2011/1/ac" xmlns:x="urn:schemas-microsoft-com:office:excel" xmlns:sl="http://schemas.openxmlformats.org/schemaLibrary/2006/main" xmlns:s="http://schemas.openxmlformats.org/officeDocument/2006/sharedTypes" xmlns:pic="http://schemas.openxmlformats.org/drawingml/2006/picture" xmlns:p="http://schemas.openxmlformats.org/presentationml/2006/main" xmlns:co-ooxml="http://ncloudtech.com/ooxml" xmlns:co="http://ncloudtech.com" xmlns:c="http://schemas.openxmlformats.org/drawingml/2006/chart" xmlns:asvg="http://schemas.microsoft.com/office/drawing/2016/SVG/main" xmlns:a15="http://schemas.microsoft.com/office/drawing/2012/main" xmlns:a="http://schemas.openxmlformats.org/drawingml/2006/main">
          <w:pic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/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7020560</wp:posOffset>
              </wp:positionH>
              <wp:positionV relativeFrom="page">
                <wp:posOffset>376555</wp:posOffset>
              </wp:positionV>
              <wp:extent cx="540385" cy="146050"/>
              <wp:effectExtent l="0" t="0" r="0" b="0"/>
              <wp:wrapNone/>
              <wp:docPr id="2" name="Pictur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0385" cy="146050"/>
                      </a:xfrm>
                      <a:custGeom>
                        <a:avLst/>
                        <a:gdLst>
                          <a:gd name="COTextRectL" fmla="val 0"/>
                          <a:gd name="COTextRectT" fmla="val 0"/>
                          <a:gd name="COTextRectR" fmla="val 1"/>
                          <a:gd name="COTextRectB" fmla="val 1"/>
                          <a:gd name="ODFLeft" fmla="val 0"/>
                          <a:gd name="ODFTop" fmla="val 0"/>
                          <a:gd name="ODFRight" fmla="val 21600"/>
                          <a:gd name="ODFBottom" fmla="val 21600"/>
                          <a:gd name="ODFWidth" fmla="val 21600"/>
                          <a:gd name="ODFHeight" fmla="val 21600"/>
                          <a:gd name="OXMLTextRectL" fmla="*/ COTextRectL w 1"/>
                          <a:gd name="OXMLTextRectT" fmla="*/ COTextRectT h 1"/>
                          <a:gd name="OXMLTextRectR" fmla="*/ COTextRectR w 1"/>
                          <a:gd name="OXMLTextRectB" fmla="*/ COTextRectB h 1"/>
                        </a:gdLst>
                        <a:ahLst/>
                        <a:cxnLst/>
                        <a:rect l="OXMLTextRectL" t="OXMLTextRectT" r="OXMLTextRectR" b="OXMLTextRect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0" y="21600"/>
                            </a:lnTo>
                            <a:lnTo>
                              <a:pt x="21600" y="21600"/>
                            </a:lnTo>
                            <a:lnTo>
                              <a:pt x="21600" y="0"/>
                            </a:lnTo>
                            <a:close/>
                          </a:path>
                        </a:pathLst>
                      </a:custGeom>
                      <a:solidFill>
                        <a:srgbClr val="53548A"/>
                      </a:solidFill>
                      <a:ln>
                        <a:noFill/>
                      </a:ln>
                    </wps:spPr>
                    <wps:txbx>
                      <w:txbxContent>
                        <w:p w:rsidR="00642CDE" w:rsidRDefault="006D0C79">
                          <w:pPr>
                            <w:spacing w:after="0" w:line="240" w:lineRule="auto"/>
                            <w:rPr>
                              <w:color w:val="FFFFFF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91440" tIns="0" rIns="91440" bIns="0" anchor="ctr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Picture 2" o:spid="_x0000_s1027" style="position:absolute;left:0;text-align:left;margin-left:552.8pt;margin-top:29.65pt;width:42.55pt;height:11.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" adj="-11796480,,5400" path="m,l,21600r21600,l21600,,,xe" fillcolor="#53548a" stroked="f">
              <v:stroke joinstyle="miter"/>
              <v:formulas/>
              <v:path arrowok="t" o:connecttype="custom" textboxrect="0,0,21600,21600"/>
              <v:textbox style="mso-fit-shape-to-text:t" inset=",0,,0">
                <w:txbxContent>
                  <w:p w:rsidR="00642CDE" w:rsidRDefault="006D0C79">
                    <w:pPr>
                      <w:spacing w:after="0" w:line="240" w:lineRule="auto"/>
                      <w:rPr>
                        <w:color w:val="FFFFFF"/>
                      </w:rPr>
                    </w:pPr>
                    <w:r>
                      <w:fldChar w:fldCharType="begin"/>
                    </w:r>
                    <w:r>
                      <w:instrText xml:space="preserve">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0677C"/>
    <w:multiLevelType w:val="multilevel"/>
    <w:tmpl w:val="8FA8BAC2"/>
    <w:lvl w:ilvl="0">
      <w:start w:val="1"/>
      <w:numFmt w:val="bullet"/>
      <w:lvlText w:val=""/>
      <w:lvlJc w:val="left"/>
      <w:pPr>
        <w:widowControl/>
        <w:ind w:left="2131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2851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3571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4291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5011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5731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6451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7171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7891" w:hanging="360"/>
      </w:pPr>
      <w:rPr>
        <w:rFonts w:ascii="Wingdings" w:hAnsi="Wingdings"/>
      </w:rPr>
    </w:lvl>
  </w:abstractNum>
  <w:abstractNum w:abstractNumId="1" w15:restartNumberingAfterBreak="0">
    <w:nsid w:val="0DC91925"/>
    <w:multiLevelType w:val="multilevel"/>
    <w:tmpl w:val="90103A58"/>
    <w:lvl w:ilvl="0">
      <w:start w:val="1"/>
      <w:numFmt w:val="bullet"/>
      <w:lvlText w:val=""/>
      <w:lvlJc w:val="left"/>
      <w:pPr>
        <w:widowControl/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6480" w:hanging="360"/>
      </w:pPr>
      <w:rPr>
        <w:rFonts w:ascii="Wingdings" w:hAnsi="Wingdings"/>
      </w:rPr>
    </w:lvl>
  </w:abstractNum>
  <w:abstractNum w:abstractNumId="2" w15:restartNumberingAfterBreak="0">
    <w:nsid w:val="0DF7642B"/>
    <w:multiLevelType w:val="multilevel"/>
    <w:tmpl w:val="460836A8"/>
    <w:lvl w:ilvl="0">
      <w:start w:val="1"/>
      <w:numFmt w:val="decimal"/>
      <w:lvlText w:val="%1."/>
      <w:lvlJc w:val="left"/>
      <w:pPr>
        <w:widowControl/>
        <w:ind w:left="720" w:hanging="360"/>
      </w:pPr>
    </w:lvl>
    <w:lvl w:ilvl="1">
      <w:start w:val="1"/>
      <w:numFmt w:val="lowerLetter"/>
      <w:lvlText w:val="%2."/>
      <w:lvlJc w:val="left"/>
      <w:pPr>
        <w:widowControl/>
        <w:ind w:left="1440" w:hanging="360"/>
      </w:pPr>
    </w:lvl>
    <w:lvl w:ilvl="2">
      <w:start w:val="1"/>
      <w:numFmt w:val="lowerRoman"/>
      <w:lvlText w:val="%3."/>
      <w:lvlJc w:val="right"/>
      <w:pPr>
        <w:widowControl/>
        <w:ind w:left="2160" w:hanging="360"/>
      </w:pPr>
    </w:lvl>
    <w:lvl w:ilvl="3">
      <w:start w:val="1"/>
      <w:numFmt w:val="decimal"/>
      <w:lvlText w:val="%4."/>
      <w:lvlJc w:val="left"/>
      <w:pPr>
        <w:widowControl/>
        <w:ind w:left="2880" w:hanging="360"/>
      </w:pPr>
    </w:lvl>
    <w:lvl w:ilvl="4">
      <w:start w:val="1"/>
      <w:numFmt w:val="lowerLetter"/>
      <w:lvlText w:val="%5."/>
      <w:lvlJc w:val="left"/>
      <w:pPr>
        <w:widowControl/>
        <w:ind w:left="3600" w:hanging="360"/>
      </w:pPr>
    </w:lvl>
    <w:lvl w:ilvl="5">
      <w:start w:val="1"/>
      <w:numFmt w:val="lowerRoman"/>
      <w:lvlText w:val="%6."/>
      <w:lvlJc w:val="right"/>
      <w:pPr>
        <w:widowControl/>
        <w:ind w:left="4320" w:hanging="360"/>
      </w:pPr>
    </w:lvl>
    <w:lvl w:ilvl="6">
      <w:start w:val="1"/>
      <w:numFmt w:val="decimal"/>
      <w:lvlText w:val="%7."/>
      <w:lvlJc w:val="left"/>
      <w:pPr>
        <w:widowControl/>
        <w:ind w:left="5040" w:hanging="360"/>
      </w:pPr>
    </w:lvl>
    <w:lvl w:ilvl="7">
      <w:start w:val="1"/>
      <w:numFmt w:val="lowerLetter"/>
      <w:lvlText w:val="%8."/>
      <w:lvlJc w:val="left"/>
      <w:pPr>
        <w:widowControl/>
        <w:ind w:left="5760" w:hanging="360"/>
      </w:pPr>
    </w:lvl>
    <w:lvl w:ilvl="8">
      <w:start w:val="1"/>
      <w:numFmt w:val="lowerRoman"/>
      <w:lvlText w:val="%9."/>
      <w:lvlJc w:val="right"/>
      <w:pPr>
        <w:widowControl/>
        <w:ind w:left="6480" w:hanging="360"/>
      </w:pPr>
    </w:lvl>
  </w:abstractNum>
  <w:abstractNum w:abstractNumId="3" w15:restartNumberingAfterBreak="0">
    <w:nsid w:val="104C7876"/>
    <w:multiLevelType w:val="multilevel"/>
    <w:tmpl w:val="4A2C0D4C"/>
    <w:lvl w:ilvl="0">
      <w:start w:val="1"/>
      <w:numFmt w:val="bullet"/>
      <w:lvlText w:val=""/>
      <w:lvlJc w:val="left"/>
      <w:pPr>
        <w:widowControl/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2149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4309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6469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7189" w:hanging="360"/>
      </w:pPr>
      <w:rPr>
        <w:rFonts w:ascii="Wingdings" w:hAnsi="Wingdings"/>
      </w:rPr>
    </w:lvl>
  </w:abstractNum>
  <w:abstractNum w:abstractNumId="4" w15:restartNumberingAfterBreak="0">
    <w:nsid w:val="141174C5"/>
    <w:multiLevelType w:val="multilevel"/>
    <w:tmpl w:val="E0443D98"/>
    <w:lvl w:ilvl="0">
      <w:start w:val="1"/>
      <w:numFmt w:val="bullet"/>
      <w:lvlText w:val=""/>
      <w:lvlJc w:val="left"/>
      <w:pPr>
        <w:widowControl/>
        <w:ind w:left="144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432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648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7200" w:hanging="360"/>
      </w:pPr>
      <w:rPr>
        <w:rFonts w:ascii="Wingdings" w:hAnsi="Wingdings"/>
      </w:rPr>
    </w:lvl>
  </w:abstractNum>
  <w:abstractNum w:abstractNumId="5" w15:restartNumberingAfterBreak="0">
    <w:nsid w:val="14F65C6E"/>
    <w:multiLevelType w:val="multilevel"/>
    <w:tmpl w:val="493AAB08"/>
    <w:lvl w:ilvl="0">
      <w:start w:val="1"/>
      <w:numFmt w:val="decimal"/>
      <w:lvlText w:val="%1)"/>
      <w:lvlJc w:val="left"/>
      <w:pPr>
        <w:widowControl/>
        <w:ind w:left="1429" w:hanging="360"/>
      </w:pPr>
    </w:lvl>
    <w:lvl w:ilvl="1">
      <w:start w:val="1"/>
      <w:numFmt w:val="lowerLetter"/>
      <w:lvlText w:val="%2."/>
      <w:lvlJc w:val="left"/>
      <w:pPr>
        <w:widowControl/>
        <w:ind w:left="2149" w:hanging="360"/>
      </w:pPr>
    </w:lvl>
    <w:lvl w:ilvl="2">
      <w:start w:val="1"/>
      <w:numFmt w:val="lowerRoman"/>
      <w:lvlText w:val="%3."/>
      <w:lvlJc w:val="right"/>
      <w:pPr>
        <w:widowControl/>
        <w:ind w:left="2869" w:hanging="180"/>
      </w:pPr>
    </w:lvl>
    <w:lvl w:ilvl="3">
      <w:start w:val="1"/>
      <w:numFmt w:val="decimal"/>
      <w:lvlText w:val="%4."/>
      <w:lvlJc w:val="left"/>
      <w:pPr>
        <w:widowControl/>
        <w:ind w:left="3589" w:hanging="360"/>
      </w:pPr>
    </w:lvl>
    <w:lvl w:ilvl="4">
      <w:start w:val="1"/>
      <w:numFmt w:val="lowerLetter"/>
      <w:lvlText w:val="%5."/>
      <w:lvlJc w:val="left"/>
      <w:pPr>
        <w:widowControl/>
        <w:ind w:left="4309" w:hanging="360"/>
      </w:pPr>
    </w:lvl>
    <w:lvl w:ilvl="5">
      <w:start w:val="1"/>
      <w:numFmt w:val="lowerRoman"/>
      <w:lvlText w:val="%6."/>
      <w:lvlJc w:val="right"/>
      <w:pPr>
        <w:widowControl/>
        <w:ind w:left="5029" w:hanging="180"/>
      </w:pPr>
    </w:lvl>
    <w:lvl w:ilvl="6">
      <w:start w:val="1"/>
      <w:numFmt w:val="decimal"/>
      <w:lvlText w:val="%7."/>
      <w:lvlJc w:val="left"/>
      <w:pPr>
        <w:widowControl/>
        <w:ind w:left="5749" w:hanging="360"/>
      </w:pPr>
    </w:lvl>
    <w:lvl w:ilvl="7">
      <w:start w:val="1"/>
      <w:numFmt w:val="lowerLetter"/>
      <w:lvlText w:val="%8."/>
      <w:lvlJc w:val="left"/>
      <w:pPr>
        <w:widowControl/>
        <w:ind w:left="6469" w:hanging="360"/>
      </w:pPr>
    </w:lvl>
    <w:lvl w:ilvl="8">
      <w:start w:val="1"/>
      <w:numFmt w:val="lowerRoman"/>
      <w:lvlText w:val="%9."/>
      <w:lvlJc w:val="right"/>
      <w:pPr>
        <w:widowControl/>
        <w:ind w:left="7189" w:hanging="180"/>
      </w:pPr>
    </w:lvl>
  </w:abstractNum>
  <w:abstractNum w:abstractNumId="6" w15:restartNumberingAfterBreak="0">
    <w:nsid w:val="21CA00C5"/>
    <w:multiLevelType w:val="multilevel"/>
    <w:tmpl w:val="87B23B8E"/>
    <w:lvl w:ilvl="0">
      <w:start w:val="1"/>
      <w:numFmt w:val="bullet"/>
      <w:lvlText w:val=""/>
      <w:lvlJc w:val="left"/>
      <w:pPr>
        <w:widowControl/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2149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4309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6469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7189" w:hanging="360"/>
      </w:pPr>
      <w:rPr>
        <w:rFonts w:ascii="Wingdings" w:hAnsi="Wingdings"/>
      </w:rPr>
    </w:lvl>
  </w:abstractNum>
  <w:abstractNum w:abstractNumId="7" w15:restartNumberingAfterBreak="0">
    <w:nsid w:val="25822EBD"/>
    <w:multiLevelType w:val="multilevel"/>
    <w:tmpl w:val="AE0472E4"/>
    <w:lvl w:ilvl="0">
      <w:start w:val="1"/>
      <w:numFmt w:val="bullet"/>
      <w:lvlText w:val=""/>
      <w:lvlJc w:val="left"/>
      <w:pPr>
        <w:widowControl/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6480" w:hanging="360"/>
      </w:pPr>
      <w:rPr>
        <w:rFonts w:ascii="Wingdings" w:hAnsi="Wingdings"/>
      </w:rPr>
    </w:lvl>
  </w:abstractNum>
  <w:abstractNum w:abstractNumId="8" w15:restartNumberingAfterBreak="0">
    <w:nsid w:val="274B2B9E"/>
    <w:multiLevelType w:val="multilevel"/>
    <w:tmpl w:val="1DC213F4"/>
    <w:lvl w:ilvl="0">
      <w:start w:val="1"/>
      <w:numFmt w:val="decimal"/>
      <w:lvlText w:val="%1)"/>
      <w:lvlJc w:val="left"/>
      <w:pPr>
        <w:widowControl/>
        <w:tabs>
          <w:tab w:val="left" w:pos="540"/>
        </w:tabs>
        <w:ind w:left="540" w:hanging="300"/>
      </w:pPr>
    </w:lvl>
    <w:lvl w:ilvl="1">
      <w:start w:val="1"/>
      <w:numFmt w:val="decimal"/>
      <w:lvlText w:val="%1)"/>
      <w:lvlJc w:val="left"/>
      <w:pPr>
        <w:widowControl/>
        <w:tabs>
          <w:tab w:val="left" w:pos="540"/>
        </w:tabs>
        <w:ind w:left="540" w:hanging="300"/>
      </w:pPr>
    </w:lvl>
    <w:lvl w:ilvl="2">
      <w:start w:val="1"/>
      <w:numFmt w:val="decimal"/>
      <w:lvlText w:val="%1)"/>
      <w:lvlJc w:val="left"/>
      <w:pPr>
        <w:widowControl/>
        <w:tabs>
          <w:tab w:val="left" w:pos="540"/>
        </w:tabs>
        <w:ind w:left="540" w:hanging="300"/>
      </w:pPr>
    </w:lvl>
    <w:lvl w:ilvl="3">
      <w:start w:val="1"/>
      <w:numFmt w:val="decimal"/>
      <w:lvlText w:val="%1)"/>
      <w:lvlJc w:val="left"/>
      <w:pPr>
        <w:widowControl/>
        <w:tabs>
          <w:tab w:val="left" w:pos="540"/>
        </w:tabs>
        <w:ind w:left="540" w:hanging="300"/>
      </w:pPr>
    </w:lvl>
    <w:lvl w:ilvl="4">
      <w:start w:val="1"/>
      <w:numFmt w:val="decimal"/>
      <w:lvlText w:val="%1)"/>
      <w:lvlJc w:val="left"/>
      <w:pPr>
        <w:widowControl/>
        <w:tabs>
          <w:tab w:val="left" w:pos="540"/>
        </w:tabs>
        <w:ind w:left="540" w:hanging="300"/>
      </w:pPr>
    </w:lvl>
    <w:lvl w:ilvl="5">
      <w:start w:val="1"/>
      <w:numFmt w:val="decimal"/>
      <w:lvlText w:val="%1)"/>
      <w:lvlJc w:val="left"/>
      <w:pPr>
        <w:widowControl/>
        <w:tabs>
          <w:tab w:val="left" w:pos="540"/>
        </w:tabs>
        <w:ind w:left="540" w:hanging="300"/>
      </w:pPr>
    </w:lvl>
    <w:lvl w:ilvl="6">
      <w:start w:val="1"/>
      <w:numFmt w:val="decimal"/>
      <w:lvlText w:val="%1)"/>
      <w:lvlJc w:val="left"/>
      <w:pPr>
        <w:widowControl/>
        <w:tabs>
          <w:tab w:val="left" w:pos="540"/>
        </w:tabs>
        <w:ind w:left="540" w:hanging="300"/>
      </w:pPr>
    </w:lvl>
    <w:lvl w:ilvl="7">
      <w:start w:val="1"/>
      <w:numFmt w:val="decimal"/>
      <w:lvlText w:val="%1)"/>
      <w:lvlJc w:val="left"/>
      <w:pPr>
        <w:widowControl/>
        <w:tabs>
          <w:tab w:val="left" w:pos="540"/>
        </w:tabs>
        <w:ind w:left="540" w:hanging="300"/>
      </w:pPr>
    </w:lvl>
    <w:lvl w:ilvl="8">
      <w:start w:val="1"/>
      <w:numFmt w:val="decimal"/>
      <w:lvlText w:val="%1)"/>
      <w:lvlJc w:val="left"/>
      <w:pPr>
        <w:widowControl/>
        <w:tabs>
          <w:tab w:val="left" w:pos="540"/>
        </w:tabs>
        <w:ind w:left="540" w:hanging="300"/>
      </w:pPr>
    </w:lvl>
  </w:abstractNum>
  <w:abstractNum w:abstractNumId="9" w15:restartNumberingAfterBreak="0">
    <w:nsid w:val="2F311909"/>
    <w:multiLevelType w:val="multilevel"/>
    <w:tmpl w:val="4B3CAAA4"/>
    <w:lvl w:ilvl="0">
      <w:start w:val="1"/>
      <w:numFmt w:val="decimal"/>
      <w:lvlText w:val="%1."/>
      <w:lvlJc w:val="left"/>
      <w:pPr>
        <w:widowControl/>
        <w:ind w:left="360" w:hanging="360"/>
      </w:pPr>
    </w:lvl>
    <w:lvl w:ilvl="1">
      <w:start w:val="1"/>
      <w:numFmt w:val="lowerLetter"/>
      <w:lvlText w:val="%2."/>
      <w:lvlJc w:val="left"/>
      <w:pPr>
        <w:widowControl/>
        <w:ind w:left="1080" w:hanging="360"/>
      </w:pPr>
    </w:lvl>
    <w:lvl w:ilvl="2">
      <w:start w:val="1"/>
      <w:numFmt w:val="lowerRoman"/>
      <w:lvlText w:val="%3."/>
      <w:lvlJc w:val="right"/>
      <w:pPr>
        <w:widowControl/>
        <w:ind w:left="1800" w:hanging="180"/>
      </w:pPr>
    </w:lvl>
    <w:lvl w:ilvl="3">
      <w:start w:val="1"/>
      <w:numFmt w:val="decimal"/>
      <w:lvlText w:val="%4."/>
      <w:lvlJc w:val="left"/>
      <w:pPr>
        <w:widowControl/>
        <w:ind w:left="2520" w:hanging="360"/>
      </w:pPr>
    </w:lvl>
    <w:lvl w:ilvl="4">
      <w:start w:val="1"/>
      <w:numFmt w:val="lowerLetter"/>
      <w:lvlText w:val="%5."/>
      <w:lvlJc w:val="left"/>
      <w:pPr>
        <w:widowControl/>
        <w:ind w:left="3240" w:hanging="360"/>
      </w:pPr>
    </w:lvl>
    <w:lvl w:ilvl="5">
      <w:start w:val="1"/>
      <w:numFmt w:val="lowerRoman"/>
      <w:lvlText w:val="%6."/>
      <w:lvlJc w:val="right"/>
      <w:pPr>
        <w:widowControl/>
        <w:ind w:left="3960" w:hanging="180"/>
      </w:pPr>
    </w:lvl>
    <w:lvl w:ilvl="6">
      <w:start w:val="1"/>
      <w:numFmt w:val="decimal"/>
      <w:lvlText w:val="%7."/>
      <w:lvlJc w:val="left"/>
      <w:pPr>
        <w:widowControl/>
        <w:ind w:left="4680" w:hanging="360"/>
      </w:pPr>
    </w:lvl>
    <w:lvl w:ilvl="7">
      <w:start w:val="1"/>
      <w:numFmt w:val="lowerLetter"/>
      <w:lvlText w:val="%8."/>
      <w:lvlJc w:val="left"/>
      <w:pPr>
        <w:widowControl/>
        <w:ind w:left="5400" w:hanging="360"/>
      </w:pPr>
    </w:lvl>
    <w:lvl w:ilvl="8">
      <w:start w:val="1"/>
      <w:numFmt w:val="lowerRoman"/>
      <w:lvlText w:val="%9."/>
      <w:lvlJc w:val="right"/>
      <w:pPr>
        <w:widowControl/>
        <w:ind w:left="6120" w:hanging="180"/>
      </w:pPr>
    </w:lvl>
  </w:abstractNum>
  <w:abstractNum w:abstractNumId="10" w15:restartNumberingAfterBreak="0">
    <w:nsid w:val="30126FC0"/>
    <w:multiLevelType w:val="multilevel"/>
    <w:tmpl w:val="F3327560"/>
    <w:lvl w:ilvl="0">
      <w:start w:val="1"/>
      <w:numFmt w:val="decimal"/>
      <w:lvlText w:val="%1."/>
      <w:lvlJc w:val="left"/>
      <w:pPr>
        <w:widowControl/>
        <w:ind w:left="720" w:hanging="360"/>
      </w:pPr>
    </w:lvl>
    <w:lvl w:ilvl="1">
      <w:numFmt w:val="bullet"/>
      <w:pStyle w:val="2"/>
      <w:lvlText w:val="•"/>
      <w:lvlJc w:val="left"/>
      <w:pPr>
        <w:widowControl/>
        <w:ind w:left="1440" w:hanging="360"/>
      </w:pPr>
      <w:rPr>
        <w:rFonts w:ascii="Times New Roman" w:hAnsi="Times New Roman"/>
      </w:rPr>
    </w:lvl>
    <w:lvl w:ilvl="2">
      <w:start w:val="1"/>
      <w:numFmt w:val="lowerRoman"/>
      <w:lvlText w:val="%3."/>
      <w:lvlJc w:val="right"/>
      <w:pPr>
        <w:widowControl/>
        <w:ind w:left="2160" w:hanging="180"/>
      </w:pPr>
    </w:lvl>
    <w:lvl w:ilvl="3">
      <w:start w:val="1"/>
      <w:numFmt w:val="decimal"/>
      <w:lvlText w:val="%4."/>
      <w:lvlJc w:val="left"/>
      <w:pPr>
        <w:widowControl/>
        <w:ind w:left="2880" w:hanging="360"/>
      </w:pPr>
    </w:lvl>
    <w:lvl w:ilvl="4">
      <w:start w:val="1"/>
      <w:numFmt w:val="lowerLetter"/>
      <w:lvlText w:val="%5."/>
      <w:lvlJc w:val="left"/>
      <w:pPr>
        <w:widowControl/>
        <w:ind w:left="3600" w:hanging="360"/>
      </w:pPr>
    </w:lvl>
    <w:lvl w:ilvl="5">
      <w:start w:val="1"/>
      <w:numFmt w:val="lowerRoman"/>
      <w:lvlText w:val="%6."/>
      <w:lvlJc w:val="right"/>
      <w:pPr>
        <w:widowControl/>
        <w:ind w:left="4320" w:hanging="180"/>
      </w:pPr>
    </w:lvl>
    <w:lvl w:ilvl="6">
      <w:start w:val="1"/>
      <w:numFmt w:val="decimal"/>
      <w:lvlText w:val="%7."/>
      <w:lvlJc w:val="left"/>
      <w:pPr>
        <w:widowControl/>
        <w:ind w:left="5040" w:hanging="360"/>
      </w:pPr>
    </w:lvl>
    <w:lvl w:ilvl="7">
      <w:start w:val="1"/>
      <w:numFmt w:val="lowerLetter"/>
      <w:lvlText w:val="%8."/>
      <w:lvlJc w:val="left"/>
      <w:pPr>
        <w:widowControl/>
        <w:ind w:left="5760" w:hanging="360"/>
      </w:pPr>
    </w:lvl>
    <w:lvl w:ilvl="8">
      <w:start w:val="1"/>
      <w:numFmt w:val="lowerRoman"/>
      <w:lvlText w:val="%9."/>
      <w:lvlJc w:val="right"/>
      <w:pPr>
        <w:widowControl/>
        <w:ind w:left="6480" w:hanging="180"/>
      </w:pPr>
    </w:lvl>
  </w:abstractNum>
  <w:abstractNum w:abstractNumId="11" w15:restartNumberingAfterBreak="0">
    <w:nsid w:val="37AE5BE2"/>
    <w:multiLevelType w:val="multilevel"/>
    <w:tmpl w:val="617AEA7C"/>
    <w:lvl w:ilvl="0">
      <w:start w:val="1"/>
      <w:numFmt w:val="bullet"/>
      <w:lvlText w:val=""/>
      <w:lvlJc w:val="left"/>
      <w:pPr>
        <w:widowControl/>
        <w:ind w:left="1429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2149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869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3589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4309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5029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749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6469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7189" w:hanging="360"/>
      </w:pPr>
      <w:rPr>
        <w:rFonts w:ascii="Wingdings" w:hAnsi="Wingdings"/>
      </w:rPr>
    </w:lvl>
  </w:abstractNum>
  <w:abstractNum w:abstractNumId="12" w15:restartNumberingAfterBreak="0">
    <w:nsid w:val="3B2D5F3F"/>
    <w:multiLevelType w:val="multilevel"/>
    <w:tmpl w:val="95A20362"/>
    <w:lvl w:ilvl="0">
      <w:start w:val="1"/>
      <w:numFmt w:val="bullet"/>
      <w:lvlText w:val=""/>
      <w:lvlJc w:val="left"/>
      <w:pPr>
        <w:widowControl/>
        <w:ind w:left="144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432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648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7200" w:hanging="360"/>
      </w:pPr>
      <w:rPr>
        <w:rFonts w:ascii="Wingdings" w:hAnsi="Wingdings"/>
      </w:rPr>
    </w:lvl>
  </w:abstractNum>
  <w:abstractNum w:abstractNumId="13" w15:restartNumberingAfterBreak="0">
    <w:nsid w:val="46B83D14"/>
    <w:multiLevelType w:val="multilevel"/>
    <w:tmpl w:val="DEACF34A"/>
    <w:lvl w:ilvl="0">
      <w:start w:val="1"/>
      <w:numFmt w:val="decimal"/>
      <w:lvlText w:val="%1)"/>
      <w:lvlJc w:val="left"/>
      <w:pPr>
        <w:widowControl/>
        <w:ind w:left="1429" w:hanging="360"/>
      </w:pPr>
    </w:lvl>
    <w:lvl w:ilvl="1">
      <w:start w:val="1"/>
      <w:numFmt w:val="lowerLetter"/>
      <w:lvlText w:val="%2."/>
      <w:lvlJc w:val="left"/>
      <w:pPr>
        <w:widowControl/>
        <w:ind w:left="2149" w:hanging="360"/>
      </w:pPr>
    </w:lvl>
    <w:lvl w:ilvl="2">
      <w:start w:val="1"/>
      <w:numFmt w:val="lowerRoman"/>
      <w:lvlText w:val="%3."/>
      <w:lvlJc w:val="right"/>
      <w:pPr>
        <w:widowControl/>
        <w:ind w:left="2869" w:hanging="180"/>
      </w:pPr>
    </w:lvl>
    <w:lvl w:ilvl="3">
      <w:start w:val="1"/>
      <w:numFmt w:val="decimal"/>
      <w:lvlText w:val="%4."/>
      <w:lvlJc w:val="left"/>
      <w:pPr>
        <w:widowControl/>
        <w:ind w:left="3589" w:hanging="360"/>
      </w:pPr>
    </w:lvl>
    <w:lvl w:ilvl="4">
      <w:start w:val="1"/>
      <w:numFmt w:val="lowerLetter"/>
      <w:lvlText w:val="%5."/>
      <w:lvlJc w:val="left"/>
      <w:pPr>
        <w:widowControl/>
        <w:ind w:left="4309" w:hanging="360"/>
      </w:pPr>
    </w:lvl>
    <w:lvl w:ilvl="5">
      <w:start w:val="1"/>
      <w:numFmt w:val="lowerRoman"/>
      <w:lvlText w:val="%6."/>
      <w:lvlJc w:val="right"/>
      <w:pPr>
        <w:widowControl/>
        <w:ind w:left="5029" w:hanging="180"/>
      </w:pPr>
    </w:lvl>
    <w:lvl w:ilvl="6">
      <w:start w:val="1"/>
      <w:numFmt w:val="decimal"/>
      <w:lvlText w:val="%7."/>
      <w:lvlJc w:val="left"/>
      <w:pPr>
        <w:widowControl/>
        <w:ind w:left="5749" w:hanging="360"/>
      </w:pPr>
    </w:lvl>
    <w:lvl w:ilvl="7">
      <w:start w:val="1"/>
      <w:numFmt w:val="lowerLetter"/>
      <w:lvlText w:val="%8."/>
      <w:lvlJc w:val="left"/>
      <w:pPr>
        <w:widowControl/>
        <w:ind w:left="6469" w:hanging="360"/>
      </w:pPr>
    </w:lvl>
    <w:lvl w:ilvl="8">
      <w:start w:val="1"/>
      <w:numFmt w:val="lowerRoman"/>
      <w:lvlText w:val="%9."/>
      <w:lvlJc w:val="right"/>
      <w:pPr>
        <w:widowControl/>
        <w:ind w:left="7189" w:hanging="180"/>
      </w:pPr>
    </w:lvl>
  </w:abstractNum>
  <w:abstractNum w:abstractNumId="14" w15:restartNumberingAfterBreak="0">
    <w:nsid w:val="614E3CAD"/>
    <w:multiLevelType w:val="multilevel"/>
    <w:tmpl w:val="E60CF35A"/>
    <w:lvl w:ilvl="0">
      <w:start w:val="1"/>
      <w:numFmt w:val="bullet"/>
      <w:lvlText w:val=""/>
      <w:lvlJc w:val="left"/>
      <w:pPr>
        <w:widowControl/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6480" w:hanging="360"/>
      </w:pPr>
      <w:rPr>
        <w:rFonts w:ascii="Wingdings" w:hAnsi="Wingdings"/>
      </w:rPr>
    </w:lvl>
  </w:abstractNum>
  <w:abstractNum w:abstractNumId="15" w15:restartNumberingAfterBreak="0">
    <w:nsid w:val="624C53D3"/>
    <w:multiLevelType w:val="multilevel"/>
    <w:tmpl w:val="37865B50"/>
    <w:lvl w:ilvl="0">
      <w:start w:val="1"/>
      <w:numFmt w:val="bullet"/>
      <w:lvlText w:val=""/>
      <w:lvlJc w:val="left"/>
      <w:pPr>
        <w:widowControl/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6480" w:hanging="360"/>
      </w:pPr>
      <w:rPr>
        <w:rFonts w:ascii="Wingdings" w:hAnsi="Wingdings"/>
      </w:rPr>
    </w:lvl>
  </w:abstractNum>
  <w:abstractNum w:abstractNumId="16" w15:restartNumberingAfterBreak="0">
    <w:nsid w:val="6CBD603F"/>
    <w:multiLevelType w:val="multilevel"/>
    <w:tmpl w:val="2CA65280"/>
    <w:lvl w:ilvl="0">
      <w:start w:val="1"/>
      <w:numFmt w:val="bullet"/>
      <w:pStyle w:val="1"/>
      <w:lvlText w:val=""/>
      <w:lvlJc w:val="left"/>
      <w:pPr>
        <w:widowControl/>
        <w:ind w:left="216" w:hanging="216"/>
      </w:pPr>
      <w:rPr>
        <w:rFonts w:ascii="Times New Roman" w:hAnsi="Times New Roman"/>
        <w:b w:val="0"/>
        <w:i w:val="0"/>
        <w:color w:val="A04DA3"/>
        <w:sz w:val="18"/>
      </w:rPr>
    </w:lvl>
    <w:lvl w:ilvl="1">
      <w:start w:val="1"/>
      <w:numFmt w:val="bullet"/>
      <w:pStyle w:val="20"/>
      <w:lvlText w:val=""/>
      <w:lvlJc w:val="left"/>
      <w:pPr>
        <w:widowControl/>
        <w:ind w:left="461" w:hanging="216"/>
      </w:pPr>
      <w:rPr>
        <w:rFonts w:ascii="Wingdings" w:hAnsi="Wingdings"/>
        <w:b w:val="0"/>
        <w:i w:val="0"/>
        <w:color w:val="438086"/>
        <w:sz w:val="12"/>
      </w:rPr>
    </w:lvl>
    <w:lvl w:ilvl="2">
      <w:start w:val="1"/>
      <w:numFmt w:val="bullet"/>
      <w:pStyle w:val="3"/>
      <w:lvlText w:val=""/>
      <w:lvlJc w:val="left"/>
      <w:pPr>
        <w:widowControl/>
        <w:ind w:left="706" w:hanging="216"/>
      </w:pPr>
      <w:rPr>
        <w:rFonts w:ascii="Symbol" w:hAnsi="Symbol"/>
        <w:b w:val="0"/>
        <w:i w:val="0"/>
        <w:color w:val="53548A"/>
        <w:sz w:val="16"/>
      </w:rPr>
    </w:lvl>
    <w:lvl w:ilvl="3">
      <w:start w:val="1"/>
      <w:numFmt w:val="bullet"/>
      <w:lvlText w:val=""/>
      <w:lvlJc w:val="left"/>
      <w:pPr>
        <w:widowControl/>
        <w:ind w:left="951" w:hanging="216"/>
      </w:pPr>
      <w:rPr>
        <w:rFonts w:ascii="Symbol" w:hAnsi="Symbol"/>
        <w:b w:val="0"/>
        <w:i w:val="0"/>
        <w:color w:val="53548A"/>
        <w:sz w:val="16"/>
      </w:rPr>
    </w:lvl>
    <w:lvl w:ilvl="4">
      <w:start w:val="1"/>
      <w:numFmt w:val="bullet"/>
      <w:lvlText w:val=""/>
      <w:lvlJc w:val="left"/>
      <w:pPr>
        <w:widowControl/>
        <w:ind w:left="1196" w:hanging="216"/>
      </w:pPr>
      <w:rPr>
        <w:rFonts w:ascii="Symbol" w:hAnsi="Symbol"/>
        <w:color w:val="53548A"/>
        <w:sz w:val="16"/>
      </w:rPr>
    </w:lvl>
    <w:lvl w:ilvl="5">
      <w:start w:val="1"/>
      <w:numFmt w:val="bullet"/>
      <w:lvlText w:val=""/>
      <w:lvlJc w:val="left"/>
      <w:pPr>
        <w:widowControl/>
        <w:ind w:left="1441" w:hanging="216"/>
      </w:pPr>
      <w:rPr>
        <w:rFonts w:ascii="Symbol" w:hAnsi="Symbol"/>
        <w:color w:val="53548A"/>
        <w:sz w:val="16"/>
      </w:rPr>
    </w:lvl>
    <w:lvl w:ilvl="6">
      <w:start w:val="1"/>
      <w:numFmt w:val="bullet"/>
      <w:lvlText w:val=""/>
      <w:lvlJc w:val="left"/>
      <w:pPr>
        <w:widowControl/>
        <w:ind w:left="1686" w:hanging="216"/>
      </w:pPr>
      <w:rPr>
        <w:rFonts w:ascii="Symbol" w:hAnsi="Symbol"/>
        <w:color w:val="53548A"/>
        <w:sz w:val="16"/>
      </w:rPr>
    </w:lvl>
    <w:lvl w:ilvl="7">
      <w:start w:val="1"/>
      <w:numFmt w:val="bullet"/>
      <w:lvlText w:val=""/>
      <w:lvlJc w:val="left"/>
      <w:pPr>
        <w:widowControl/>
        <w:ind w:left="1931" w:hanging="216"/>
      </w:pPr>
      <w:rPr>
        <w:rFonts w:ascii="Symbol" w:hAnsi="Symbol"/>
        <w:color w:val="53548A"/>
        <w:sz w:val="16"/>
      </w:rPr>
    </w:lvl>
    <w:lvl w:ilvl="8">
      <w:start w:val="1"/>
      <w:numFmt w:val="bullet"/>
      <w:lvlText w:val=""/>
      <w:lvlJc w:val="left"/>
      <w:pPr>
        <w:widowControl/>
        <w:ind w:left="2176" w:hanging="216"/>
      </w:pPr>
      <w:rPr>
        <w:rFonts w:ascii="Symbol" w:hAnsi="Symbol"/>
        <w:color w:val="53548A"/>
        <w:sz w:val="16"/>
      </w:rPr>
    </w:lvl>
  </w:abstractNum>
  <w:abstractNum w:abstractNumId="17" w15:restartNumberingAfterBreak="0">
    <w:nsid w:val="769E6DB5"/>
    <w:multiLevelType w:val="multilevel"/>
    <w:tmpl w:val="085AD0E0"/>
    <w:lvl w:ilvl="0">
      <w:start w:val="1"/>
      <w:numFmt w:val="bullet"/>
      <w:lvlText w:val=""/>
      <w:lvlJc w:val="left"/>
      <w:pPr>
        <w:widowControl/>
        <w:ind w:left="360" w:hanging="360"/>
      </w:pPr>
      <w:rPr>
        <w:rFonts w:ascii="Symbol" w:hAnsi="Symbol"/>
        <w:b/>
        <w:i/>
      </w:rPr>
    </w:lvl>
    <w:lvl w:ilvl="1">
      <w:start w:val="1"/>
      <w:numFmt w:val="decimal"/>
      <w:lvlText w:val="3.%2."/>
      <w:lvlJc w:val="left"/>
      <w:pPr>
        <w:widowControl/>
        <w:ind w:left="786" w:hanging="360"/>
      </w:pPr>
      <w:rPr>
        <w:b/>
        <w:i w:val="0"/>
      </w:rPr>
    </w:lvl>
    <w:lvl w:ilvl="2">
      <w:start w:val="1"/>
      <w:numFmt w:val="decimal"/>
      <w:lvlText w:val="%1.%2.%3."/>
      <w:lvlJc w:val="left"/>
      <w:pPr>
        <w:widowControl/>
        <w:ind w:left="1520" w:hanging="720"/>
      </w:pPr>
      <w:rPr>
        <w:b/>
        <w:i/>
      </w:rPr>
    </w:lvl>
    <w:lvl w:ilvl="3">
      <w:start w:val="1"/>
      <w:numFmt w:val="decimal"/>
      <w:lvlText w:val="%1.%2.%3.%4."/>
      <w:lvlJc w:val="left"/>
      <w:pPr>
        <w:widowControl/>
        <w:ind w:left="1920" w:hanging="720"/>
      </w:pPr>
      <w:rPr>
        <w:b/>
        <w:i/>
      </w:rPr>
    </w:lvl>
    <w:lvl w:ilvl="4">
      <w:start w:val="1"/>
      <w:numFmt w:val="decimal"/>
      <w:lvlText w:val="%1.%2.%3.%4.%5."/>
      <w:lvlJc w:val="left"/>
      <w:pPr>
        <w:widowControl/>
        <w:ind w:left="2680" w:hanging="1080"/>
      </w:pPr>
      <w:rPr>
        <w:b/>
        <w:i/>
      </w:rPr>
    </w:lvl>
    <w:lvl w:ilvl="5">
      <w:start w:val="1"/>
      <w:numFmt w:val="decimal"/>
      <w:lvlText w:val="%1.%2.%3.%4.%5.%6."/>
      <w:lvlJc w:val="left"/>
      <w:pPr>
        <w:widowControl/>
        <w:ind w:left="3080" w:hanging="1080"/>
      </w:pPr>
      <w:rPr>
        <w:b/>
        <w:i/>
      </w:rPr>
    </w:lvl>
    <w:lvl w:ilvl="6">
      <w:start w:val="1"/>
      <w:numFmt w:val="decimal"/>
      <w:lvlText w:val="%1.%2.%3.%4.%5.%6.%7."/>
      <w:lvlJc w:val="left"/>
      <w:pPr>
        <w:widowControl/>
        <w:ind w:left="3480" w:hanging="1080"/>
      </w:pPr>
      <w:rPr>
        <w:b/>
        <w:i/>
      </w:rPr>
    </w:lvl>
    <w:lvl w:ilvl="7">
      <w:start w:val="1"/>
      <w:numFmt w:val="decimal"/>
      <w:lvlText w:val="%1.%2.%3.%4.%5.%6.%7.%8."/>
      <w:lvlJc w:val="left"/>
      <w:pPr>
        <w:widowControl/>
        <w:ind w:left="4240" w:hanging="1440"/>
      </w:pPr>
      <w:rPr>
        <w:b/>
        <w:i/>
      </w:rPr>
    </w:lvl>
    <w:lvl w:ilvl="8">
      <w:start w:val="1"/>
      <w:numFmt w:val="decimal"/>
      <w:lvlText w:val="%1.%2.%3.%4.%5.%6.%7.%8.%9."/>
      <w:lvlJc w:val="left"/>
      <w:pPr>
        <w:widowControl/>
        <w:ind w:left="4640" w:hanging="1440"/>
      </w:pPr>
      <w:rPr>
        <w:b/>
        <w:i/>
      </w:rPr>
    </w:lvl>
  </w:abstractNum>
  <w:abstractNum w:abstractNumId="18" w15:restartNumberingAfterBreak="0">
    <w:nsid w:val="7DBC5A36"/>
    <w:multiLevelType w:val="multilevel"/>
    <w:tmpl w:val="1F4ACE5A"/>
    <w:lvl w:ilvl="0">
      <w:start w:val="1"/>
      <w:numFmt w:val="bullet"/>
      <w:lvlText w:val=""/>
      <w:lvlJc w:val="left"/>
      <w:pPr>
        <w:widowControl/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widowControl/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widowControl/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widowControl/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widowControl/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widowControl/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widowControl/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widowControl/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widowControl/>
        <w:ind w:left="6480" w:hanging="360"/>
      </w:pPr>
      <w:rPr>
        <w:rFonts w:ascii="Wingdings" w:hAnsi="Wingdings"/>
      </w:rPr>
    </w:lvl>
  </w:abstractNum>
  <w:num w:numId="1">
    <w:abstractNumId w:val="8"/>
  </w:num>
  <w:num w:numId="2">
    <w:abstractNumId w:val="15"/>
  </w:num>
  <w:num w:numId="3">
    <w:abstractNumId w:val="12"/>
  </w:num>
  <w:num w:numId="4">
    <w:abstractNumId w:val="6"/>
  </w:num>
  <w:num w:numId="5">
    <w:abstractNumId w:val="1"/>
  </w:num>
  <w:num w:numId="6">
    <w:abstractNumId w:val="13"/>
  </w:num>
  <w:num w:numId="7">
    <w:abstractNumId w:val="4"/>
  </w:num>
  <w:num w:numId="8">
    <w:abstractNumId w:val="7"/>
  </w:num>
  <w:num w:numId="9">
    <w:abstractNumId w:val="18"/>
  </w:num>
  <w:num w:numId="10">
    <w:abstractNumId w:val="17"/>
  </w:num>
  <w:num w:numId="11">
    <w:abstractNumId w:val="14"/>
  </w:num>
  <w:num w:numId="12">
    <w:abstractNumId w:val="11"/>
  </w:num>
  <w:num w:numId="13">
    <w:abstractNumId w:val="3"/>
  </w:num>
  <w:num w:numId="14">
    <w:abstractNumId w:val="9"/>
  </w:num>
  <w:num w:numId="15">
    <w:abstractNumId w:val="0"/>
  </w:num>
  <w:num w:numId="16">
    <w:abstractNumId w:val="2"/>
  </w:num>
  <w:num w:numId="17">
    <w:abstractNumId w:val="5"/>
  </w:num>
  <w:num w:numId="18">
    <w:abstractNumId w:val="16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CDE"/>
    <w:rsid w:val="00642CDE"/>
    <w:rsid w:val="006D0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918E7"/>
  <w15:docId w15:val="{084CFECA-BE39-4A73-9ED1-FFA69D4B5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0"/>
    <w:qFormat/>
    <w:pPr>
      <w:spacing w:after="200" w:line="276" w:lineRule="auto"/>
    </w:pPr>
  </w:style>
  <w:style w:type="paragraph" w:styleId="11">
    <w:name w:val="heading 1"/>
    <w:basedOn w:val="12"/>
    <w:next w:val="12"/>
    <w:link w:val="13"/>
    <w:uiPriority w:val="9"/>
    <w:qFormat/>
    <w:pPr>
      <w:widowControl/>
      <w:spacing w:before="360" w:after="240" w:line="240" w:lineRule="auto"/>
      <w:outlineLvl w:val="0"/>
    </w:pPr>
    <w:rPr>
      <w:rFonts w:ascii="Verdana" w:hAnsi="Verdana"/>
      <w:b/>
      <w:color w:val="438086"/>
      <w:sz w:val="32"/>
    </w:rPr>
  </w:style>
  <w:style w:type="paragraph" w:styleId="21">
    <w:name w:val="heading 2"/>
    <w:basedOn w:val="a"/>
    <w:next w:val="a"/>
    <w:link w:val="22"/>
    <w:uiPriority w:val="9"/>
    <w:qFormat/>
    <w:pPr>
      <w:spacing w:before="240" w:after="240" w:line="240" w:lineRule="auto"/>
      <w:outlineLvl w:val="1"/>
    </w:pPr>
    <w:rPr>
      <w:rFonts w:ascii="Verdana" w:hAnsi="Verdana"/>
      <w:b/>
      <w:i/>
      <w:color w:val="438086"/>
      <w:sz w:val="28"/>
    </w:rPr>
  </w:style>
  <w:style w:type="paragraph" w:styleId="30">
    <w:name w:val="heading 3"/>
    <w:basedOn w:val="a"/>
    <w:next w:val="a"/>
    <w:link w:val="31"/>
    <w:uiPriority w:val="9"/>
    <w:qFormat/>
    <w:pPr>
      <w:spacing w:before="240" w:after="240" w:line="240" w:lineRule="auto"/>
      <w:outlineLvl w:val="2"/>
    </w:pPr>
    <w:rPr>
      <w:rFonts w:ascii="Verdana" w:hAnsi="Verdana"/>
      <w:b/>
      <w:i/>
      <w:color w:val="438086"/>
      <w:sz w:val="24"/>
    </w:rPr>
  </w:style>
  <w:style w:type="paragraph" w:styleId="4">
    <w:name w:val="heading 4"/>
    <w:basedOn w:val="a"/>
    <w:next w:val="a"/>
    <w:link w:val="40"/>
    <w:uiPriority w:val="9"/>
    <w:qFormat/>
    <w:pPr>
      <w:spacing w:after="0"/>
      <w:outlineLvl w:val="3"/>
    </w:pPr>
    <w:rPr>
      <w:rFonts w:ascii="Verdana" w:hAnsi="Verdana"/>
      <w:i/>
      <w:color w:val="438086"/>
    </w:rPr>
  </w:style>
  <w:style w:type="paragraph" w:styleId="5">
    <w:name w:val="heading 5"/>
    <w:basedOn w:val="a"/>
    <w:next w:val="a"/>
    <w:link w:val="50"/>
    <w:uiPriority w:val="9"/>
    <w:qFormat/>
    <w:pPr>
      <w:spacing w:after="0"/>
      <w:outlineLvl w:val="4"/>
    </w:pPr>
    <w:rPr>
      <w:rFonts w:ascii="Verdana" w:hAnsi="Verdana"/>
      <w:b/>
      <w:color w:val="325F64"/>
    </w:rPr>
  </w:style>
  <w:style w:type="paragraph" w:styleId="6">
    <w:name w:val="heading 6"/>
    <w:basedOn w:val="a"/>
    <w:next w:val="a"/>
    <w:link w:val="60"/>
    <w:uiPriority w:val="9"/>
    <w:qFormat/>
    <w:pPr>
      <w:spacing w:after="0"/>
      <w:outlineLvl w:val="5"/>
    </w:pPr>
    <w:rPr>
      <w:rFonts w:ascii="Verdana" w:hAnsi="Verdana"/>
      <w:b/>
      <w:i/>
      <w:color w:val="325F64"/>
    </w:rPr>
  </w:style>
  <w:style w:type="paragraph" w:styleId="7">
    <w:name w:val="heading 7"/>
    <w:basedOn w:val="a"/>
    <w:next w:val="a"/>
    <w:link w:val="70"/>
    <w:uiPriority w:val="9"/>
    <w:qFormat/>
    <w:pPr>
      <w:spacing w:after="0"/>
      <w:outlineLvl w:val="6"/>
    </w:pPr>
    <w:rPr>
      <w:rFonts w:ascii="Verdana" w:hAnsi="Verdana"/>
      <w:b/>
      <w:color w:val="53548A"/>
    </w:rPr>
  </w:style>
  <w:style w:type="paragraph" w:styleId="8">
    <w:name w:val="heading 8"/>
    <w:basedOn w:val="a"/>
    <w:next w:val="a"/>
    <w:link w:val="80"/>
    <w:uiPriority w:val="9"/>
    <w:qFormat/>
    <w:pPr>
      <w:spacing w:after="0"/>
      <w:outlineLvl w:val="7"/>
    </w:pPr>
    <w:rPr>
      <w:rFonts w:ascii="Verdana" w:hAnsi="Verdana"/>
      <w:b/>
      <w:i/>
      <w:color w:val="53548A"/>
    </w:rPr>
  </w:style>
  <w:style w:type="paragraph" w:styleId="9">
    <w:name w:val="heading 9"/>
    <w:basedOn w:val="a"/>
    <w:next w:val="a"/>
    <w:link w:val="90"/>
    <w:uiPriority w:val="9"/>
    <w:qFormat/>
    <w:pPr>
      <w:spacing w:after="0"/>
      <w:outlineLvl w:val="8"/>
    </w:pPr>
    <w:rPr>
      <w:rFonts w:ascii="Verdana" w:hAnsi="Verdana"/>
      <w:b/>
      <w:color w:val="3132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Обычный1"/>
  </w:style>
  <w:style w:type="paragraph" w:customStyle="1" w:styleId="9DA8C911A2E146478AFCB74942704D63">
    <w:name w:val="9DA8C911A2E146478AFCB74942704D63"/>
    <w:link w:val="9DA8C911A2E146478AFCB74942704D630"/>
    <w:pPr>
      <w:spacing w:after="200" w:line="276" w:lineRule="auto"/>
    </w:pPr>
    <w:rPr>
      <w:sz w:val="22"/>
    </w:rPr>
  </w:style>
  <w:style w:type="character" w:customStyle="1" w:styleId="9DA8C911A2E146478AFCB74942704D630">
    <w:name w:val="9DA8C911A2E146478AFCB74942704D63"/>
    <w:link w:val="9DA8C911A2E146478AFCB74942704D63"/>
    <w:rPr>
      <w:sz w:val="22"/>
    </w:rPr>
  </w:style>
  <w:style w:type="paragraph" w:customStyle="1" w:styleId="14">
    <w:name w:val="Выделение1"/>
    <w:link w:val="15"/>
    <w:rPr>
      <w:b/>
      <w:color w:val="438086"/>
      <w:spacing w:val="10"/>
    </w:rPr>
  </w:style>
  <w:style w:type="character" w:customStyle="1" w:styleId="15">
    <w:name w:val="Выделение1"/>
    <w:link w:val="14"/>
    <w:rPr>
      <w:b/>
      <w:color w:val="438086"/>
      <w:spacing w:val="10"/>
    </w:rPr>
  </w:style>
  <w:style w:type="paragraph" w:customStyle="1" w:styleId="Style19">
    <w:name w:val="Style19"/>
    <w:basedOn w:val="a"/>
    <w:link w:val="Style190"/>
    <w:pPr>
      <w:widowControl w:val="0"/>
      <w:spacing w:after="0" w:line="483" w:lineRule="exact"/>
      <w:ind w:firstLine="840"/>
      <w:jc w:val="both"/>
    </w:pPr>
    <w:rPr>
      <w:sz w:val="24"/>
    </w:rPr>
  </w:style>
  <w:style w:type="character" w:customStyle="1" w:styleId="Style190">
    <w:name w:val="Style19"/>
    <w:basedOn w:val="10"/>
    <w:link w:val="Style19"/>
    <w:rPr>
      <w:sz w:val="24"/>
    </w:rPr>
  </w:style>
  <w:style w:type="paragraph" w:customStyle="1" w:styleId="bold5">
    <w:name w:val="bold5"/>
    <w:link w:val="bold50"/>
    <w:rPr>
      <w:b/>
    </w:rPr>
  </w:style>
  <w:style w:type="character" w:customStyle="1" w:styleId="bold50">
    <w:name w:val="bold5"/>
    <w:link w:val="bold5"/>
    <w:rPr>
      <w:b/>
    </w:rPr>
  </w:style>
  <w:style w:type="paragraph" w:customStyle="1" w:styleId="ConsPlusNormal">
    <w:name w:val="ConsPlusNormal"/>
    <w:link w:val="ConsPlusNormal0"/>
    <w:pPr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Pr>
      <w:rFonts w:ascii="Arial" w:hAnsi="Arial"/>
    </w:rPr>
  </w:style>
  <w:style w:type="paragraph" w:styleId="23">
    <w:name w:val="toc 2"/>
    <w:basedOn w:val="a"/>
    <w:next w:val="a"/>
    <w:link w:val="24"/>
    <w:uiPriority w:val="39"/>
    <w:pPr>
      <w:tabs>
        <w:tab w:val="left" w:pos="0"/>
        <w:tab w:val="right" w:leader="dot" w:pos="9638"/>
      </w:tabs>
      <w:spacing w:after="0"/>
      <w:ind w:firstLine="284"/>
    </w:pPr>
    <w:rPr>
      <w:b/>
      <w:i/>
      <w:smallCaps/>
    </w:rPr>
  </w:style>
  <w:style w:type="character" w:customStyle="1" w:styleId="24">
    <w:name w:val="Оглавление 2 Знак"/>
    <w:basedOn w:val="10"/>
    <w:link w:val="23"/>
    <w:rPr>
      <w:b/>
      <w:i/>
      <w:smallCaps/>
    </w:rPr>
  </w:style>
  <w:style w:type="paragraph" w:styleId="a3">
    <w:name w:val="Intense Quote"/>
    <w:basedOn w:val="a"/>
    <w:link w:val="a4"/>
    <w:pPr>
      <w:spacing w:before="360" w:after="360" w:line="324" w:lineRule="auto"/>
      <w:ind w:left="1080" w:right="1080"/>
    </w:pPr>
    <w:rPr>
      <w:i/>
      <w:color w:val="438086"/>
      <w:sz w:val="22"/>
    </w:rPr>
  </w:style>
  <w:style w:type="character" w:customStyle="1" w:styleId="a4">
    <w:name w:val="Выделенная цитата Знак"/>
    <w:basedOn w:val="10"/>
    <w:link w:val="a3"/>
    <w:rPr>
      <w:i/>
      <w:color w:val="438086"/>
      <w:sz w:val="22"/>
    </w:rPr>
  </w:style>
  <w:style w:type="paragraph" w:customStyle="1" w:styleId="500">
    <w:name w:val="Основной текст50"/>
    <w:basedOn w:val="a"/>
    <w:link w:val="501"/>
    <w:pPr>
      <w:spacing w:before="360" w:after="0" w:line="446" w:lineRule="exact"/>
      <w:ind w:left="580" w:hanging="580"/>
      <w:jc w:val="right"/>
    </w:pPr>
    <w:rPr>
      <w:sz w:val="23"/>
    </w:rPr>
  </w:style>
  <w:style w:type="character" w:customStyle="1" w:styleId="501">
    <w:name w:val="Основной текст50"/>
    <w:basedOn w:val="10"/>
    <w:link w:val="500"/>
    <w:rPr>
      <w:sz w:val="23"/>
    </w:rPr>
  </w:style>
  <w:style w:type="paragraph" w:styleId="41">
    <w:name w:val="toc 4"/>
    <w:basedOn w:val="a"/>
    <w:next w:val="a"/>
    <w:link w:val="42"/>
    <w:uiPriority w:val="39"/>
    <w:pPr>
      <w:spacing w:after="0"/>
      <w:ind w:left="600"/>
    </w:pPr>
    <w:rPr>
      <w:rFonts w:ascii="Calibri" w:hAnsi="Calibri"/>
      <w:sz w:val="18"/>
    </w:rPr>
  </w:style>
  <w:style w:type="character" w:customStyle="1" w:styleId="42">
    <w:name w:val="Оглавление 4 Знак"/>
    <w:basedOn w:val="10"/>
    <w:link w:val="41"/>
    <w:rPr>
      <w:rFonts w:ascii="Calibri" w:hAnsi="Calibri"/>
      <w:sz w:val="18"/>
    </w:rPr>
  </w:style>
  <w:style w:type="paragraph" w:customStyle="1" w:styleId="ConsPlusTitlePage">
    <w:name w:val="ConsPlusTitlePage"/>
    <w:link w:val="ConsPlusTitlePage0"/>
    <w:pPr>
      <w:widowControl w:val="0"/>
    </w:pPr>
    <w:rPr>
      <w:rFonts w:ascii="Tahoma" w:hAnsi="Tahoma"/>
    </w:rPr>
  </w:style>
  <w:style w:type="character" w:customStyle="1" w:styleId="ConsPlusTitlePage0">
    <w:name w:val="ConsPlusTitlePage"/>
    <w:link w:val="ConsPlusTitlePage"/>
    <w:rPr>
      <w:rFonts w:ascii="Tahoma" w:hAnsi="Tahoma"/>
    </w:rPr>
  </w:style>
  <w:style w:type="character" w:customStyle="1" w:styleId="70">
    <w:name w:val="Заголовок 7 Знак"/>
    <w:basedOn w:val="10"/>
    <w:link w:val="7"/>
    <w:rPr>
      <w:rFonts w:ascii="Verdana" w:hAnsi="Verdana"/>
      <w:b/>
      <w:color w:val="53548A"/>
    </w:rPr>
  </w:style>
  <w:style w:type="paragraph" w:styleId="a5">
    <w:name w:val="Body Text"/>
    <w:basedOn w:val="a"/>
    <w:link w:val="a6"/>
    <w:pPr>
      <w:spacing w:after="0" w:line="240" w:lineRule="auto"/>
      <w:ind w:firstLine="709"/>
      <w:jc w:val="both"/>
    </w:pPr>
    <w:rPr>
      <w:sz w:val="28"/>
    </w:rPr>
  </w:style>
  <w:style w:type="character" w:customStyle="1" w:styleId="a6">
    <w:name w:val="Основной текст Знак"/>
    <w:basedOn w:val="10"/>
    <w:link w:val="a5"/>
    <w:rPr>
      <w:sz w:val="28"/>
    </w:rPr>
  </w:style>
  <w:style w:type="paragraph" w:styleId="a7">
    <w:name w:val="Body Text Indent"/>
    <w:basedOn w:val="a"/>
    <w:link w:val="a8"/>
    <w:pPr>
      <w:spacing w:after="120"/>
      <w:ind w:left="283"/>
    </w:pPr>
  </w:style>
  <w:style w:type="character" w:customStyle="1" w:styleId="a8">
    <w:name w:val="Основной текст с отступом Знак"/>
    <w:basedOn w:val="10"/>
    <w:link w:val="a7"/>
  </w:style>
  <w:style w:type="paragraph" w:styleId="a9">
    <w:name w:val="Block Text"/>
    <w:basedOn w:val="a"/>
    <w:link w:val="aa"/>
    <w:pPr>
      <w:ind w:left="1152" w:right="1152"/>
    </w:pPr>
    <w:rPr>
      <w:i/>
      <w:color w:val="53548A"/>
    </w:rPr>
  </w:style>
  <w:style w:type="character" w:customStyle="1" w:styleId="aa">
    <w:name w:val="Цитата Знак"/>
    <w:basedOn w:val="10"/>
    <w:link w:val="a9"/>
    <w:rPr>
      <w:i/>
      <w:color w:val="53548A"/>
    </w:rPr>
  </w:style>
  <w:style w:type="paragraph" w:customStyle="1" w:styleId="ConsPlusCell">
    <w:name w:val="ConsPlusCell"/>
    <w:link w:val="ConsPlusCell0"/>
    <w:pPr>
      <w:widowControl w:val="0"/>
    </w:pPr>
    <w:rPr>
      <w:sz w:val="24"/>
    </w:rPr>
  </w:style>
  <w:style w:type="character" w:customStyle="1" w:styleId="ConsPlusCell0">
    <w:name w:val="ConsPlusCell"/>
    <w:link w:val="ConsPlusCell"/>
    <w:rPr>
      <w:sz w:val="24"/>
    </w:rPr>
  </w:style>
  <w:style w:type="paragraph" w:styleId="61">
    <w:name w:val="toc 6"/>
    <w:basedOn w:val="a"/>
    <w:next w:val="a"/>
    <w:link w:val="62"/>
    <w:uiPriority w:val="39"/>
    <w:pPr>
      <w:spacing w:after="0"/>
      <w:ind w:left="1000"/>
    </w:pPr>
    <w:rPr>
      <w:rFonts w:ascii="Calibri" w:hAnsi="Calibri"/>
      <w:sz w:val="18"/>
    </w:rPr>
  </w:style>
  <w:style w:type="character" w:customStyle="1" w:styleId="62">
    <w:name w:val="Оглавление 6 Знак"/>
    <w:basedOn w:val="10"/>
    <w:link w:val="61"/>
    <w:rPr>
      <w:rFonts w:ascii="Calibri" w:hAnsi="Calibri"/>
      <w:sz w:val="18"/>
    </w:rPr>
  </w:style>
  <w:style w:type="paragraph" w:customStyle="1" w:styleId="43">
    <w:name w:val="Основной текст4"/>
    <w:link w:val="44"/>
    <w:rPr>
      <w:sz w:val="23"/>
      <w:highlight w:val="white"/>
      <w:u w:val="single"/>
    </w:rPr>
  </w:style>
  <w:style w:type="character" w:customStyle="1" w:styleId="44">
    <w:name w:val="Основной текст4"/>
    <w:link w:val="43"/>
    <w:rPr>
      <w:sz w:val="23"/>
      <w:highlight w:val="white"/>
      <w:u w:val="single"/>
    </w:rPr>
  </w:style>
  <w:style w:type="paragraph" w:customStyle="1" w:styleId="SubHeading">
    <w:name w:val="Sub Heading"/>
    <w:link w:val="SubHeading0"/>
    <w:pPr>
      <w:widowControl w:val="0"/>
      <w:spacing w:before="240" w:after="40"/>
    </w:pPr>
  </w:style>
  <w:style w:type="character" w:customStyle="1" w:styleId="SubHeading0">
    <w:name w:val="Sub Heading"/>
    <w:link w:val="SubHeading"/>
  </w:style>
  <w:style w:type="paragraph" w:styleId="71">
    <w:name w:val="toc 7"/>
    <w:basedOn w:val="a"/>
    <w:next w:val="a"/>
    <w:link w:val="72"/>
    <w:uiPriority w:val="39"/>
    <w:pPr>
      <w:spacing w:after="0"/>
      <w:ind w:left="1200"/>
    </w:pPr>
    <w:rPr>
      <w:rFonts w:ascii="Calibri" w:hAnsi="Calibri"/>
      <w:sz w:val="18"/>
    </w:rPr>
  </w:style>
  <w:style w:type="character" w:customStyle="1" w:styleId="72">
    <w:name w:val="Оглавление 7 Знак"/>
    <w:basedOn w:val="10"/>
    <w:link w:val="71"/>
    <w:rPr>
      <w:rFonts w:ascii="Calibri" w:hAnsi="Calibri"/>
      <w:sz w:val="18"/>
    </w:rPr>
  </w:style>
  <w:style w:type="paragraph" w:customStyle="1" w:styleId="430">
    <w:name w:val="Заголовок №4 (3)"/>
    <w:basedOn w:val="a"/>
    <w:link w:val="431"/>
    <w:pPr>
      <w:spacing w:before="300" w:after="0" w:line="317" w:lineRule="exact"/>
      <w:ind w:left="420" w:hanging="420"/>
      <w:jc w:val="both"/>
      <w:outlineLvl w:val="3"/>
    </w:pPr>
    <w:rPr>
      <w:sz w:val="23"/>
    </w:rPr>
  </w:style>
  <w:style w:type="character" w:customStyle="1" w:styleId="431">
    <w:name w:val="Заголовок №4 (3)"/>
    <w:basedOn w:val="10"/>
    <w:link w:val="430"/>
    <w:rPr>
      <w:sz w:val="23"/>
    </w:rPr>
  </w:style>
  <w:style w:type="paragraph" w:customStyle="1" w:styleId="16">
    <w:name w:val="Знак сноски1"/>
    <w:link w:val="17"/>
    <w:rPr>
      <w:vertAlign w:val="superscript"/>
    </w:rPr>
  </w:style>
  <w:style w:type="character" w:customStyle="1" w:styleId="17">
    <w:name w:val="Знак сноски1"/>
    <w:link w:val="16"/>
    <w:rPr>
      <w:vertAlign w:val="superscript"/>
    </w:rPr>
  </w:style>
  <w:style w:type="paragraph" w:customStyle="1" w:styleId="Style30">
    <w:name w:val="Style30"/>
    <w:basedOn w:val="a"/>
    <w:link w:val="Style300"/>
    <w:pPr>
      <w:widowControl w:val="0"/>
      <w:spacing w:after="0" w:line="482" w:lineRule="exact"/>
      <w:ind w:firstLine="1128"/>
    </w:pPr>
    <w:rPr>
      <w:sz w:val="24"/>
    </w:rPr>
  </w:style>
  <w:style w:type="character" w:customStyle="1" w:styleId="Style300">
    <w:name w:val="Style30"/>
    <w:basedOn w:val="10"/>
    <w:link w:val="Style30"/>
    <w:rPr>
      <w:sz w:val="24"/>
    </w:rPr>
  </w:style>
  <w:style w:type="paragraph" w:customStyle="1" w:styleId="18">
    <w:name w:val="Гиперссылка1"/>
    <w:link w:val="19"/>
    <w:rPr>
      <w:color w:val="67AFBD"/>
      <w:u w:val="single"/>
    </w:rPr>
  </w:style>
  <w:style w:type="character" w:customStyle="1" w:styleId="19">
    <w:name w:val="Гиперссылка1"/>
    <w:link w:val="18"/>
    <w:rPr>
      <w:color w:val="67AFBD"/>
      <w:u w:val="single"/>
    </w:rPr>
  </w:style>
  <w:style w:type="paragraph" w:customStyle="1" w:styleId="1a">
    <w:name w:val="Знак концевой сноски1"/>
    <w:link w:val="1b"/>
    <w:rPr>
      <w:vertAlign w:val="superscript"/>
    </w:rPr>
  </w:style>
  <w:style w:type="character" w:customStyle="1" w:styleId="1b">
    <w:name w:val="Знак концевой сноски1"/>
    <w:link w:val="1a"/>
    <w:rPr>
      <w:vertAlign w:val="superscript"/>
    </w:rPr>
  </w:style>
  <w:style w:type="paragraph" w:customStyle="1" w:styleId="Endnote">
    <w:name w:val="Endnote"/>
    <w:basedOn w:val="a"/>
    <w:link w:val="Endnote0"/>
    <w:pPr>
      <w:spacing w:after="0" w:line="240" w:lineRule="auto"/>
    </w:pPr>
  </w:style>
  <w:style w:type="character" w:customStyle="1" w:styleId="Endnote0">
    <w:name w:val="Endnote"/>
    <w:basedOn w:val="10"/>
    <w:link w:val="Endnote"/>
  </w:style>
  <w:style w:type="character" w:customStyle="1" w:styleId="31">
    <w:name w:val="Заголовок 3 Знак"/>
    <w:basedOn w:val="10"/>
    <w:link w:val="30"/>
    <w:rPr>
      <w:rFonts w:ascii="Verdana" w:hAnsi="Verdana"/>
      <w:b/>
      <w:i/>
      <w:color w:val="438086"/>
      <w:sz w:val="24"/>
    </w:rPr>
  </w:style>
  <w:style w:type="paragraph" w:customStyle="1" w:styleId="1">
    <w:name w:val="Маркер 1"/>
    <w:basedOn w:val="ab"/>
    <w:link w:val="1c"/>
    <w:pPr>
      <w:numPr>
        <w:numId w:val="18"/>
      </w:numPr>
      <w:spacing w:after="0"/>
    </w:pPr>
  </w:style>
  <w:style w:type="character" w:customStyle="1" w:styleId="1c">
    <w:name w:val="Маркер 1"/>
    <w:basedOn w:val="ac"/>
    <w:link w:val="1"/>
  </w:style>
  <w:style w:type="paragraph" w:customStyle="1" w:styleId="1d">
    <w:name w:val="Обычный1"/>
    <w:link w:val="1e"/>
  </w:style>
  <w:style w:type="character" w:customStyle="1" w:styleId="1e">
    <w:name w:val="Обычный1"/>
    <w:link w:val="1d"/>
  </w:style>
  <w:style w:type="paragraph" w:customStyle="1" w:styleId="ad">
    <w:name w:val="Примечания"/>
    <w:basedOn w:val="a"/>
    <w:link w:val="ae"/>
    <w:pPr>
      <w:spacing w:after="120" w:line="240" w:lineRule="auto"/>
    </w:pPr>
    <w:rPr>
      <w:b/>
    </w:rPr>
  </w:style>
  <w:style w:type="character" w:customStyle="1" w:styleId="ae">
    <w:name w:val="Примечания"/>
    <w:basedOn w:val="10"/>
    <w:link w:val="ad"/>
    <w:rPr>
      <w:b/>
    </w:rPr>
  </w:style>
  <w:style w:type="paragraph" w:customStyle="1" w:styleId="ConsPlusJurTerm">
    <w:name w:val="ConsPlusJurTerm"/>
    <w:link w:val="ConsPlusJurTerm0"/>
    <w:pPr>
      <w:widowControl w:val="0"/>
    </w:pPr>
    <w:rPr>
      <w:rFonts w:ascii="Tahoma" w:hAnsi="Tahoma"/>
      <w:sz w:val="18"/>
    </w:rPr>
  </w:style>
  <w:style w:type="character" w:customStyle="1" w:styleId="ConsPlusJurTerm0">
    <w:name w:val="ConsPlusJurTerm"/>
    <w:link w:val="ConsPlusJurTerm"/>
    <w:rPr>
      <w:rFonts w:ascii="Tahoma" w:hAnsi="Tahoma"/>
      <w:sz w:val="18"/>
    </w:rPr>
  </w:style>
  <w:style w:type="paragraph" w:customStyle="1" w:styleId="ConsPlusNonformat">
    <w:name w:val="ConsPlusNonformat"/>
    <w:link w:val="ConsPlusNonformat0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</w:rPr>
  </w:style>
  <w:style w:type="paragraph" w:customStyle="1" w:styleId="1f">
    <w:name w:val="Слабое выделение1"/>
    <w:link w:val="1f0"/>
    <w:rPr>
      <w:i/>
      <w:color w:val="006666"/>
    </w:rPr>
  </w:style>
  <w:style w:type="character" w:customStyle="1" w:styleId="1f0">
    <w:name w:val="Слабое выделение1"/>
    <w:link w:val="1f"/>
    <w:rPr>
      <w:i/>
      <w:color w:val="006666"/>
    </w:rPr>
  </w:style>
  <w:style w:type="paragraph" w:customStyle="1" w:styleId="1f1">
    <w:name w:val="Знак примечания1"/>
    <w:basedOn w:val="32"/>
    <w:link w:val="af"/>
    <w:rPr>
      <w:sz w:val="16"/>
    </w:rPr>
  </w:style>
  <w:style w:type="character" w:styleId="af">
    <w:name w:val="annotation reference"/>
    <w:basedOn w:val="a0"/>
    <w:link w:val="1f1"/>
    <w:rPr>
      <w:sz w:val="16"/>
    </w:rPr>
  </w:style>
  <w:style w:type="paragraph" w:styleId="af0">
    <w:name w:val="Normal (Web)"/>
    <w:basedOn w:val="a"/>
    <w:link w:val="af1"/>
    <w:pPr>
      <w:spacing w:before="150" w:after="150" w:line="240" w:lineRule="auto"/>
      <w:ind w:left="150" w:right="150"/>
    </w:pPr>
    <w:rPr>
      <w:sz w:val="24"/>
    </w:rPr>
  </w:style>
  <w:style w:type="character" w:customStyle="1" w:styleId="af1">
    <w:name w:val="Обычный (веб) Знак"/>
    <w:basedOn w:val="10"/>
    <w:link w:val="af0"/>
    <w:rPr>
      <w:sz w:val="24"/>
    </w:rPr>
  </w:style>
  <w:style w:type="character" w:customStyle="1" w:styleId="90">
    <w:name w:val="Заголовок 9 Знак"/>
    <w:basedOn w:val="10"/>
    <w:link w:val="9"/>
    <w:rPr>
      <w:rFonts w:ascii="Verdana" w:hAnsi="Verdana"/>
      <w:b/>
      <w:color w:val="313240"/>
    </w:rPr>
  </w:style>
  <w:style w:type="paragraph" w:styleId="af2">
    <w:name w:val="annotation text"/>
    <w:basedOn w:val="a"/>
    <w:link w:val="af3"/>
  </w:style>
  <w:style w:type="character" w:customStyle="1" w:styleId="af3">
    <w:name w:val="Текст примечания Знак"/>
    <w:basedOn w:val="10"/>
    <w:link w:val="af2"/>
  </w:style>
  <w:style w:type="paragraph" w:styleId="af4">
    <w:name w:val="annotation subject"/>
    <w:basedOn w:val="af2"/>
    <w:next w:val="af2"/>
    <w:link w:val="af5"/>
    <w:rPr>
      <w:b/>
    </w:rPr>
  </w:style>
  <w:style w:type="character" w:customStyle="1" w:styleId="af5">
    <w:name w:val="Тема примечания Знак"/>
    <w:basedOn w:val="af3"/>
    <w:link w:val="af4"/>
    <w:rPr>
      <w:b/>
    </w:rPr>
  </w:style>
  <w:style w:type="paragraph" w:styleId="af6">
    <w:name w:val="header"/>
    <w:basedOn w:val="a"/>
    <w:link w:val="af7"/>
    <w:pPr>
      <w:tabs>
        <w:tab w:val="center" w:pos="4320"/>
        <w:tab w:val="right" w:pos="8640"/>
      </w:tabs>
    </w:pPr>
  </w:style>
  <w:style w:type="character" w:customStyle="1" w:styleId="af7">
    <w:name w:val="Верхний колонтитул Знак"/>
    <w:basedOn w:val="10"/>
    <w:link w:val="af6"/>
  </w:style>
  <w:style w:type="paragraph" w:customStyle="1" w:styleId="25">
    <w:name w:val="Основной шрифт абзаца2"/>
    <w:link w:val="26"/>
  </w:style>
  <w:style w:type="character" w:customStyle="1" w:styleId="26">
    <w:name w:val="Основной шрифт абзаца2"/>
    <w:link w:val="25"/>
  </w:style>
  <w:style w:type="paragraph" w:customStyle="1" w:styleId="af8">
    <w:name w:val="Категория"/>
    <w:basedOn w:val="a"/>
    <w:link w:val="af9"/>
    <w:pPr>
      <w:spacing w:after="0" w:line="240" w:lineRule="auto"/>
      <w:jc w:val="center"/>
    </w:pPr>
    <w:rPr>
      <w:caps/>
    </w:rPr>
  </w:style>
  <w:style w:type="character" w:customStyle="1" w:styleId="af9">
    <w:name w:val="Категория"/>
    <w:basedOn w:val="10"/>
    <w:link w:val="af8"/>
    <w:rPr>
      <w:caps/>
    </w:rPr>
  </w:style>
  <w:style w:type="paragraph" w:customStyle="1" w:styleId="12">
    <w:name w:val="Основной текст1"/>
    <w:basedOn w:val="a"/>
    <w:link w:val="1f2"/>
    <w:pPr>
      <w:widowControl w:val="0"/>
      <w:spacing w:after="0" w:line="264" w:lineRule="auto"/>
      <w:jc w:val="both"/>
    </w:pPr>
  </w:style>
  <w:style w:type="character" w:customStyle="1" w:styleId="1f2">
    <w:name w:val="Основной текст1"/>
    <w:basedOn w:val="10"/>
    <w:link w:val="12"/>
  </w:style>
  <w:style w:type="paragraph" w:customStyle="1" w:styleId="Prikaz">
    <w:name w:val="Prikaz"/>
    <w:basedOn w:val="a"/>
    <w:link w:val="Prikaz0"/>
    <w:pPr>
      <w:spacing w:after="0" w:line="240" w:lineRule="auto"/>
      <w:ind w:firstLine="709"/>
      <w:jc w:val="both"/>
    </w:pPr>
    <w:rPr>
      <w:sz w:val="28"/>
    </w:rPr>
  </w:style>
  <w:style w:type="character" w:customStyle="1" w:styleId="Prikaz0">
    <w:name w:val="Prikaz"/>
    <w:basedOn w:val="10"/>
    <w:link w:val="Prikaz"/>
    <w:rPr>
      <w:sz w:val="28"/>
    </w:rPr>
  </w:style>
  <w:style w:type="paragraph" w:customStyle="1" w:styleId="3">
    <w:name w:val="Маркер 3"/>
    <w:basedOn w:val="ab"/>
    <w:link w:val="33"/>
    <w:pPr>
      <w:numPr>
        <w:ilvl w:val="2"/>
        <w:numId w:val="18"/>
      </w:numPr>
      <w:spacing w:after="0"/>
    </w:pPr>
  </w:style>
  <w:style w:type="character" w:customStyle="1" w:styleId="33">
    <w:name w:val="Маркер 3"/>
    <w:basedOn w:val="ac"/>
    <w:link w:val="3"/>
  </w:style>
  <w:style w:type="paragraph" w:customStyle="1" w:styleId="DefaultPlaceholderSubject10">
    <w:name w:val="DefaultPlaceholder_Subject10"/>
    <w:link w:val="DefaultPlaceholderSubject100"/>
    <w:pPr>
      <w:spacing w:after="200" w:line="276" w:lineRule="auto"/>
    </w:pPr>
    <w:rPr>
      <w:i/>
      <w:color w:val="424456"/>
      <w:sz w:val="24"/>
    </w:rPr>
  </w:style>
  <w:style w:type="character" w:customStyle="1" w:styleId="DefaultPlaceholderSubject100">
    <w:name w:val="DefaultPlaceholder_Subject10"/>
    <w:link w:val="DefaultPlaceholderSubject10"/>
    <w:rPr>
      <w:i/>
      <w:color w:val="424456"/>
      <w:sz w:val="24"/>
    </w:rPr>
  </w:style>
  <w:style w:type="paragraph" w:customStyle="1" w:styleId="ConsPlusDocList">
    <w:name w:val="ConsPlusDocList"/>
    <w:link w:val="ConsPlusDocList0"/>
    <w:pPr>
      <w:widowControl w:val="0"/>
    </w:pPr>
    <w:rPr>
      <w:rFonts w:ascii="Courier New" w:hAnsi="Courier New"/>
    </w:rPr>
  </w:style>
  <w:style w:type="character" w:customStyle="1" w:styleId="ConsPlusDocList0">
    <w:name w:val="ConsPlusDocList"/>
    <w:link w:val="ConsPlusDocList"/>
    <w:rPr>
      <w:rFonts w:ascii="Courier New" w:hAnsi="Courier New"/>
    </w:rPr>
  </w:style>
  <w:style w:type="paragraph" w:customStyle="1" w:styleId="1f3">
    <w:name w:val="Слабая ссылка1"/>
    <w:link w:val="1f4"/>
    <w:rPr>
      <w:i/>
      <w:color w:val="4E4F89"/>
    </w:rPr>
  </w:style>
  <w:style w:type="character" w:customStyle="1" w:styleId="1f4">
    <w:name w:val="Слабая ссылка1"/>
    <w:link w:val="1f3"/>
    <w:rPr>
      <w:i/>
      <w:color w:val="4E4F89"/>
    </w:rPr>
  </w:style>
  <w:style w:type="paragraph" w:customStyle="1" w:styleId="1f5">
    <w:name w:val="Основной шрифт абзаца1"/>
    <w:link w:val="1f6"/>
  </w:style>
  <w:style w:type="character" w:customStyle="1" w:styleId="1f6">
    <w:name w:val="Основной шрифт абзаца1"/>
    <w:link w:val="1f5"/>
  </w:style>
  <w:style w:type="paragraph" w:styleId="34">
    <w:name w:val="toc 3"/>
    <w:basedOn w:val="a"/>
    <w:next w:val="a"/>
    <w:link w:val="35"/>
    <w:uiPriority w:val="39"/>
    <w:pPr>
      <w:tabs>
        <w:tab w:val="left" w:pos="800"/>
        <w:tab w:val="right" w:leader="dot" w:pos="9638"/>
      </w:tabs>
      <w:spacing w:after="0"/>
      <w:ind w:firstLine="284"/>
    </w:pPr>
    <w:rPr>
      <w:rFonts w:ascii="Calibri" w:hAnsi="Calibri"/>
      <w:i/>
    </w:rPr>
  </w:style>
  <w:style w:type="character" w:customStyle="1" w:styleId="35">
    <w:name w:val="Оглавление 3 Знак"/>
    <w:basedOn w:val="10"/>
    <w:link w:val="34"/>
    <w:rPr>
      <w:rFonts w:ascii="Calibri" w:hAnsi="Calibri"/>
      <w:i/>
    </w:rPr>
  </w:style>
  <w:style w:type="paragraph" w:customStyle="1" w:styleId="afa">
    <w:name w:val="Верхний колонтитул четной страницы"/>
    <w:basedOn w:val="af6"/>
    <w:link w:val="afb"/>
  </w:style>
  <w:style w:type="character" w:customStyle="1" w:styleId="afb">
    <w:name w:val="Верхний колонтитул четной страницы"/>
    <w:basedOn w:val="af7"/>
    <w:link w:val="afa"/>
  </w:style>
  <w:style w:type="paragraph" w:customStyle="1" w:styleId="Subst">
    <w:name w:val="Subst"/>
    <w:link w:val="Subst0"/>
    <w:rPr>
      <w:b/>
      <w:i/>
    </w:rPr>
  </w:style>
  <w:style w:type="character" w:customStyle="1" w:styleId="Subst0">
    <w:name w:val="Subst"/>
    <w:link w:val="Subst"/>
    <w:rPr>
      <w:b/>
      <w:i/>
    </w:rPr>
  </w:style>
  <w:style w:type="paragraph" w:customStyle="1" w:styleId="1f7">
    <w:name w:val="Строгий1"/>
    <w:link w:val="1f8"/>
    <w:rPr>
      <w:b/>
    </w:rPr>
  </w:style>
  <w:style w:type="character" w:customStyle="1" w:styleId="1f8">
    <w:name w:val="Строгий1"/>
    <w:link w:val="1f7"/>
    <w:rPr>
      <w:b/>
    </w:rPr>
  </w:style>
  <w:style w:type="paragraph" w:styleId="afc">
    <w:name w:val="Balloon Text"/>
    <w:basedOn w:val="a"/>
    <w:link w:val="afd"/>
    <w:pPr>
      <w:spacing w:after="0" w:line="240" w:lineRule="auto"/>
    </w:pPr>
    <w:rPr>
      <w:rFonts w:ascii="Tahoma" w:hAnsi="Tahoma"/>
      <w:sz w:val="16"/>
    </w:rPr>
  </w:style>
  <w:style w:type="character" w:customStyle="1" w:styleId="afd">
    <w:name w:val="Текст выноски Знак"/>
    <w:basedOn w:val="10"/>
    <w:link w:val="afc"/>
    <w:rPr>
      <w:rFonts w:ascii="Tahoma" w:hAnsi="Tahoma"/>
      <w:sz w:val="16"/>
    </w:rPr>
  </w:style>
  <w:style w:type="paragraph" w:customStyle="1" w:styleId="1f9">
    <w:name w:val="Обычный1"/>
    <w:link w:val="1fa"/>
  </w:style>
  <w:style w:type="character" w:customStyle="1" w:styleId="1fa">
    <w:name w:val="Обычный1"/>
    <w:link w:val="1f9"/>
  </w:style>
  <w:style w:type="paragraph" w:customStyle="1" w:styleId="1fb">
    <w:name w:val="Замещающий текст1"/>
    <w:link w:val="1fc"/>
    <w:rPr>
      <w:color w:val="808080"/>
    </w:rPr>
  </w:style>
  <w:style w:type="character" w:customStyle="1" w:styleId="1fc">
    <w:name w:val="Замещающий текст1"/>
    <w:link w:val="1fb"/>
    <w:rPr>
      <w:color w:val="808080"/>
    </w:rPr>
  </w:style>
  <w:style w:type="paragraph" w:styleId="afe">
    <w:name w:val="TOC Heading"/>
    <w:basedOn w:val="11"/>
    <w:next w:val="a"/>
    <w:link w:val="aff"/>
    <w:pPr>
      <w:keepNext/>
      <w:keepLines/>
      <w:spacing w:before="480" w:after="0"/>
      <w:outlineLvl w:val="8"/>
    </w:pPr>
    <w:rPr>
      <w:rFonts w:ascii="Cambria" w:hAnsi="Cambria"/>
      <w:b w:val="0"/>
      <w:color w:val="365F91"/>
      <w:sz w:val="28"/>
    </w:rPr>
  </w:style>
  <w:style w:type="character" w:customStyle="1" w:styleId="aff">
    <w:name w:val="Заголовок оглавления Знак"/>
    <w:basedOn w:val="13"/>
    <w:link w:val="afe"/>
    <w:rPr>
      <w:rFonts w:ascii="Cambria" w:hAnsi="Cambria"/>
      <w:b w:val="0"/>
      <w:color w:val="365F91"/>
      <w:sz w:val="28"/>
    </w:rPr>
  </w:style>
  <w:style w:type="paragraph" w:customStyle="1" w:styleId="aff0">
    <w:name w:val="ГО текст после таблицы"/>
    <w:link w:val="aff1"/>
    <w:pPr>
      <w:spacing w:after="200" w:line="276" w:lineRule="auto"/>
    </w:pPr>
    <w:rPr>
      <w:rFonts w:ascii="Calibri" w:hAnsi="Calibri"/>
      <w:sz w:val="22"/>
    </w:rPr>
  </w:style>
  <w:style w:type="character" w:customStyle="1" w:styleId="aff1">
    <w:name w:val="ГО текст после таблицы"/>
    <w:link w:val="aff0"/>
    <w:rPr>
      <w:rFonts w:ascii="Calibri" w:hAnsi="Calibri"/>
      <w:sz w:val="22"/>
    </w:rPr>
  </w:style>
  <w:style w:type="paragraph" w:customStyle="1" w:styleId="SubHeading2">
    <w:name w:val="Sub Heading 2"/>
    <w:link w:val="SubHeading20"/>
    <w:pPr>
      <w:widowControl w:val="0"/>
      <w:spacing w:before="160" w:after="40"/>
    </w:pPr>
    <w:rPr>
      <w:sz w:val="22"/>
    </w:rPr>
  </w:style>
  <w:style w:type="character" w:customStyle="1" w:styleId="SubHeading20">
    <w:name w:val="Sub Heading 2"/>
    <w:link w:val="SubHeading2"/>
    <w:rPr>
      <w:sz w:val="22"/>
    </w:rPr>
  </w:style>
  <w:style w:type="paragraph" w:customStyle="1" w:styleId="210">
    <w:name w:val="Основной текст 21"/>
    <w:basedOn w:val="a"/>
    <w:link w:val="211"/>
    <w:pPr>
      <w:widowControl w:val="0"/>
      <w:spacing w:after="0" w:line="240" w:lineRule="auto"/>
      <w:jc w:val="both"/>
    </w:pPr>
  </w:style>
  <w:style w:type="character" w:customStyle="1" w:styleId="211">
    <w:name w:val="Основной текст 21"/>
    <w:basedOn w:val="10"/>
    <w:link w:val="210"/>
  </w:style>
  <w:style w:type="character" w:customStyle="1" w:styleId="50">
    <w:name w:val="Заголовок 5 Знак"/>
    <w:basedOn w:val="10"/>
    <w:link w:val="5"/>
    <w:rPr>
      <w:rFonts w:ascii="Verdana" w:hAnsi="Verdana"/>
      <w:b/>
      <w:color w:val="325F64"/>
    </w:rPr>
  </w:style>
  <w:style w:type="paragraph" w:customStyle="1" w:styleId="ThinDelim">
    <w:name w:val="Thin Delim"/>
    <w:link w:val="ThinDelim0"/>
    <w:pPr>
      <w:widowControl w:val="0"/>
    </w:pPr>
    <w:rPr>
      <w:sz w:val="16"/>
    </w:rPr>
  </w:style>
  <w:style w:type="character" w:customStyle="1" w:styleId="ThinDelim0">
    <w:name w:val="Thin Delim"/>
    <w:link w:val="ThinDelim"/>
    <w:rPr>
      <w:sz w:val="16"/>
    </w:rPr>
  </w:style>
  <w:style w:type="paragraph" w:customStyle="1" w:styleId="ConsPlusTitle">
    <w:name w:val="ConsPlusTitle"/>
    <w:link w:val="ConsPlusTitle0"/>
    <w:pPr>
      <w:widowControl w:val="0"/>
    </w:pPr>
    <w:rPr>
      <w:rFonts w:ascii="Calibri" w:hAnsi="Calibri"/>
      <w:b/>
      <w:sz w:val="22"/>
    </w:rPr>
  </w:style>
  <w:style w:type="character" w:customStyle="1" w:styleId="ConsPlusTitle0">
    <w:name w:val="ConsPlusTitle"/>
    <w:link w:val="ConsPlusTitle"/>
    <w:rPr>
      <w:rFonts w:ascii="Calibri" w:hAnsi="Calibri"/>
      <w:b/>
      <w:sz w:val="22"/>
    </w:rPr>
  </w:style>
  <w:style w:type="paragraph" w:customStyle="1" w:styleId="32">
    <w:name w:val="Основной шрифт абзаца3"/>
    <w:link w:val="aff2"/>
  </w:style>
  <w:style w:type="paragraph" w:styleId="aff2">
    <w:name w:val="footer"/>
    <w:basedOn w:val="a"/>
    <w:link w:val="aff3"/>
    <w:pPr>
      <w:tabs>
        <w:tab w:val="center" w:pos="4320"/>
        <w:tab w:val="right" w:pos="8640"/>
      </w:tabs>
    </w:pPr>
  </w:style>
  <w:style w:type="character" w:customStyle="1" w:styleId="aff3">
    <w:name w:val="Нижний колонтитул Знак"/>
    <w:basedOn w:val="10"/>
    <w:link w:val="aff2"/>
  </w:style>
  <w:style w:type="paragraph" w:customStyle="1" w:styleId="420">
    <w:name w:val="Заголовок №4 (2)"/>
    <w:basedOn w:val="a"/>
    <w:link w:val="421"/>
    <w:pPr>
      <w:spacing w:before="480" w:after="300" w:line="0" w:lineRule="atLeast"/>
      <w:outlineLvl w:val="3"/>
    </w:pPr>
    <w:rPr>
      <w:sz w:val="23"/>
    </w:rPr>
  </w:style>
  <w:style w:type="character" w:customStyle="1" w:styleId="421">
    <w:name w:val="Заголовок №4 (2)"/>
    <w:basedOn w:val="10"/>
    <w:link w:val="420"/>
    <w:rPr>
      <w:sz w:val="23"/>
    </w:rPr>
  </w:style>
  <w:style w:type="character" w:customStyle="1" w:styleId="13">
    <w:name w:val="Заголовок 1 Знак"/>
    <w:basedOn w:val="1f2"/>
    <w:link w:val="11"/>
    <w:rPr>
      <w:rFonts w:ascii="Verdana" w:hAnsi="Verdana"/>
      <w:b/>
      <w:color w:val="438086"/>
      <w:sz w:val="32"/>
    </w:rPr>
  </w:style>
  <w:style w:type="paragraph" w:customStyle="1" w:styleId="1fd">
    <w:name w:val="Текст примечания1"/>
    <w:basedOn w:val="a"/>
    <w:link w:val="1fe"/>
    <w:pPr>
      <w:spacing w:after="120" w:line="288" w:lineRule="auto"/>
    </w:pPr>
  </w:style>
  <w:style w:type="character" w:customStyle="1" w:styleId="1fe">
    <w:name w:val="Текст примечания1"/>
    <w:basedOn w:val="10"/>
    <w:link w:val="1fd"/>
  </w:style>
  <w:style w:type="paragraph" w:customStyle="1" w:styleId="27">
    <w:name w:val="Гиперссылка2"/>
    <w:link w:val="aff4"/>
    <w:rPr>
      <w:color w:val="0000FF"/>
      <w:u w:val="single"/>
    </w:rPr>
  </w:style>
  <w:style w:type="character" w:styleId="aff4">
    <w:name w:val="Hyperlink"/>
    <w:link w:val="27"/>
    <w:rPr>
      <w:color w:val="0000FF"/>
      <w:u w:val="single"/>
    </w:rPr>
  </w:style>
  <w:style w:type="paragraph" w:customStyle="1" w:styleId="Footnote">
    <w:name w:val="Footnote"/>
    <w:basedOn w:val="a"/>
    <w:link w:val="Footnote0"/>
    <w:pPr>
      <w:spacing w:after="0" w:line="240" w:lineRule="auto"/>
      <w:jc w:val="center"/>
    </w:pPr>
  </w:style>
  <w:style w:type="character" w:customStyle="1" w:styleId="Footnote0">
    <w:name w:val="Footnote"/>
    <w:basedOn w:val="10"/>
    <w:link w:val="Footnote"/>
  </w:style>
  <w:style w:type="character" w:customStyle="1" w:styleId="80">
    <w:name w:val="Заголовок 8 Знак"/>
    <w:basedOn w:val="10"/>
    <w:link w:val="8"/>
    <w:rPr>
      <w:rFonts w:ascii="Verdana" w:hAnsi="Verdana"/>
      <w:b/>
      <w:i/>
      <w:color w:val="53548A"/>
    </w:rPr>
  </w:style>
  <w:style w:type="paragraph" w:styleId="1ff">
    <w:name w:val="toc 1"/>
    <w:basedOn w:val="a"/>
    <w:next w:val="a"/>
    <w:link w:val="1ff0"/>
    <w:uiPriority w:val="39"/>
    <w:pPr>
      <w:spacing w:before="120" w:after="120"/>
    </w:pPr>
    <w:rPr>
      <w:rFonts w:ascii="Calibri" w:hAnsi="Calibri"/>
      <w:b/>
      <w:caps/>
    </w:rPr>
  </w:style>
  <w:style w:type="character" w:customStyle="1" w:styleId="1ff0">
    <w:name w:val="Оглавление 1 Знак"/>
    <w:basedOn w:val="10"/>
    <w:link w:val="1ff"/>
    <w:rPr>
      <w:rFonts w:ascii="Calibri" w:hAnsi="Calibri"/>
      <w:b/>
      <w:caps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customStyle="1" w:styleId="aff5">
    <w:name w:val="Таблицы (моноширинный)"/>
    <w:basedOn w:val="a"/>
    <w:next w:val="a"/>
    <w:link w:val="aff6"/>
    <w:pPr>
      <w:widowControl w:val="0"/>
      <w:spacing w:after="0" w:line="240" w:lineRule="auto"/>
      <w:jc w:val="both"/>
    </w:pPr>
    <w:rPr>
      <w:rFonts w:ascii="Courier New" w:hAnsi="Courier New"/>
    </w:rPr>
  </w:style>
  <w:style w:type="character" w:customStyle="1" w:styleId="aff6">
    <w:name w:val="Таблицы (моноширинный)"/>
    <w:basedOn w:val="10"/>
    <w:link w:val="aff5"/>
    <w:rPr>
      <w:rFonts w:ascii="Courier New" w:hAnsi="Courier New"/>
    </w:rPr>
  </w:style>
  <w:style w:type="paragraph" w:styleId="91">
    <w:name w:val="toc 9"/>
    <w:basedOn w:val="a"/>
    <w:next w:val="a"/>
    <w:link w:val="92"/>
    <w:uiPriority w:val="39"/>
    <w:pPr>
      <w:spacing w:after="0"/>
      <w:ind w:left="1600"/>
    </w:pPr>
    <w:rPr>
      <w:rFonts w:ascii="Calibri" w:hAnsi="Calibri"/>
      <w:sz w:val="18"/>
    </w:rPr>
  </w:style>
  <w:style w:type="character" w:customStyle="1" w:styleId="92">
    <w:name w:val="Оглавление 9 Знак"/>
    <w:basedOn w:val="10"/>
    <w:link w:val="91"/>
    <w:rPr>
      <w:rFonts w:ascii="Calibri" w:hAnsi="Calibri"/>
      <w:sz w:val="18"/>
    </w:rPr>
  </w:style>
  <w:style w:type="paragraph" w:customStyle="1" w:styleId="aff7">
    <w:name w:val="Обычный___"/>
    <w:basedOn w:val="a"/>
    <w:link w:val="aff8"/>
    <w:pPr>
      <w:widowControl w:val="0"/>
      <w:tabs>
        <w:tab w:val="left" w:pos="709"/>
      </w:tabs>
      <w:spacing w:after="0" w:line="240" w:lineRule="auto"/>
      <w:ind w:firstLine="709"/>
      <w:contextualSpacing/>
      <w:jc w:val="both"/>
    </w:pPr>
    <w:rPr>
      <w:sz w:val="28"/>
    </w:rPr>
  </w:style>
  <w:style w:type="character" w:customStyle="1" w:styleId="aff8">
    <w:name w:val="Обычный___"/>
    <w:basedOn w:val="10"/>
    <w:link w:val="aff7"/>
    <w:rPr>
      <w:sz w:val="28"/>
    </w:rPr>
  </w:style>
  <w:style w:type="paragraph" w:customStyle="1" w:styleId="aff9">
    <w:name w:val="Основной текст + Полужирный;Курсив"/>
    <w:link w:val="affa"/>
    <w:rPr>
      <w:b/>
      <w:i/>
      <w:sz w:val="23"/>
      <w:highlight w:val="white"/>
    </w:rPr>
  </w:style>
  <w:style w:type="character" w:customStyle="1" w:styleId="affa">
    <w:name w:val="Основной текст + Полужирный;Курсив"/>
    <w:link w:val="aff9"/>
    <w:rPr>
      <w:b/>
      <w:i/>
      <w:sz w:val="23"/>
      <w:highlight w:val="white"/>
    </w:rPr>
  </w:style>
  <w:style w:type="paragraph" w:styleId="affb">
    <w:name w:val="No Spacing"/>
    <w:basedOn w:val="a"/>
    <w:link w:val="affc"/>
    <w:pPr>
      <w:spacing w:after="0" w:line="240" w:lineRule="auto"/>
    </w:pPr>
  </w:style>
  <w:style w:type="character" w:customStyle="1" w:styleId="affc">
    <w:name w:val="Без интервала Знак"/>
    <w:basedOn w:val="10"/>
    <w:link w:val="affb"/>
  </w:style>
  <w:style w:type="paragraph" w:styleId="ab">
    <w:name w:val="List Paragraph"/>
    <w:basedOn w:val="a"/>
    <w:link w:val="ac"/>
    <w:pPr>
      <w:ind w:left="720"/>
      <w:contextualSpacing/>
    </w:pPr>
  </w:style>
  <w:style w:type="character" w:customStyle="1" w:styleId="ac">
    <w:name w:val="Абзац списка Знак"/>
    <w:basedOn w:val="10"/>
    <w:link w:val="ab"/>
  </w:style>
  <w:style w:type="paragraph" w:customStyle="1" w:styleId="28">
    <w:name w:val="Гиперссылка2"/>
    <w:link w:val="29"/>
    <w:rPr>
      <w:color w:val="0000FF"/>
      <w:u w:val="single"/>
    </w:rPr>
  </w:style>
  <w:style w:type="character" w:customStyle="1" w:styleId="29">
    <w:name w:val="Гиперссылка2"/>
    <w:link w:val="28"/>
    <w:rPr>
      <w:color w:val="0000FF"/>
      <w:u w:val="single"/>
    </w:rPr>
  </w:style>
  <w:style w:type="paragraph" w:customStyle="1" w:styleId="affd">
    <w:name w:val="Основной текст_"/>
    <w:link w:val="affe"/>
    <w:rPr>
      <w:sz w:val="23"/>
      <w:highlight w:val="white"/>
    </w:rPr>
  </w:style>
  <w:style w:type="character" w:customStyle="1" w:styleId="affe">
    <w:name w:val="Основной текст_"/>
    <w:link w:val="affd"/>
    <w:rPr>
      <w:sz w:val="23"/>
      <w:highlight w:val="white"/>
    </w:rPr>
  </w:style>
  <w:style w:type="paragraph" w:customStyle="1" w:styleId="Style24">
    <w:name w:val="Style24"/>
    <w:basedOn w:val="a"/>
    <w:link w:val="Style240"/>
    <w:pPr>
      <w:widowControl w:val="0"/>
      <w:spacing w:after="0" w:line="485" w:lineRule="exact"/>
      <w:ind w:firstLine="854"/>
    </w:pPr>
    <w:rPr>
      <w:sz w:val="24"/>
    </w:rPr>
  </w:style>
  <w:style w:type="character" w:customStyle="1" w:styleId="Style240">
    <w:name w:val="Style24"/>
    <w:basedOn w:val="10"/>
    <w:link w:val="Style24"/>
    <w:rPr>
      <w:sz w:val="24"/>
    </w:rPr>
  </w:style>
  <w:style w:type="paragraph" w:customStyle="1" w:styleId="93">
    <w:name w:val="Основной текст (9)"/>
    <w:basedOn w:val="a"/>
    <w:link w:val="94"/>
    <w:pPr>
      <w:spacing w:after="0" w:line="317" w:lineRule="exact"/>
      <w:ind w:firstLine="560"/>
      <w:jc w:val="both"/>
    </w:pPr>
    <w:rPr>
      <w:sz w:val="23"/>
    </w:rPr>
  </w:style>
  <w:style w:type="character" w:customStyle="1" w:styleId="94">
    <w:name w:val="Основной текст (9)"/>
    <w:basedOn w:val="10"/>
    <w:link w:val="93"/>
    <w:rPr>
      <w:sz w:val="23"/>
    </w:rPr>
  </w:style>
  <w:style w:type="paragraph" w:styleId="81">
    <w:name w:val="toc 8"/>
    <w:basedOn w:val="a"/>
    <w:next w:val="a"/>
    <w:link w:val="82"/>
    <w:uiPriority w:val="39"/>
    <w:pPr>
      <w:spacing w:after="0"/>
      <w:ind w:left="1400"/>
    </w:pPr>
    <w:rPr>
      <w:rFonts w:ascii="Calibri" w:hAnsi="Calibri"/>
      <w:sz w:val="18"/>
    </w:rPr>
  </w:style>
  <w:style w:type="character" w:customStyle="1" w:styleId="82">
    <w:name w:val="Оглавление 8 Знак"/>
    <w:basedOn w:val="10"/>
    <w:link w:val="81"/>
    <w:rPr>
      <w:rFonts w:ascii="Calibri" w:hAnsi="Calibri"/>
      <w:sz w:val="18"/>
    </w:rPr>
  </w:style>
  <w:style w:type="paragraph" w:customStyle="1" w:styleId="ConsNormal">
    <w:name w:val="ConsNormal"/>
    <w:link w:val="ConsNormal0"/>
    <w:pPr>
      <w:jc w:val="both"/>
    </w:pPr>
    <w:rPr>
      <w:rFonts w:ascii="Courier New" w:hAnsi="Courier New"/>
    </w:rPr>
  </w:style>
  <w:style w:type="character" w:customStyle="1" w:styleId="ConsNormal0">
    <w:name w:val="ConsNormal"/>
    <w:link w:val="ConsNormal"/>
    <w:rPr>
      <w:rFonts w:ascii="Courier New" w:hAnsi="Courier New"/>
    </w:rPr>
  </w:style>
  <w:style w:type="paragraph" w:customStyle="1" w:styleId="FontStyle40">
    <w:name w:val="Font Style40"/>
    <w:link w:val="FontStyle400"/>
    <w:rPr>
      <w:sz w:val="18"/>
    </w:rPr>
  </w:style>
  <w:style w:type="character" w:customStyle="1" w:styleId="FontStyle400">
    <w:name w:val="Font Style40"/>
    <w:link w:val="FontStyle40"/>
    <w:rPr>
      <w:sz w:val="18"/>
    </w:rPr>
  </w:style>
  <w:style w:type="paragraph" w:customStyle="1" w:styleId="Style27">
    <w:name w:val="Style27"/>
    <w:basedOn w:val="a"/>
    <w:link w:val="Style270"/>
    <w:pPr>
      <w:widowControl w:val="0"/>
      <w:spacing w:after="0" w:line="240" w:lineRule="auto"/>
    </w:pPr>
    <w:rPr>
      <w:sz w:val="24"/>
    </w:rPr>
  </w:style>
  <w:style w:type="character" w:customStyle="1" w:styleId="Style270">
    <w:name w:val="Style27"/>
    <w:basedOn w:val="10"/>
    <w:link w:val="Style27"/>
    <w:rPr>
      <w:sz w:val="24"/>
    </w:rPr>
  </w:style>
  <w:style w:type="paragraph" w:styleId="51">
    <w:name w:val="toc 5"/>
    <w:basedOn w:val="a"/>
    <w:next w:val="a"/>
    <w:link w:val="52"/>
    <w:uiPriority w:val="39"/>
    <w:pPr>
      <w:spacing w:after="0"/>
      <w:ind w:left="800"/>
    </w:pPr>
    <w:rPr>
      <w:rFonts w:ascii="Calibri" w:hAnsi="Calibri"/>
      <w:sz w:val="18"/>
    </w:rPr>
  </w:style>
  <w:style w:type="character" w:customStyle="1" w:styleId="52">
    <w:name w:val="Оглавление 5 Знак"/>
    <w:basedOn w:val="10"/>
    <w:link w:val="51"/>
    <w:rPr>
      <w:rFonts w:ascii="Calibri" w:hAnsi="Calibri"/>
      <w:sz w:val="18"/>
    </w:rPr>
  </w:style>
  <w:style w:type="paragraph" w:customStyle="1" w:styleId="1ff1">
    <w:name w:val="Знак примечания1"/>
    <w:link w:val="1ff2"/>
    <w:rPr>
      <w:sz w:val="16"/>
    </w:rPr>
  </w:style>
  <w:style w:type="character" w:customStyle="1" w:styleId="1ff2">
    <w:name w:val="Знак примечания1"/>
    <w:link w:val="1ff1"/>
    <w:rPr>
      <w:sz w:val="16"/>
    </w:rPr>
  </w:style>
  <w:style w:type="paragraph" w:customStyle="1" w:styleId="2">
    <w:name w:val="Абзац списка2"/>
    <w:basedOn w:val="ab"/>
    <w:link w:val="2a"/>
    <w:pPr>
      <w:numPr>
        <w:ilvl w:val="1"/>
        <w:numId w:val="19"/>
      </w:numPr>
      <w:tabs>
        <w:tab w:val="left" w:pos="1134"/>
      </w:tabs>
      <w:spacing w:after="60" w:line="240" w:lineRule="auto"/>
      <w:contextualSpacing w:val="0"/>
      <w:jc w:val="both"/>
    </w:pPr>
    <w:rPr>
      <w:sz w:val="28"/>
    </w:rPr>
  </w:style>
  <w:style w:type="character" w:customStyle="1" w:styleId="2a">
    <w:name w:val="Абзац списка2"/>
    <w:basedOn w:val="ac"/>
    <w:link w:val="2"/>
    <w:rPr>
      <w:sz w:val="28"/>
    </w:rPr>
  </w:style>
  <w:style w:type="paragraph" w:customStyle="1" w:styleId="afff">
    <w:name w:val="Верхний колонтитул нечетной страницы"/>
    <w:basedOn w:val="af6"/>
    <w:link w:val="afff0"/>
    <w:pPr>
      <w:jc w:val="right"/>
    </w:pPr>
  </w:style>
  <w:style w:type="character" w:customStyle="1" w:styleId="afff0">
    <w:name w:val="Верхний колонтитул нечетной страницы"/>
    <w:basedOn w:val="af7"/>
    <w:link w:val="afff"/>
  </w:style>
  <w:style w:type="paragraph" w:styleId="2b">
    <w:name w:val="Body Text Indent 2"/>
    <w:basedOn w:val="a"/>
    <w:link w:val="2c"/>
    <w:pPr>
      <w:spacing w:after="120" w:line="480" w:lineRule="auto"/>
      <w:ind w:left="283"/>
    </w:pPr>
  </w:style>
  <w:style w:type="character" w:customStyle="1" w:styleId="2c">
    <w:name w:val="Основной текст с отступом 2 Знак"/>
    <w:basedOn w:val="10"/>
    <w:link w:val="2b"/>
  </w:style>
  <w:style w:type="paragraph" w:styleId="2d">
    <w:name w:val="Body Text 2"/>
    <w:basedOn w:val="a"/>
    <w:link w:val="2e"/>
    <w:pPr>
      <w:spacing w:after="120" w:line="480" w:lineRule="auto"/>
    </w:pPr>
  </w:style>
  <w:style w:type="character" w:customStyle="1" w:styleId="2e">
    <w:name w:val="Основной текст 2 Знак"/>
    <w:basedOn w:val="10"/>
    <w:link w:val="2d"/>
  </w:style>
  <w:style w:type="paragraph" w:styleId="afff1">
    <w:name w:val="caption"/>
    <w:basedOn w:val="a"/>
    <w:next w:val="a"/>
    <w:link w:val="afff2"/>
    <w:pPr>
      <w:spacing w:line="240" w:lineRule="auto"/>
    </w:pPr>
    <w:rPr>
      <w:rFonts w:ascii="Calibri" w:hAnsi="Calibri"/>
      <w:i/>
      <w:color w:val="44546A"/>
      <w:sz w:val="18"/>
    </w:rPr>
  </w:style>
  <w:style w:type="character" w:customStyle="1" w:styleId="afff2">
    <w:name w:val="Название объекта Знак"/>
    <w:basedOn w:val="10"/>
    <w:link w:val="afff1"/>
    <w:rPr>
      <w:rFonts w:ascii="Calibri" w:hAnsi="Calibri"/>
      <w:i/>
      <w:color w:val="44546A"/>
      <w:sz w:val="18"/>
    </w:rPr>
  </w:style>
  <w:style w:type="paragraph" w:customStyle="1" w:styleId="Style16">
    <w:name w:val="Style16"/>
    <w:basedOn w:val="a"/>
    <w:link w:val="Style160"/>
    <w:pPr>
      <w:widowControl w:val="0"/>
      <w:spacing w:after="0" w:line="240" w:lineRule="auto"/>
    </w:pPr>
    <w:rPr>
      <w:sz w:val="24"/>
    </w:rPr>
  </w:style>
  <w:style w:type="character" w:customStyle="1" w:styleId="Style160">
    <w:name w:val="Style16"/>
    <w:basedOn w:val="10"/>
    <w:link w:val="Style16"/>
    <w:rPr>
      <w:sz w:val="24"/>
    </w:rPr>
  </w:style>
  <w:style w:type="paragraph" w:customStyle="1" w:styleId="SUBST1">
    <w:name w:val="__SUBST"/>
    <w:link w:val="SUBST2"/>
    <w:rPr>
      <w:b/>
      <w:i/>
    </w:rPr>
  </w:style>
  <w:style w:type="character" w:customStyle="1" w:styleId="SUBST2">
    <w:name w:val="__SUBST"/>
    <w:link w:val="SUBST1"/>
    <w:rPr>
      <w:b/>
      <w:i/>
    </w:rPr>
  </w:style>
  <w:style w:type="paragraph" w:styleId="afff3">
    <w:name w:val="Subtitle"/>
    <w:basedOn w:val="a"/>
    <w:link w:val="afff4"/>
    <w:uiPriority w:val="11"/>
    <w:qFormat/>
    <w:pPr>
      <w:spacing w:after="480"/>
    </w:pPr>
    <w:rPr>
      <w:i/>
      <w:color w:val="424456"/>
      <w:sz w:val="24"/>
    </w:rPr>
  </w:style>
  <w:style w:type="character" w:customStyle="1" w:styleId="afff4">
    <w:name w:val="Подзаголовок Знак"/>
    <w:basedOn w:val="10"/>
    <w:link w:val="afff3"/>
    <w:rPr>
      <w:i/>
      <w:color w:val="424456"/>
      <w:sz w:val="24"/>
    </w:rPr>
  </w:style>
  <w:style w:type="paragraph" w:customStyle="1" w:styleId="1ff3">
    <w:name w:val="Сильное выделение1"/>
    <w:link w:val="1ff4"/>
    <w:rPr>
      <w:b/>
      <w:i/>
      <w:caps/>
      <w:color w:val="438086"/>
      <w:spacing w:val="5"/>
    </w:rPr>
  </w:style>
  <w:style w:type="character" w:customStyle="1" w:styleId="1ff4">
    <w:name w:val="Сильное выделение1"/>
    <w:link w:val="1ff3"/>
    <w:rPr>
      <w:b/>
      <w:i/>
      <w:caps/>
      <w:color w:val="438086"/>
      <w:spacing w:val="5"/>
    </w:rPr>
  </w:style>
  <w:style w:type="paragraph" w:customStyle="1" w:styleId="FontStyle39">
    <w:name w:val="Font Style39"/>
    <w:link w:val="FontStyle390"/>
    <w:rPr>
      <w:sz w:val="24"/>
    </w:rPr>
  </w:style>
  <w:style w:type="character" w:customStyle="1" w:styleId="FontStyle390">
    <w:name w:val="Font Style39"/>
    <w:link w:val="FontStyle39"/>
    <w:rPr>
      <w:sz w:val="24"/>
    </w:rPr>
  </w:style>
  <w:style w:type="paragraph" w:styleId="afff5">
    <w:name w:val="Title"/>
    <w:basedOn w:val="a"/>
    <w:link w:val="afff6"/>
    <w:uiPriority w:val="10"/>
    <w:qFormat/>
    <w:pPr>
      <w:spacing w:before="400"/>
    </w:pPr>
    <w:rPr>
      <w:rFonts w:ascii="Verdana" w:hAnsi="Verdana"/>
      <w:color w:val="3E3E67"/>
      <w:sz w:val="56"/>
    </w:rPr>
  </w:style>
  <w:style w:type="character" w:customStyle="1" w:styleId="afff6">
    <w:name w:val="Заголовок Знак"/>
    <w:basedOn w:val="10"/>
    <w:link w:val="afff5"/>
    <w:rPr>
      <w:rFonts w:ascii="Verdana" w:hAnsi="Verdana"/>
      <w:color w:val="3E3E67"/>
      <w:sz w:val="56"/>
    </w:rPr>
  </w:style>
  <w:style w:type="character" w:customStyle="1" w:styleId="40">
    <w:name w:val="Заголовок 4 Знак"/>
    <w:basedOn w:val="10"/>
    <w:link w:val="4"/>
    <w:rPr>
      <w:rFonts w:ascii="Verdana" w:hAnsi="Verdana"/>
      <w:i/>
      <w:color w:val="438086"/>
    </w:rPr>
  </w:style>
  <w:style w:type="paragraph" w:customStyle="1" w:styleId="2f">
    <w:name w:val="Основной текст (2)"/>
    <w:link w:val="2f0"/>
    <w:rPr>
      <w:sz w:val="21"/>
    </w:rPr>
  </w:style>
  <w:style w:type="character" w:customStyle="1" w:styleId="2f0">
    <w:name w:val="Основной текст (2)"/>
    <w:link w:val="2f"/>
    <w:rPr>
      <w:sz w:val="21"/>
    </w:rPr>
  </w:style>
  <w:style w:type="paragraph" w:styleId="afff7">
    <w:name w:val="Normal Indent"/>
    <w:basedOn w:val="a"/>
    <w:link w:val="afff8"/>
    <w:pPr>
      <w:ind w:left="720"/>
      <w:contextualSpacing/>
    </w:pPr>
  </w:style>
  <w:style w:type="character" w:customStyle="1" w:styleId="afff8">
    <w:name w:val="Обычный отступ Знак"/>
    <w:basedOn w:val="10"/>
    <w:link w:val="afff7"/>
  </w:style>
  <w:style w:type="paragraph" w:customStyle="1" w:styleId="20">
    <w:name w:val="Маркер 2"/>
    <w:basedOn w:val="ab"/>
    <w:link w:val="2f1"/>
    <w:pPr>
      <w:numPr>
        <w:ilvl w:val="1"/>
        <w:numId w:val="18"/>
      </w:numPr>
      <w:spacing w:after="0"/>
    </w:pPr>
  </w:style>
  <w:style w:type="character" w:customStyle="1" w:styleId="2f1">
    <w:name w:val="Маркер 2"/>
    <w:basedOn w:val="ac"/>
    <w:link w:val="20"/>
  </w:style>
  <w:style w:type="character" w:customStyle="1" w:styleId="22">
    <w:name w:val="Заголовок 2 Знак"/>
    <w:basedOn w:val="10"/>
    <w:link w:val="21"/>
    <w:rPr>
      <w:rFonts w:ascii="Verdana" w:hAnsi="Verdana"/>
      <w:b/>
      <w:i/>
      <w:color w:val="438086"/>
      <w:sz w:val="28"/>
    </w:rPr>
  </w:style>
  <w:style w:type="paragraph" w:customStyle="1" w:styleId="36">
    <w:name w:val="Основной текст (3)"/>
    <w:link w:val="37"/>
    <w:rPr>
      <w:sz w:val="51"/>
    </w:rPr>
  </w:style>
  <w:style w:type="character" w:customStyle="1" w:styleId="37">
    <w:name w:val="Основной текст (3)"/>
    <w:link w:val="36"/>
    <w:rPr>
      <w:sz w:val="51"/>
    </w:rPr>
  </w:style>
  <w:style w:type="paragraph" w:customStyle="1" w:styleId="1ff5">
    <w:name w:val="Сильная ссылка1"/>
    <w:link w:val="1ff6"/>
    <w:rPr>
      <w:b/>
      <w:i/>
      <w:caps/>
      <w:color w:val="4E4F89"/>
      <w:spacing w:val="5"/>
    </w:rPr>
  </w:style>
  <w:style w:type="character" w:customStyle="1" w:styleId="1ff6">
    <w:name w:val="Сильная ссылка1"/>
    <w:link w:val="1ff5"/>
    <w:rPr>
      <w:b/>
      <w:i/>
      <w:caps/>
      <w:color w:val="4E4F89"/>
      <w:spacing w:val="5"/>
    </w:rPr>
  </w:style>
  <w:style w:type="paragraph" w:customStyle="1" w:styleId="Style23">
    <w:name w:val="Style23"/>
    <w:basedOn w:val="a"/>
    <w:link w:val="Style230"/>
    <w:pPr>
      <w:widowControl w:val="0"/>
      <w:spacing w:after="0" w:line="230" w:lineRule="exact"/>
    </w:pPr>
    <w:rPr>
      <w:sz w:val="24"/>
    </w:rPr>
  </w:style>
  <w:style w:type="character" w:customStyle="1" w:styleId="Style230">
    <w:name w:val="Style23"/>
    <w:basedOn w:val="10"/>
    <w:link w:val="Style23"/>
    <w:rPr>
      <w:sz w:val="24"/>
    </w:rPr>
  </w:style>
  <w:style w:type="paragraph" w:customStyle="1" w:styleId="73">
    <w:name w:val="Основной текст (7)"/>
    <w:link w:val="74"/>
    <w:rPr>
      <w:sz w:val="23"/>
      <w:u w:val="single"/>
    </w:rPr>
  </w:style>
  <w:style w:type="character" w:customStyle="1" w:styleId="74">
    <w:name w:val="Основной текст (7)"/>
    <w:link w:val="73"/>
    <w:rPr>
      <w:sz w:val="23"/>
      <w:u w:val="single"/>
    </w:rPr>
  </w:style>
  <w:style w:type="paragraph" w:customStyle="1" w:styleId="afff9">
    <w:name w:val="ГО текст после таблицы Знак Знак Знак"/>
    <w:basedOn w:val="2b"/>
    <w:link w:val="afffa"/>
    <w:pPr>
      <w:tabs>
        <w:tab w:val="left" w:pos="0"/>
        <w:tab w:val="left" w:pos="540"/>
      </w:tabs>
      <w:spacing w:before="120" w:after="0" w:line="240" w:lineRule="auto"/>
      <w:ind w:left="0" w:firstLine="709"/>
      <w:jc w:val="both"/>
    </w:pPr>
    <w:rPr>
      <w:sz w:val="24"/>
    </w:rPr>
  </w:style>
  <w:style w:type="character" w:customStyle="1" w:styleId="afffa">
    <w:name w:val="ГО текст после таблицы Знак Знак Знак"/>
    <w:basedOn w:val="2c"/>
    <w:link w:val="afff9"/>
    <w:rPr>
      <w:sz w:val="24"/>
    </w:rPr>
  </w:style>
  <w:style w:type="paragraph" w:customStyle="1" w:styleId="FontStyle363">
    <w:name w:val="Font Style363"/>
    <w:link w:val="FontStyle3630"/>
  </w:style>
  <w:style w:type="character" w:customStyle="1" w:styleId="FontStyle3630">
    <w:name w:val="Font Style363"/>
    <w:link w:val="FontStyle363"/>
  </w:style>
  <w:style w:type="character" w:customStyle="1" w:styleId="60">
    <w:name w:val="Заголовок 6 Знак"/>
    <w:basedOn w:val="10"/>
    <w:link w:val="6"/>
    <w:rPr>
      <w:rFonts w:ascii="Verdana" w:hAnsi="Verdana"/>
      <w:b/>
      <w:i/>
      <w:color w:val="325F64"/>
    </w:rPr>
  </w:style>
  <w:style w:type="paragraph" w:customStyle="1" w:styleId="1ff7">
    <w:name w:val="Название книги1"/>
    <w:link w:val="1ff8"/>
    <w:rPr>
      <w:i/>
    </w:rPr>
  </w:style>
  <w:style w:type="character" w:customStyle="1" w:styleId="1ff8">
    <w:name w:val="Название книги1"/>
    <w:link w:val="1ff7"/>
    <w:rPr>
      <w:i/>
    </w:rPr>
  </w:style>
  <w:style w:type="paragraph" w:customStyle="1" w:styleId="Style22">
    <w:name w:val="Style22"/>
    <w:basedOn w:val="a"/>
    <w:link w:val="Style220"/>
    <w:pPr>
      <w:widowControl w:val="0"/>
      <w:spacing w:after="0" w:line="490" w:lineRule="exact"/>
      <w:ind w:firstLine="1133"/>
      <w:jc w:val="both"/>
    </w:pPr>
    <w:rPr>
      <w:sz w:val="24"/>
    </w:rPr>
  </w:style>
  <w:style w:type="character" w:customStyle="1" w:styleId="Style220">
    <w:name w:val="Style22"/>
    <w:basedOn w:val="10"/>
    <w:link w:val="Style22"/>
    <w:rPr>
      <w:sz w:val="24"/>
    </w:rPr>
  </w:style>
  <w:style w:type="table" w:styleId="afffb">
    <w:name w:val="Table Grid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1D0DD12F29BEB98AD7564E4F780C6BF0FF1BCE928A18371B9464AF3A86471D7CE498E59AE06642457B4F1E61DB71B16FC2C4C06276357DC40d2L" TargetMode="External"/><Relationship Id="rId13" Type="http://schemas.openxmlformats.org/officeDocument/2006/relationships/hyperlink" Target="https://www.audit-it.ru/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hyperlink" Target="consultantplus://offline/ref=31D0DD12F29BEB98AD7564E4F780C6BF0FF1BCE928A18371B9464AF3A86471D7CE498E59AE06642454B4F1E61DB71B16FC2C4C06276357DC40d2L" TargetMode="External"/><Relationship Id="rId12" Type="http://schemas.openxmlformats.org/officeDocument/2006/relationships/hyperlink" Target="https://www.audit-it.ru/inform/avdeev/" TargetMode="External"/><Relationship Id="rId17" Type="http://schemas.openxmlformats.org/officeDocument/2006/relationships/hyperlink" Target="mailto:office_sus@titan2.ru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191560A263A3D2EB5FB521021ADE0047F9086F92DF905D4222AEE911B011FB40B4FCE905CE34B09C693705313459LBM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tadviser.ru/index.php/%D0%9A%D0%B8%D1%82%D0%B0%D0%B9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spark-interfax.ru/map/leningradskaya-oblast#pos-85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tadviser.ru/index.php/%D0%A1%D1%82%D1%80%D0%BE%D0%B8%D1%82%D0%B5%D0%BB%D1%8C%D1%81%D1%82%D0%B2%D0%BE_%D0%B8_%D0%BF%D1%80%D0%BE%D0%BC%D1%8B%D1%88%D0%BB%D0%B5%D0%BD%D0%BD%D0%BE%D1%81%D1%82%D1%8C_%D1%81%D1%82%D1%80%D0%BE%D0%B8%D1%82%D0%B5%D0%BB%D1%8C%D0%BD%D1%8B%D1%85_%D0%BC%D0%B0%D1%82%D0%B5%D1%80%D0%B8%D0%B0%D0%BB%D0%BE%D0%B2" TargetMode="External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mailto:adm@oao-sus.ru" TargetMode="External"/><Relationship Id="rId14" Type="http://schemas.openxmlformats.org/officeDocument/2006/relationships/hyperlink" Target="https://spark-interfax.ru/map/rossiya/3#pos-5952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7105</Words>
  <Characters>40505</Characters>
  <Application>Microsoft Office Word</Application>
  <DocSecurity>0</DocSecurity>
  <Lines>337</Lines>
  <Paragraphs>95</Paragraphs>
  <ScaleCrop>false</ScaleCrop>
  <Company>T2</Company>
  <LinksUpToDate>false</LinksUpToDate>
  <CharactersWithSpaces>47515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Комар Марина Геннадьевна</cp:lastModifiedBy>
  <cp:revision>2</cp:revision>
  <dcterms:created xsi:type="dcterms:W3CDTF">2025-07-03T12:16:00Z</dcterms:created>
  <dcterms:modified xsi:type="dcterms:W3CDTF">2025-07-03T13:23:00Z</dcterms:modified>
</cp:coreProperties>
</file>