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3000000">
      <w:pPr>
        <w:spacing w:after="240"/>
        <w:ind w:firstLine="0" w:left="5897"/>
      </w:pPr>
      <w:r>
        <w:t>Приложение 3</w:t>
      </w:r>
      <w:r>
        <w:br/>
      </w:r>
      <w:r>
        <w:t>к Положению Банка России</w:t>
      </w:r>
      <w:r>
        <w:br/>
      </w:r>
      <w:r>
        <w:t>от 27 марта 2020 года № 714-П</w:t>
      </w:r>
      <w:r>
        <w:br/>
      </w:r>
      <w:r>
        <w:t>«О раскрытии информации эмитентами эмиссионных ценных бумаг»</w:t>
      </w:r>
    </w:p>
    <w:p w14:paraId="04000000">
      <w:pPr>
        <w:spacing w:before="1320"/>
        <w:ind/>
        <w:jc w:val="center"/>
        <w:rPr>
          <w:b w:val="1"/>
          <w:sz w:val="34"/>
        </w:rPr>
      </w:pPr>
      <w:r>
        <w:rPr>
          <w:b w:val="1"/>
          <w:sz w:val="34"/>
        </w:rPr>
        <w:t xml:space="preserve">ОТЧЕТ ЭМИТЕНТА </w:t>
      </w:r>
      <w:r>
        <w:rPr>
          <w:b w:val="1"/>
          <w:sz w:val="34"/>
        </w:rPr>
        <w:br/>
      </w:r>
      <w:r>
        <w:rPr>
          <w:b w:val="1"/>
          <w:sz w:val="34"/>
        </w:rPr>
        <w:t>ЭМИССИОННЫХ ЦЕННЫХ БУМАГ</w:t>
      </w:r>
    </w:p>
    <w:p w14:paraId="05000000">
      <w:pPr>
        <w:rPr>
          <w:sz w:val="28"/>
        </w:rPr>
      </w:pPr>
      <w:r>
        <w:rPr>
          <w:b w:val="1"/>
          <w:i w:val="1"/>
          <w:sz w:val="28"/>
        </w:rPr>
        <w:t>Публичное акционерное общество «Северное управление строительства»</w:t>
      </w:r>
    </w:p>
    <w:p w14:paraId="06000000">
      <w:pPr>
        <w:spacing w:after="360"/>
        <w:ind/>
        <w:jc w:val="center"/>
      </w:pPr>
      <w:r>
        <w:t>(полное фирменное наименование (для коммерческой организации)</w:t>
      </w:r>
    </w:p>
    <w:tbl>
      <w:tblPr>
        <w:tblStyle w:val="Style_2"/>
        <w:tblW w:type="auto" w:w="0"/>
        <w:tblInd w:type="dxa" w:w="2552"/>
        <w:tblLayout w:type="fixed"/>
        <w:tblCellMar>
          <w:left w:type="dxa" w:w="28"/>
          <w:right w:type="dxa" w:w="28"/>
        </w:tblCellMar>
      </w:tblPr>
      <w:tblGrid>
        <w:gridCol w:w="2325"/>
        <w:gridCol w:w="3686"/>
      </w:tblGrid>
      <w:tr>
        <w:tc>
          <w:tcPr>
            <w:tcW w:type="dxa" w:w="6011"/>
            <w:gridSpan w:val="2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7000000">
            <w:pPr>
              <w:rPr>
                <w:b w:val="1"/>
                <w:i w:val="1"/>
                <w:sz w:val="28"/>
              </w:rPr>
            </w:pPr>
            <w:r>
              <w:rPr>
                <w:b w:val="1"/>
                <w:sz w:val="32"/>
              </w:rPr>
              <w:t>К</w:t>
            </w:r>
            <w:r>
              <w:rPr>
                <w:b w:val="1"/>
                <w:sz w:val="25"/>
              </w:rPr>
              <w:t xml:space="preserve">ОД ЭМИТЕНТА:                     </w:t>
            </w:r>
            <w:r>
              <w:rPr>
                <w:b w:val="1"/>
                <w:i w:val="1"/>
                <w:sz w:val="28"/>
              </w:rPr>
              <w:t>04739-D</w:t>
            </w:r>
          </w:p>
        </w:tc>
      </w:tr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08000000">
            <w:pPr>
              <w:ind/>
              <w:jc w:val="center"/>
            </w:pPr>
            <w:r>
              <w:t>(уникальный код эмитента)</w:t>
            </w:r>
          </w:p>
        </w:tc>
      </w:tr>
    </w:tbl>
    <w:p w14:paraId="09000000">
      <w:pPr>
        <w:ind w:firstLine="0" w:left="2520"/>
      </w:pPr>
    </w:p>
    <w:tbl>
      <w:tblPr>
        <w:tblStyle w:val="Style_2"/>
        <w:tblW w:type="auto" w:w="0"/>
        <w:tblInd w:type="dxa" w:w="2552"/>
        <w:tblLayout w:type="fixed"/>
        <w:tblCellMar>
          <w:left w:type="dxa" w:w="28"/>
          <w:right w:type="dxa" w:w="28"/>
        </w:tblCellMar>
      </w:tblPr>
      <w:tblGrid>
        <w:gridCol w:w="425"/>
        <w:gridCol w:w="5632"/>
      </w:tblGrid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A000000">
            <w:pPr>
              <w:rPr>
                <w:b w:val="1"/>
                <w:sz w:val="25"/>
              </w:rPr>
            </w:pPr>
            <w:r>
              <w:rPr>
                <w:b w:val="1"/>
                <w:sz w:val="25"/>
              </w:rPr>
              <w:t>ЗА</w:t>
            </w:r>
          </w:p>
        </w:tc>
        <w:tc>
          <w:tcPr>
            <w:tcW w:type="dxa" w:w="5632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B000000">
            <w:pPr>
              <w:ind/>
              <w:jc w:val="center"/>
              <w:rPr>
                <w:sz w:val="25"/>
              </w:rPr>
            </w:pPr>
            <w:r>
              <w:rPr>
                <w:sz w:val="25"/>
              </w:rPr>
              <w:t>6 месяцев 2024  года</w:t>
            </w:r>
          </w:p>
        </w:tc>
      </w:tr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5632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0C000000">
            <w:pPr>
              <w:ind/>
              <w:jc w:val="center"/>
              <w:rPr>
                <w:sz w:val="20"/>
              </w:rPr>
            </w:pPr>
            <w:r>
              <w:rPr>
                <w:sz w:val="20"/>
              </w:rPr>
              <w:t>(отчетный период, за который  составлен отчет эмитента)</w:t>
            </w:r>
          </w:p>
        </w:tc>
      </w:tr>
    </w:tbl>
    <w:p w14:paraId="0D000000">
      <w:pPr>
        <w:spacing w:after="360" w:before="360"/>
        <w:ind/>
        <w:jc w:val="center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Информация, содержащаяся в настоящем отчете эмитента,</w:t>
      </w:r>
      <w:r>
        <w:rPr>
          <w:rFonts w:ascii="Times New Roman" w:hAnsi="Times New Roman"/>
          <w:sz w:val="27"/>
        </w:rPr>
        <w:br/>
      </w:r>
      <w:r>
        <w:rPr>
          <w:rFonts w:ascii="Times New Roman" w:hAnsi="Times New Roman"/>
          <w:sz w:val="27"/>
        </w:rPr>
        <w:t>подлежит раскрытию в соответствии с законодательством Российской</w:t>
      </w:r>
      <w:r>
        <w:rPr>
          <w:rFonts w:ascii="Times New Roman" w:hAnsi="Times New Roman"/>
          <w:sz w:val="27"/>
        </w:rPr>
        <w:br/>
      </w:r>
      <w:r>
        <w:rPr>
          <w:rFonts w:ascii="Times New Roman" w:hAnsi="Times New Roman"/>
          <w:sz w:val="27"/>
        </w:rPr>
        <w:t>Федерации о ценных бумагах.</w:t>
      </w:r>
    </w:p>
    <w:tbl>
      <w:tblPr>
        <w:tblStyle w:val="Style_2"/>
        <w:tblW w:type="auto" w:w="0"/>
        <w:tblLayout w:type="fixed"/>
        <w:tblCellMar>
          <w:left w:type="dxa" w:w="28"/>
          <w:right w:type="dxa" w:w="28"/>
        </w:tblCellMar>
      </w:tblPr>
      <w:tblGrid>
        <w:gridCol w:w="2775"/>
        <w:gridCol w:w="6067"/>
        <w:gridCol w:w="796"/>
      </w:tblGrid>
      <w:tr>
        <w:tc>
          <w:tcPr>
            <w:tcW w:type="dxa" w:w="2775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E000000">
            <w:pPr>
              <w:pageBreakBefore w:val="1"/>
              <w:spacing w:before="24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эмитента</w:t>
            </w: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F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188540, г. Сосновый Бор Ленинградской области, ул. Ленинградская д.7</w:t>
            </w:r>
          </w:p>
        </w:tc>
        <w:tc>
          <w:tcPr>
            <w:tcW w:type="dxa" w:w="796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0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1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2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эмитента, содержащийся в едином государственном реестре юридических лиц)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3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4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5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 xml:space="preserve">начальник юридического отдела, Голей Павел Игоревич, 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6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7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8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(должность, фамилия, имя, отчество (последнее при наличии) контактного лица эмитента)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9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vMerge w:val="restart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A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Контактное лицо 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эмитента</w:t>
            </w: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B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(81369) 2-24-15 доб.77-07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C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gridSpan w:val="1"/>
            <w:vMerge w:val="continue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/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D00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(номер (номера) телефона контактного лица эмитента)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E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exact" w:val="204"/>
        </w:trP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F000000">
            <w:pPr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0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p.goley@titan2.ru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1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364"/>
        </w:trPr>
        <w:tc>
          <w:tcPr>
            <w:tcW w:type="dxa" w:w="2775"/>
            <w:tcBorders>
              <w:top w:sz="4" w:val="nil"/>
              <w:left w:color="000000" w:sz="4" w:val="single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2000000">
            <w:pPr>
              <w:spacing w:after="240"/>
              <w:ind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3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электронной почты контактного лица (если имеется)</w:t>
            </w:r>
          </w:p>
        </w:tc>
        <w:tc>
          <w:tcPr>
            <w:tcW w:type="dxa" w:w="79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4000000">
            <w:pPr>
              <w:spacing w:after="240"/>
              <w:ind/>
              <w:rPr>
                <w:rFonts w:ascii="Times New Roman" w:hAnsi="Times New Roman"/>
              </w:rPr>
            </w:pPr>
          </w:p>
        </w:tc>
      </w:tr>
    </w:tbl>
    <w:p w14:paraId="25000000">
      <w:pPr>
        <w:rPr>
          <w:rFonts w:ascii="Times New Roman" w:hAnsi="Times New Roman"/>
        </w:rPr>
      </w:pPr>
    </w:p>
    <w:tbl>
      <w:tblPr>
        <w:tblStyle w:val="Style_2"/>
        <w:tblW w:type="auto" w:w="0"/>
        <w:tblLayout w:type="fixed"/>
        <w:tblCellMar>
          <w:left w:type="dxa" w:w="28"/>
          <w:right w:type="dxa" w:w="28"/>
        </w:tblCellMar>
      </w:tblPr>
      <w:tblGrid>
        <w:gridCol w:w="2892"/>
        <w:gridCol w:w="227"/>
        <w:gridCol w:w="6284"/>
        <w:gridCol w:w="227"/>
        <w:gridCol w:w="76"/>
      </w:tblGrid>
      <w:tr>
        <w:tc>
          <w:tcPr>
            <w:tcW w:type="dxa" w:w="2892"/>
            <w:vMerge w:val="restart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6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страницы в сети Интернет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7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284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8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disclosure.1prime.ru/Portal/Default.aspx?emId=4714000211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9000000">
            <w:pPr>
              <w:rPr>
                <w:rFonts w:ascii="Times New Roman" w:hAnsi="Times New Roman"/>
              </w:rPr>
            </w:pPr>
          </w:p>
        </w:tc>
        <w:tc>
          <w:tcPr>
            <w:tcW w:type="dxa" w:w="76"/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</w:tr>
      <w:tr>
        <w:trPr>
          <w:trHeight w:hRule="atLeast" w:val="542"/>
        </w:trPr>
        <w:tc>
          <w:tcPr>
            <w:tcW w:type="dxa" w:w="289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6814"/>
            <w:gridSpan w:val="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A000000">
            <w:pPr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страницы в сети «Интернет», на которой раскрывается информация, содержащаяся в настоящем отчете эмитента)</w:t>
            </w:r>
          </w:p>
        </w:tc>
      </w:tr>
    </w:tbl>
    <w:p w14:paraId="2B000000">
      <w:pPr>
        <w:rPr>
          <w:rFonts w:ascii="Times New Roman" w:hAnsi="Times New Roman"/>
        </w:rPr>
      </w:pP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  <w:tblCellMar>
          <w:left w:type="dxa" w:w="28"/>
          <w:right w:type="dxa" w:w="28"/>
        </w:tblCellMar>
      </w:tblPr>
      <w:tblGrid>
        <w:gridCol w:w="169"/>
        <w:gridCol w:w="142"/>
        <w:gridCol w:w="454"/>
        <w:gridCol w:w="227"/>
        <w:gridCol w:w="1701"/>
        <w:gridCol w:w="340"/>
        <w:gridCol w:w="340"/>
        <w:gridCol w:w="2750"/>
        <w:gridCol w:w="284"/>
        <w:gridCol w:w="1134"/>
        <w:gridCol w:w="170"/>
        <w:gridCol w:w="1588"/>
        <w:gridCol w:w="339"/>
      </w:tblGrid>
      <w:tr>
        <w:trPr>
          <w:trHeight w:hRule="atLeast" w:val="490"/>
        </w:trPr>
        <w:tc>
          <w:tcPr>
            <w:tcW w:type="dxa" w:w="169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C000000">
            <w:pPr>
              <w:ind w:firstLine="0" w:left="57"/>
              <w:rPr>
                <w:rFonts w:ascii="Times New Roman" w:hAnsi="Times New Roman"/>
              </w:rPr>
            </w:pPr>
          </w:p>
        </w:tc>
        <w:tc>
          <w:tcPr>
            <w:tcW w:type="dxa" w:w="5954"/>
            <w:gridSpan w:val="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D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Генеральный директор</w:t>
            </w:r>
            <w:r>
              <w:rPr>
                <w:rFonts w:ascii="Times New Roman" w:hAnsi="Times New Roman"/>
              </w:rPr>
              <w:t>, на основании Устава</w:t>
            </w:r>
          </w:p>
        </w:tc>
        <w:tc>
          <w:tcPr>
            <w:tcW w:type="dxa" w:w="28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E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134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F000000">
            <w:pPr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17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0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588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1000000">
            <w:pPr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Д.Ю. Волгин</w:t>
            </w:r>
          </w:p>
        </w:tc>
        <w:tc>
          <w:tcPr>
            <w:tcW w:type="dxa" w:w="339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2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490"/>
        </w:trPr>
        <w:tc>
          <w:tcPr>
            <w:tcW w:type="dxa" w:w="16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3000000">
            <w:pPr>
              <w:ind w:firstLine="0" w:left="57"/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5954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4000000">
            <w:pPr>
              <w:ind/>
              <w:jc w:val="center"/>
              <w:rPr>
                <w:rFonts w:ascii="Times New Roman" w:hAnsi="Times New Roman"/>
                <w:spacing w:val="-4"/>
                <w:sz w:val="20"/>
              </w:rPr>
            </w:pPr>
            <w:r>
              <w:rPr>
                <w:rFonts w:ascii="Times New Roman" w:hAnsi="Times New Roman"/>
                <w:spacing w:val="-4"/>
                <w:sz w:val="20"/>
              </w:rPr>
              <w:t xml:space="preserve">(наименование должности лица, осуществляющего функции единоличного исполнительного органа, или иного уполномоченного им лица, название, дата и номер документа, на основании которого указанному лицу предоставлено право подписывать отчет эмитента </w:t>
            </w:r>
            <w:r>
              <w:rPr>
                <w:rFonts w:ascii="Times New Roman" w:hAnsi="Times New Roman"/>
                <w:spacing w:val="-4"/>
                <w:sz w:val="20"/>
              </w:rPr>
              <w:br/>
            </w:r>
            <w:r>
              <w:rPr>
                <w:rFonts w:ascii="Times New Roman" w:hAnsi="Times New Roman"/>
                <w:spacing w:val="-4"/>
                <w:sz w:val="20"/>
              </w:rPr>
              <w:t>от имени эмитента)</w:t>
            </w:r>
          </w:p>
        </w:tc>
        <w:tc>
          <w:tcPr>
            <w:tcW w:type="dxa" w:w="28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5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13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6000000">
            <w:pPr>
              <w:ind/>
              <w:jc w:val="center"/>
              <w:rPr>
                <w:rFonts w:ascii="Times New Roman" w:hAnsi="Times New Roman"/>
                <w:spacing w:val="-4"/>
              </w:rPr>
            </w:pPr>
            <w:r>
              <w:rPr>
                <w:rFonts w:ascii="Times New Roman" w:hAnsi="Times New Roman"/>
                <w:spacing w:val="-4"/>
              </w:rPr>
              <w:t>(подпись)</w:t>
            </w:r>
          </w:p>
        </w:tc>
        <w:tc>
          <w:tcPr>
            <w:tcW w:type="dxa" w:w="17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7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588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8000000">
            <w:pPr>
              <w:ind/>
              <w:jc w:val="center"/>
              <w:rPr>
                <w:rFonts w:ascii="Times New Roman" w:hAnsi="Times New Roman"/>
                <w:spacing w:val="-4"/>
              </w:rPr>
            </w:pPr>
            <w:r>
              <w:rPr>
                <w:rFonts w:ascii="Times New Roman" w:hAnsi="Times New Roman"/>
                <w:spacing w:val="-4"/>
              </w:rPr>
              <w:t>(И.О. Фамилия)</w:t>
            </w:r>
          </w:p>
        </w:tc>
        <w:tc>
          <w:tcPr>
            <w:tcW w:type="dxa" w:w="339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9000000">
            <w:pPr>
              <w:rPr>
                <w:rFonts w:ascii="Times New Roman" w:hAnsi="Times New Roman"/>
                <w:spacing w:val="-4"/>
              </w:rPr>
            </w:pPr>
          </w:p>
        </w:tc>
      </w:tr>
      <w:tr>
        <w:trPr>
          <w:trHeight w:hRule="atLeast" w:val="490"/>
        </w:trPr>
        <w:tc>
          <w:tcPr>
            <w:tcW w:type="dxa" w:w="311"/>
            <w:gridSpan w:val="2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A000000">
            <w:pPr>
              <w:ind w:firstLine="0" w:left="57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«</w:t>
            </w:r>
          </w:p>
        </w:tc>
        <w:tc>
          <w:tcPr>
            <w:tcW w:type="dxa" w:w="45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B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C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1701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D00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августа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E000000">
            <w:pPr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</w:p>
        </w:tc>
        <w:tc>
          <w:tcPr>
            <w:tcW w:type="dxa" w:w="34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F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</w:p>
        </w:tc>
        <w:tc>
          <w:tcPr>
            <w:tcW w:type="dxa" w:w="6265"/>
            <w:gridSpan w:val="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0000000">
            <w:pPr>
              <w:ind w:firstLine="0" w:left="5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г.</w:t>
            </w:r>
          </w:p>
        </w:tc>
      </w:tr>
      <w:tr>
        <w:trPr>
          <w:trHeight w:hRule="atLeast" w:val="200"/>
        </w:trPr>
        <w:tc>
          <w:tcPr>
            <w:tcW w:type="dxa" w:w="9638"/>
            <w:gridSpan w:val="13"/>
            <w:tcBorders>
              <w:top w:sz="4" w:val="nil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/>
        </w:tc>
      </w:tr>
    </w:tbl>
    <w:p w14:paraId="41000000">
      <w:pPr>
        <w:pStyle w:val="Style_3"/>
      </w:pPr>
      <w:r>
        <w:t>Оглавление</w:t>
      </w:r>
    </w:p>
    <w:p w14:paraId="42000000">
      <w:r>
        <w:t>Введение............................................................................................................................................4</w:t>
      </w:r>
    </w:p>
    <w:p>
      <w:pPr>
        <w:pStyle w:val="Style_4"/>
        <w:tabs>
          <w:tab w:leader="dot" w:pos="9638" w:val="right"/>
        </w:tabs>
        <w:ind/>
      </w:pPr>
      <w:r>
        <w:fldChar w:fldCharType="begin"/>
      </w:r>
      <w:r>
        <w:instrText xml:space="preserve">TOC \h \z \u \o "1-3"</w:instrText>
      </w:r>
      <w:r>
        <w:fldChar w:fldCharType="separate"/>
      </w:r>
      <w:r>
        <w:fldChar w:fldCharType="begin"/>
      </w:r>
      <w:r>
        <w:instrText>HYPERLINK \l "__RefHeading___1"</w:instrText>
      </w:r>
      <w:r>
        <w:fldChar w:fldCharType="separate"/>
      </w:r>
      <w:r>
        <w:t>Раздел I. Управленческий отчет эмитента</w:t>
      </w:r>
      <w:r>
        <w:tab/>
      </w:r>
      <w:r>
        <w:fldChar w:fldCharType="begin"/>
      </w:r>
      <w:r>
        <w:instrText>PAGEREF __RefHeading___1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44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"__RefHeading___2"</w:instrText>
      </w:r>
      <w:r>
        <w:fldChar w:fldCharType="separate"/>
      </w:r>
      <w:r>
        <w:t>1.1. Общие сведения об эмитенте и его деятельности</w:t>
      </w:r>
      <w:r>
        <w:tab/>
      </w:r>
      <w:r>
        <w:fldChar w:fldCharType="begin"/>
      </w:r>
      <w:r>
        <w:instrText>PAGEREF __RefHeading___2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45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"__RefHeading___3"</w:instrText>
      </w:r>
      <w:r>
        <w:fldChar w:fldCharType="separate"/>
      </w:r>
      <w:r>
        <w:t>1.2. Сведения о положении эмитента в отрасли</w:t>
      </w:r>
      <w:r>
        <w:tab/>
      </w:r>
      <w:r>
        <w:fldChar w:fldCharType="begin"/>
      </w:r>
      <w:r>
        <w:instrText>PAGEREF __RefHeading___3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46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"__RefHeading___4"</w:instrText>
      </w:r>
      <w:r>
        <w:fldChar w:fldCharType="separate"/>
      </w:r>
      <w:r>
        <w:t>1.3. Основные операционные показатели, характеризующие деятельность эмитента.</w:t>
      </w:r>
      <w:r>
        <w:tab/>
      </w:r>
      <w:r>
        <w:fldChar w:fldCharType="begin"/>
      </w:r>
      <w:r>
        <w:instrText>PAGEREF __RefHeading___4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 w14:paraId="47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"__RefHeading___5"</w:instrText>
      </w:r>
      <w:r>
        <w:fldChar w:fldCharType="separate"/>
      </w:r>
      <w:r>
        <w:t>1.4. Основные финансовые показатели ПАО «СУС»</w:t>
      </w:r>
      <w:r>
        <w:tab/>
      </w:r>
      <w:r>
        <w:fldChar w:fldCharType="begin"/>
      </w:r>
      <w:r>
        <w:instrText>PAGEREF __RefHeading___5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48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"__RefHeading___6"</w:instrText>
      </w:r>
      <w:r>
        <w:fldChar w:fldCharType="separate"/>
      </w:r>
      <w:r>
        <w:t>1.5. Сведения об основных поставщиках, имеющих для эмитента существенное значение</w:t>
      </w:r>
      <w:r>
        <w:tab/>
      </w:r>
      <w:r>
        <w:fldChar w:fldCharType="begin"/>
      </w:r>
      <w:r>
        <w:instrText>PAGEREF __RefHeading___6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49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"__RefHeading___7"</w:instrText>
      </w:r>
      <w:r>
        <w:fldChar w:fldCharType="separate"/>
      </w:r>
      <w:r>
        <w:t>1.6. Сведения об основных дебиторах, имеющих для эмитента существенное значение</w:t>
      </w:r>
      <w:r>
        <w:tab/>
      </w:r>
      <w:r>
        <w:fldChar w:fldCharType="begin"/>
      </w:r>
      <w:r>
        <w:instrText>PAGEREF __RefHeading___7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4A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"__RefHeading___8"</w:instrText>
      </w:r>
      <w:r>
        <w:fldChar w:fldCharType="separate"/>
      </w:r>
      <w:r>
        <w:t>1.7. Сведения об обязательствах эмитента</w:t>
      </w:r>
      <w:r>
        <w:tab/>
      </w:r>
      <w:r>
        <w:fldChar w:fldCharType="begin"/>
      </w:r>
      <w:r>
        <w:instrText>PAGEREF __RefHeading___8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4B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"__RefHeading___9"</w:instrText>
      </w:r>
      <w:r>
        <w:fldChar w:fldCharType="separate"/>
      </w:r>
      <w:r>
        <w:t>1.8. Сведения о перспективах развития эмитента</w:t>
      </w:r>
      <w:r>
        <w:tab/>
      </w:r>
      <w:r>
        <w:fldChar w:fldCharType="begin"/>
      </w:r>
      <w:r>
        <w:instrText>PAGEREF __RefHeading___9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4C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"__RefHeading___10"</w:instrText>
      </w:r>
      <w:r>
        <w:fldChar w:fldCharType="separate"/>
      </w:r>
      <w:r>
        <w:t>1.9. Сведения о рисках, связанных с деятельностью эмитента</w:t>
      </w:r>
      <w:r>
        <w:tab/>
      </w:r>
      <w:r>
        <w:fldChar w:fldCharType="begin"/>
      </w:r>
      <w:r>
        <w:instrText>PAGEREF __RefHeading___10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4D000000">
      <w:pPr>
        <w:pStyle w:val="Style_4"/>
        <w:tabs>
          <w:tab w:leader="dot" w:pos="9638" w:val="right"/>
        </w:tabs>
        <w:ind/>
      </w:pPr>
      <w:r>
        <w:fldChar w:fldCharType="begin"/>
      </w:r>
      <w:r>
        <w:instrText>HYPERLINK \l "__RefHeading___11"</w:instrText>
      </w:r>
      <w:r>
        <w:fldChar w:fldCharType="separate"/>
      </w:r>
      <w: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>
        <w:tab/>
      </w:r>
      <w:r>
        <w:fldChar w:fldCharType="begin"/>
      </w:r>
      <w:r>
        <w:instrText>PAGEREF __RefHeading___11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4E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"__RefHeading___12"</w:instrText>
      </w:r>
      <w:r>
        <w:fldChar w:fldCharType="separate"/>
      </w:r>
      <w:r>
        <w:t>2.1.    Информация о лицах, входящих в состав органов управления эмитента</w:t>
      </w:r>
      <w:r>
        <w:tab/>
      </w:r>
      <w:r>
        <w:fldChar w:fldCharType="begin"/>
      </w:r>
      <w:r>
        <w:instrText>PAGEREF __RefHeading___12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4F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"__RefHeading___13"</w:instrText>
      </w:r>
      <w:r>
        <w:fldChar w:fldCharType="separate"/>
      </w:r>
      <w:r>
        <w:t>2.2.   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tab/>
      </w:r>
      <w:r>
        <w:fldChar w:fldCharType="begin"/>
      </w:r>
      <w:r>
        <w:instrText>PAGEREF __RefHeading___13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50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"__RefHeading___14"</w:instrText>
      </w:r>
      <w:r>
        <w:fldChar w:fldCharType="separate"/>
      </w:r>
      <w:r>
        <w:t>2.3.   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>
        <w:tab/>
      </w:r>
      <w:r>
        <w:fldChar w:fldCharType="begin"/>
      </w:r>
      <w:r>
        <w:instrText>PAGEREF __RefHeading___14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51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"__RefHeading___64"</w:instrText>
      </w:r>
      <w:r>
        <w:fldChar w:fldCharType="separate"/>
      </w:r>
      <w:r>
        <w:t>2.4.   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>
        <w:tab/>
      </w:r>
      <w:r>
        <w:fldChar w:fldCharType="begin"/>
      </w:r>
      <w:r>
        <w:instrText>PAGEREF __RefHeading___64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52000000">
      <w:pPr>
        <w:pStyle w:val="Style_4"/>
        <w:tabs>
          <w:tab w:leader="dot" w:pos="9638" w:val="right"/>
        </w:tabs>
        <w:ind/>
      </w:pPr>
      <w:r>
        <w:fldChar w:fldCharType="begin"/>
      </w:r>
      <w:r>
        <w:instrText>HYPERLINK \l "__RefHeading___16"</w:instrText>
      </w:r>
      <w:r>
        <w:fldChar w:fldCharType="separate"/>
      </w:r>
      <w: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>
        <w:tab/>
      </w:r>
      <w:r>
        <w:fldChar w:fldCharType="begin"/>
      </w:r>
      <w:r>
        <w:instrText>PAGEREF __RefHeading___16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53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"__RefHeading___17"</w:instrText>
      </w:r>
      <w:r>
        <w:fldChar w:fldCharType="separate"/>
      </w:r>
      <w:r>
        <w:t>3.1.    Сведения об общем количестве акционеров эмитента</w:t>
      </w:r>
      <w:r>
        <w:tab/>
      </w:r>
      <w:r>
        <w:fldChar w:fldCharType="begin"/>
      </w:r>
      <w:r>
        <w:instrText>PAGEREF __RefHeading___17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54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"__RefHeading___67"</w:instrText>
      </w:r>
      <w:r>
        <w:fldChar w:fldCharType="separate"/>
      </w:r>
      <w:r>
        <w:t>3.2.   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  <w:r>
        <w:tab/>
      </w:r>
      <w:r>
        <w:fldChar w:fldCharType="begin"/>
      </w:r>
      <w:r>
        <w:instrText>PAGEREF __RefHeading___67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55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"__RefHeading___41"</w:instrText>
      </w:r>
      <w:r>
        <w:fldChar w:fldCharType="separate"/>
      </w:r>
      <w:r>
        <w:t>3.3.   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>
        <w:tab/>
      </w:r>
      <w:r>
        <w:fldChar w:fldCharType="begin"/>
      </w:r>
      <w:r>
        <w:instrText>PAGEREF __RefHeading___41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56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"__RefHeading___38"</w:instrText>
      </w:r>
      <w:r>
        <w:fldChar w:fldCharType="separate"/>
      </w:r>
      <w:r>
        <w:t>3.4.    Сделки эмитента, в совершении которых имелась заинтересованность</w:t>
      </w:r>
      <w:r>
        <w:tab/>
      </w:r>
      <w:r>
        <w:fldChar w:fldCharType="begin"/>
      </w:r>
      <w:r>
        <w:instrText>PAGEREF __RefHeading___38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57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"__RefHeading___43"</w:instrText>
      </w:r>
      <w:r>
        <w:fldChar w:fldCharType="separate"/>
      </w:r>
      <w:r>
        <w:t>3.5.    Крупные сделки эмитента</w:t>
      </w:r>
      <w:r>
        <w:tab/>
      </w:r>
      <w:r>
        <w:fldChar w:fldCharType="begin"/>
      </w:r>
      <w:r>
        <w:instrText>PAGEREF __RefHeading___43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58000000">
      <w:pPr>
        <w:pStyle w:val="Style_4"/>
        <w:tabs>
          <w:tab w:leader="dot" w:pos="9638" w:val="right"/>
        </w:tabs>
        <w:ind/>
      </w:pPr>
      <w:r>
        <w:fldChar w:fldCharType="begin"/>
      </w:r>
      <w:r>
        <w:instrText>HYPERLINK \l "__RefHeading___22"</w:instrText>
      </w:r>
      <w:r>
        <w:fldChar w:fldCharType="separate"/>
      </w:r>
      <w:r>
        <w:t>Раздел 4. Дополнительные сведения об эмитенте и о размещенных им ценных бумагах</w:t>
      </w:r>
      <w:r>
        <w:tab/>
      </w:r>
      <w:r>
        <w:fldChar w:fldCharType="begin"/>
      </w:r>
      <w:r>
        <w:instrText>PAGEREF __RefHeading___22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59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"__RefHeading___23"</w:instrText>
      </w:r>
      <w:r>
        <w:fldChar w:fldCharType="separate"/>
      </w:r>
      <w:r>
        <w:t>4.1.    Подконтрольные эмитенту организации, имеющие для него существенное значение</w:t>
      </w:r>
      <w:r>
        <w:tab/>
      </w:r>
      <w:r>
        <w:fldChar w:fldCharType="begin"/>
      </w:r>
      <w:r>
        <w:instrText>PAGEREF __RefHeading___23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5A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"__RefHeading___24"</w:instrText>
      </w:r>
      <w:r>
        <w:fldChar w:fldCharType="separate"/>
      </w:r>
      <w:r>
        <w:t>4.2.    Дополнительные сведения, раскрываемые эмитентами облигаций с целевым использованием денежных средств, полученных от их размещения</w:t>
      </w:r>
      <w:r>
        <w:tab/>
      </w:r>
      <w:r>
        <w:fldChar w:fldCharType="begin"/>
      </w:r>
      <w:r>
        <w:instrText>PAGEREF __RefHeading___24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 w14:paraId="5B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"__RefHeading___25"</w:instrText>
      </w:r>
      <w:r>
        <w:fldChar w:fldCharType="separate"/>
      </w:r>
      <w:r>
        <w:t>4.3.   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tab/>
      </w:r>
      <w:r>
        <w:fldChar w:fldCharType="begin"/>
      </w:r>
      <w:r>
        <w:instrText>PAGEREF __RefHeading___25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 w14:paraId="5C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"__RefHeading___26"</w:instrText>
      </w:r>
      <w:r>
        <w:fldChar w:fldCharType="separate"/>
      </w:r>
      <w:r>
        <w:t>4.4.    Сведения об объявленных и выплаченных дивидендах по акциям эмитента</w:t>
      </w:r>
      <w:r>
        <w:tab/>
      </w:r>
      <w:r>
        <w:fldChar w:fldCharType="begin"/>
      </w:r>
      <w:r>
        <w:instrText>PAGEREF __RefHeading___26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 w14:paraId="5D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"__RefHeading___27"</w:instrText>
      </w:r>
      <w:r>
        <w:fldChar w:fldCharType="separate"/>
      </w:r>
      <w:r>
        <w:t>4.5.    Сведения об организациях, осуществляющих учет прав на эмиссионные ценные бумаги эмитента</w:t>
      </w:r>
      <w:r>
        <w:tab/>
      </w:r>
      <w:r>
        <w:fldChar w:fldCharType="begin"/>
      </w:r>
      <w:r>
        <w:instrText>PAGEREF __RefHeading___27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 w14:paraId="5E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"__RefHeading___28"</w:instrText>
      </w:r>
      <w:r>
        <w:fldChar w:fldCharType="separate"/>
      </w:r>
      <w:r>
        <w:t>4.5.1.    Сведения о регистраторе, осуществляющем ведение реестра владельцев ценных бумаг эмитента</w:t>
      </w:r>
      <w:r>
        <w:tab/>
      </w:r>
      <w:r>
        <w:fldChar w:fldCharType="begin"/>
      </w:r>
      <w:r>
        <w:instrText>PAGEREF __RefHeading___28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 w14:paraId="5F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"__RefHeading___30"</w:instrText>
      </w:r>
      <w:r>
        <w:fldChar w:fldCharType="separate"/>
      </w:r>
      <w:r>
        <w:t>4.5.2.    Сведения о депозитарии, осуществляющем централизованный учет прав на ценные бумаги эмитента</w:t>
      </w:r>
      <w:r>
        <w:tab/>
      </w:r>
      <w:r>
        <w:fldChar w:fldCharType="begin"/>
      </w:r>
      <w:r>
        <w:instrText>PAGEREF __RefHeading___30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 w14:paraId="60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"__RefHeading___31"</w:instrText>
      </w:r>
      <w:r>
        <w:fldChar w:fldCharType="separate"/>
      </w:r>
      <w:r>
        <w:t>4.6.    Информация об аудиторе эмитента</w:t>
      </w:r>
      <w:r>
        <w:tab/>
      </w:r>
      <w:r>
        <w:fldChar w:fldCharType="begin"/>
      </w:r>
      <w:r>
        <w:instrText>PAGEREF __RefHeading___31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 w14:paraId="61000000">
      <w:pPr>
        <w:pStyle w:val="Style_4"/>
        <w:tabs>
          <w:tab w:leader="dot" w:pos="9638" w:val="right"/>
        </w:tabs>
        <w:ind/>
      </w:pPr>
      <w:r>
        <w:fldChar w:fldCharType="begin"/>
      </w:r>
      <w:r>
        <w:instrText>HYPERLINK \l "__RefHeading___32"</w:instrText>
      </w:r>
      <w:r>
        <w:fldChar w:fldCharType="separate"/>
      </w:r>
      <w:r>
        <w:t>Раздел 5. Финансовая отчетность, бухгалтерская (финансовая) отчетность эмитента</w:t>
      </w:r>
      <w:r>
        <w:tab/>
      </w:r>
      <w:r>
        <w:fldChar w:fldCharType="begin"/>
      </w:r>
      <w:r>
        <w:instrText>PAGEREF __RefHeading___32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62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"__RefHeading___99"</w:instrText>
      </w:r>
      <w:r>
        <w:fldChar w:fldCharType="separate"/>
      </w:r>
      <w:r>
        <w:t>5.1. Консолидированная финансовая отчетность (финансовая отчетность) эмитента</w:t>
      </w:r>
      <w:r>
        <w:tab/>
      </w:r>
      <w:r>
        <w:fldChar w:fldCharType="begin"/>
      </w:r>
      <w:r>
        <w:instrText>PAGEREF __RefHeading___99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63000000">
      <w:pPr>
        <w:pStyle w:val="Style_5"/>
        <w:tabs>
          <w:tab w:leader="dot" w:pos="9638" w:val="right"/>
        </w:tabs>
        <w:ind/>
      </w:pPr>
      <w:r>
        <w:fldChar w:fldCharType="begin"/>
      </w:r>
      <w:r>
        <w:instrText>HYPERLINK \l "__RefHeading___97"</w:instrText>
      </w:r>
      <w:r>
        <w:fldChar w:fldCharType="separate"/>
      </w:r>
      <w:r>
        <w:t>5.2.     Бухгалтерская (финансовая) отчетность</w:t>
      </w:r>
      <w:r>
        <w:tab/>
      </w:r>
      <w:r>
        <w:fldChar w:fldCharType="begin"/>
      </w:r>
      <w:r>
        <w:instrText>PAGEREF __RefHeading___97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>
      <w:r>
        <w:fldChar w:fldCharType="end"/>
      </w:r>
    </w:p>
    <w:p w14:paraId="65000000">
      <w:pPr>
        <w:rPr>
          <w:b w:val="1"/>
        </w:rPr>
      </w:pPr>
    </w:p>
    <w:p w14:paraId="66000000">
      <w:pPr>
        <w:rPr>
          <w:b w:val="1"/>
        </w:rPr>
      </w:pPr>
    </w:p>
    <w:p w14:paraId="67000000">
      <w:pPr>
        <w:rPr>
          <w:b w:val="1"/>
        </w:rPr>
      </w:pPr>
    </w:p>
    <w:p w14:paraId="68000000">
      <w:pPr>
        <w:rPr>
          <w:b w:val="1"/>
        </w:rPr>
      </w:pPr>
    </w:p>
    <w:p w14:paraId="69000000">
      <w:pPr>
        <w:rPr>
          <w:b w:val="1"/>
        </w:rPr>
      </w:pPr>
    </w:p>
    <w:p w14:paraId="6A000000">
      <w:pPr>
        <w:rPr>
          <w:b w:val="1"/>
        </w:rPr>
      </w:pPr>
    </w:p>
    <w:p w14:paraId="6B000000">
      <w:pPr>
        <w:rPr>
          <w:b w:val="1"/>
        </w:rPr>
      </w:pPr>
    </w:p>
    <w:p w14:paraId="6C000000">
      <w:pPr>
        <w:rPr>
          <w:b w:val="1"/>
        </w:rPr>
      </w:pPr>
    </w:p>
    <w:p w14:paraId="6D000000">
      <w:pPr>
        <w:rPr>
          <w:b w:val="1"/>
        </w:rPr>
      </w:pPr>
    </w:p>
    <w:p w14:paraId="6E000000">
      <w:pPr>
        <w:rPr>
          <w:b w:val="1"/>
        </w:rPr>
      </w:pPr>
    </w:p>
    <w:p w14:paraId="6F000000">
      <w:pPr>
        <w:rPr>
          <w:b w:val="1"/>
        </w:rPr>
      </w:pPr>
    </w:p>
    <w:p w14:paraId="70000000">
      <w:pPr>
        <w:rPr>
          <w:b w:val="1"/>
        </w:rPr>
      </w:pPr>
    </w:p>
    <w:p w14:paraId="71000000">
      <w:pPr>
        <w:rPr>
          <w:b w:val="1"/>
        </w:rPr>
      </w:pPr>
    </w:p>
    <w:p w14:paraId="72000000">
      <w:pPr>
        <w:rPr>
          <w:b w:val="1"/>
        </w:rPr>
      </w:pPr>
    </w:p>
    <w:p w14:paraId="73000000">
      <w:pPr>
        <w:rPr>
          <w:b w:val="1"/>
        </w:rPr>
      </w:pPr>
    </w:p>
    <w:p w14:paraId="74000000">
      <w:pPr>
        <w:rPr>
          <w:b w:val="1"/>
        </w:rPr>
      </w:pPr>
    </w:p>
    <w:p w14:paraId="75000000">
      <w:pPr>
        <w:rPr>
          <w:b w:val="1"/>
        </w:rPr>
      </w:pPr>
    </w:p>
    <w:p w14:paraId="76000000">
      <w:pPr>
        <w:rPr>
          <w:b w:val="1"/>
        </w:rPr>
      </w:pPr>
    </w:p>
    <w:p w14:paraId="77000000">
      <w:pPr>
        <w:rPr>
          <w:b w:val="1"/>
        </w:rPr>
      </w:pPr>
    </w:p>
    <w:p w14:paraId="78000000">
      <w:pPr>
        <w:rPr>
          <w:b w:val="1"/>
        </w:rPr>
      </w:pPr>
    </w:p>
    <w:p w14:paraId="79000000">
      <w:pPr>
        <w:rPr>
          <w:b w:val="1"/>
        </w:rPr>
      </w:pPr>
    </w:p>
    <w:p w14:paraId="7A000000">
      <w:pPr>
        <w:rPr>
          <w:b w:val="1"/>
        </w:rPr>
      </w:pPr>
    </w:p>
    <w:p w14:paraId="7B000000">
      <w:pPr>
        <w:rPr>
          <w:b w:val="1"/>
        </w:rPr>
      </w:pPr>
    </w:p>
    <w:p w14:paraId="7C000000">
      <w:pPr>
        <w:rPr>
          <w:b w:val="1"/>
        </w:rPr>
      </w:pPr>
    </w:p>
    <w:p w14:paraId="7D000000">
      <w:pPr>
        <w:rPr>
          <w:b w:val="1"/>
        </w:rPr>
      </w:pPr>
    </w:p>
    <w:p w14:paraId="7E000000">
      <w:pPr>
        <w:rPr>
          <w:b w:val="1"/>
        </w:rPr>
      </w:pPr>
    </w:p>
    <w:p w14:paraId="7F000000">
      <w:pPr>
        <w:rPr>
          <w:b w:val="1"/>
        </w:rPr>
      </w:pPr>
    </w:p>
    <w:p w14:paraId="80000000">
      <w:pPr>
        <w:rPr>
          <w:b w:val="1"/>
        </w:rPr>
      </w:pPr>
    </w:p>
    <w:p w14:paraId="81000000">
      <w:pPr>
        <w:rPr>
          <w:b w:val="1"/>
        </w:rPr>
      </w:pPr>
    </w:p>
    <w:p w14:paraId="82000000">
      <w:pPr>
        <w:rPr>
          <w:b w:val="1"/>
        </w:rPr>
      </w:pPr>
    </w:p>
    <w:p w14:paraId="83000000">
      <w:pPr>
        <w:rPr>
          <w:b w:val="1"/>
        </w:rPr>
      </w:pPr>
    </w:p>
    <w:p w14:paraId="84000000">
      <w:pPr>
        <w:ind/>
        <w:jc w:val="center"/>
        <w:rPr>
          <w:rFonts w:ascii="Times New Roman" w:hAnsi="Times New Roman"/>
          <w:b w:val="1"/>
          <w:sz w:val="22"/>
        </w:rPr>
      </w:pPr>
      <w:r>
        <w:rPr>
          <w:b w:val="1"/>
          <w:sz w:val="28"/>
        </w:rPr>
        <w:br w:type="page"/>
      </w:r>
      <w:r>
        <w:rPr>
          <w:rFonts w:ascii="Times New Roman" w:hAnsi="Times New Roman"/>
          <w:b w:val="1"/>
          <w:sz w:val="22"/>
        </w:rPr>
        <w:t>Введение</w:t>
      </w:r>
    </w:p>
    <w:p w14:paraId="85000000">
      <w:pPr>
        <w:pStyle w:val="Style_6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Информация, содержащаяся в отчете Публичного акционерного общества «Северное управление строительства», подлежит раскрытию в соответствии с пунктом 4 статьи 30 Федерального закона "О рынке ценных бумаг". </w:t>
      </w:r>
    </w:p>
    <w:p w14:paraId="86000000">
      <w:pPr>
        <w:pStyle w:val="Style_6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Основания возникновения у эмитента обязанности осуществлять раскрытие информации в форме отчета:</w:t>
      </w:r>
    </w:p>
    <w:p w14:paraId="87000000">
      <w:pPr>
        <w:widowControl w:val="0"/>
        <w:spacing w:after="40" w:before="20"/>
        <w:ind w:firstLine="709" w:left="0"/>
        <w:jc w:val="both"/>
        <w:rPr>
          <w:rFonts w:ascii="Times New Roman" w:hAnsi="Times New Roman"/>
          <w:b w:val="1"/>
          <w:i w:val="1"/>
          <w:sz w:val="22"/>
        </w:rPr>
      </w:pPr>
      <w:r>
        <w:rPr>
          <w:rFonts w:ascii="Times New Roman" w:hAnsi="Times New Roman"/>
          <w:b w:val="1"/>
          <w:i w:val="1"/>
          <w:sz w:val="22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лиц.</w:t>
      </w:r>
    </w:p>
    <w:p w14:paraId="88000000">
      <w:pPr>
        <w:pStyle w:val="Style_6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Бухгалтерская (финансовая) отчетность, на основании которой в настоящем отчете эмитента раскрыта информация о финансово-хозяйственной деятельности эмитента (эмитента и лица, предоставляющего (предоставившего) обеспечение по облигациям эмитента),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деятельности, а также об основных рисках, связанных с его (их) деятельностью.</w:t>
      </w:r>
    </w:p>
    <w:p w14:paraId="89000000">
      <w:pPr>
        <w:pStyle w:val="Style_6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(их) планов, вероятности наступления определенных событий и совершения определенных действий.</w:t>
      </w:r>
    </w:p>
    <w:p w14:paraId="8A000000">
      <w:pPr>
        <w:pStyle w:val="Style_6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14:paraId="8B000000">
      <w:bookmarkStart w:id="1" w:name="__RefHeading___1"/>
      <w:bookmarkEnd w:id="1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  <w:color w:val="203864"/>
        </w:rPr>
      </w:pPr>
      <w:r>
        <w:rPr>
          <w:b w:val="1"/>
          <w:sz w:val="28"/>
        </w:rPr>
        <w:br w:type="page"/>
      </w:r>
      <w:r>
        <w:rPr>
          <w:rFonts w:ascii="Times New Roman" w:hAnsi="Times New Roman"/>
          <w:b w:val="1"/>
          <w:color w:val="203864"/>
        </w:rPr>
        <w:t>Раздел I. Управленческий отчет эмитента</w:t>
      </w:r>
    </w:p>
    <w:p w14:paraId="8C000000">
      <w:bookmarkStart w:id="2" w:name="__RefHeading___2"/>
      <w:bookmarkEnd w:id="2"/>
      <w:pPr>
        <w:pStyle w:val="Style_7"/>
        <w:spacing w:before="240"/>
        <w:ind w:firstLine="425" w:left="0"/>
        <w:jc w:val="both"/>
        <w:rPr>
          <w:rFonts w:ascii="Times New Roman" w:hAnsi="Times New Roman"/>
          <w:b w:val="1"/>
        </w:rPr>
      </w:pPr>
      <w:bookmarkStart w:id="3" w:name="P108"/>
      <w:bookmarkEnd w:id="3"/>
      <w:r>
        <w:rPr>
          <w:rFonts w:ascii="Times New Roman" w:hAnsi="Times New Roman"/>
          <w:b w:val="1"/>
        </w:rPr>
        <w:t>1.1. Общие сведения об эмитенте и его деятельности</w:t>
      </w:r>
    </w:p>
    <w:p w14:paraId="8D000000">
      <w:pPr>
        <w:spacing w:before="240"/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Полное фирменное наименование</w:t>
      </w:r>
      <w:r>
        <w:rPr>
          <w:rFonts w:ascii="Times New Roman" w:hAnsi="Times New Roman"/>
        </w:rPr>
        <w:t>: Публичное акционерное общество "Северное управление строительства»,</w:t>
      </w:r>
    </w:p>
    <w:p w14:paraId="8E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Сокращенное фирменное наименование</w:t>
      </w:r>
      <w:r>
        <w:rPr>
          <w:rFonts w:ascii="Times New Roman" w:hAnsi="Times New Roman"/>
        </w:rPr>
        <w:t>: ПАО "СУС",</w:t>
      </w:r>
    </w:p>
    <w:p w14:paraId="8F000000">
      <w:pPr>
        <w:ind w:firstLine="426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Сведения о способе и дате создания эмитента</w:t>
      </w:r>
      <w:r>
        <w:rPr>
          <w:rFonts w:ascii="Times New Roman" w:hAnsi="Times New Roman"/>
        </w:rPr>
        <w:t xml:space="preserve">: ПАО «СУС» было создано в результате приватизации путем преобразования Северного управления строительства в акционерное общество, в соответствии с Указом Президента РФ от 1 июля 1992 г. № 721, «Плана приватизации предприятий и организаций ядерно-энергетического комплекса на 1992 г». Постановлением главы администрации г. Сосновый Бор от 19.11.1992 г. № 717 принято решение о перерегистрации государственного предприятия «Северное управление строительство» в связи с реорганизацией в акционерное общество. </w:t>
      </w:r>
    </w:p>
    <w:p w14:paraId="9000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Изменения наименования эмитента</w:t>
      </w:r>
      <w:r>
        <w:rPr>
          <w:rFonts w:ascii="Times New Roman" w:hAnsi="Times New Roman"/>
        </w:rPr>
        <w:t xml:space="preserve"> в течении трех последних лет, предшествующих дате окончания отчетного периода, не было.</w:t>
      </w:r>
    </w:p>
    <w:p w14:paraId="91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Основной государственный регистрационный номер</w:t>
      </w:r>
      <w:r>
        <w:rPr>
          <w:rFonts w:ascii="Times New Roman" w:hAnsi="Times New Roman"/>
        </w:rPr>
        <w:t xml:space="preserve"> (ОГРН) 1024701762535.</w:t>
      </w:r>
    </w:p>
    <w:p w14:paraId="92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Идентификационный номер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>налогоплательщика</w:t>
      </w:r>
      <w:r>
        <w:rPr>
          <w:rFonts w:ascii="Times New Roman" w:hAnsi="Times New Roman"/>
        </w:rPr>
        <w:t xml:space="preserve"> (ИНН) 4714000211.</w:t>
      </w:r>
    </w:p>
    <w:p w14:paraId="93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Место нахождения</w:t>
      </w:r>
      <w:r>
        <w:rPr>
          <w:rFonts w:ascii="Times New Roman" w:hAnsi="Times New Roman"/>
        </w:rPr>
        <w:t>: 188540 Россия, Ленинградская область, г. Сосновый Бор, ул. Ленинградская, д. 7,</w:t>
      </w:r>
    </w:p>
    <w:p w14:paraId="94000000">
      <w:pPr>
        <w:ind w:firstLine="426" w:left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  <w:u w:val="single"/>
        </w:rPr>
        <w:t>Телефон:</w:t>
      </w:r>
      <w:r>
        <w:rPr>
          <w:rFonts w:ascii="Times New Roman" w:hAnsi="Times New Roman"/>
          <w:sz w:val="22"/>
        </w:rPr>
        <w:t xml:space="preserve"> (81369) 7-30-40</w:t>
      </w:r>
    </w:p>
    <w:p w14:paraId="95000000">
      <w:pPr>
        <w:ind w:firstLine="426" w:left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  <w:u w:val="single"/>
        </w:rPr>
        <w:t>Адрес электронной почты</w:t>
      </w:r>
      <w:r>
        <w:rPr>
          <w:rFonts w:ascii="Times New Roman" w:hAnsi="Times New Roman"/>
          <w:sz w:val="22"/>
        </w:rPr>
        <w:t xml:space="preserve">: office_sus@titan2.ru, </w:t>
      </w:r>
    </w:p>
    <w:p w14:paraId="96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 xml:space="preserve">Адрес страницы в сети интернет для осуществления функции по раскрытию </w:t>
      </w:r>
      <w:r>
        <w:rPr>
          <w:rFonts w:ascii="Times New Roman" w:hAnsi="Times New Roman"/>
        </w:rPr>
        <w:t>существенных фактов в соответствии с Федеральным законом от 22.04.1996 г. № 39-ФЗ «О рынке ценных бумаг»: http://disclosure.1prime.ru/Portal/Default.aspx?emId=4714000211,</w:t>
      </w:r>
    </w:p>
    <w:p w14:paraId="97000000">
      <w:pPr>
        <w:spacing w:before="240"/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</w:rPr>
        <w:t>По вопросам получения доступа к информации для акционеров можно обращаться:</w:t>
      </w:r>
    </w:p>
    <w:p w14:paraId="98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</w:rPr>
        <w:t>Адрес (адреса): 188540 Россия, Ленинградская область, г. Сосновый Бор, ул. Ленинградская 7</w:t>
      </w:r>
    </w:p>
    <w:p w14:paraId="99000000">
      <w:pPr>
        <w:ind w:firstLine="426" w:left="0"/>
        <w:rPr>
          <w:rFonts w:ascii="Times New Roman" w:hAnsi="Times New Roman"/>
        </w:rPr>
      </w:pPr>
      <w:r>
        <w:rPr>
          <w:rFonts w:ascii="Times New Roman" w:hAnsi="Times New Roman"/>
        </w:rPr>
        <w:t>Контактные телефоны: (81369) 2-24-15</w:t>
      </w:r>
    </w:p>
    <w:p w14:paraId="9A000000">
      <w:bookmarkStart w:id="4" w:name="__RefHeading___3"/>
      <w:bookmarkEnd w:id="4"/>
      <w:pPr>
        <w:pStyle w:val="Style_7"/>
        <w:spacing w:before="240"/>
        <w:ind w:firstLine="0" w:left="425"/>
        <w:jc w:val="both"/>
        <w:rPr>
          <w:rFonts w:ascii="Times New Roman" w:hAnsi="Times New Roman"/>
          <w:b w:val="1"/>
        </w:rPr>
      </w:pPr>
      <w:bookmarkStart w:id="5" w:name="P118"/>
      <w:bookmarkEnd w:id="5"/>
      <w:r>
        <w:rPr>
          <w:rFonts w:ascii="Times New Roman" w:hAnsi="Times New Roman"/>
          <w:b w:val="1"/>
        </w:rPr>
        <w:t>1.2. Сведения о положении эмитента в отрасли</w:t>
      </w: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3758"/>
        <w:gridCol w:w="5528"/>
      </w:tblGrid>
      <w:tr>
        <w:tc>
          <w:tcPr>
            <w:tcW w:type="dxa" w:w="375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B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Коды ОКВЭД</w:t>
            </w:r>
          </w:p>
        </w:tc>
        <w:tc>
          <w:tcPr>
            <w:tcW w:type="dxa" w:w="552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C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D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41.2</w:t>
            </w:r>
          </w:p>
        </w:tc>
        <w:tc>
          <w:tcPr>
            <w:tcW w:type="dxa" w:w="552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E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Строительство жилых и нежилых зданий</w:t>
            </w:r>
          </w:p>
        </w:tc>
      </w:tr>
    </w:tbl>
    <w:p w14:paraId="9F000000">
      <w:pPr>
        <w:widowControl w:val="0"/>
        <w:ind/>
        <w:jc w:val="center"/>
        <w:rPr>
          <w:rFonts w:ascii="Times New Roman" w:hAnsi="Times New Roman"/>
          <w:highlight w:val="yellow"/>
        </w:rPr>
      </w:pP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3758"/>
      </w:tblGrid>
      <w:tr>
        <w:tc>
          <w:tcPr>
            <w:tcW w:type="dxa" w:w="375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0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Коды ОКВЭД (дополнительные)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1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08.12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2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3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35.12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4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35.30.2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5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35.30.5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6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49.20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7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49.3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8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49.4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9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49.20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A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  <w:highlight w:val="yellow"/>
              </w:rPr>
            </w:pPr>
            <w:r>
              <w:rPr>
                <w:rFonts w:ascii="Times New Roman" w:hAnsi="Times New Roman"/>
              </w:rPr>
              <w:t>53.20.1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B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55.90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C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61.10.1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D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68.20.2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E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69.20.2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AF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71.20.9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B0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77.3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B1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85.42.9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B2000000">
            <w:pPr>
              <w:widowControl w:val="0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86.90.4</w:t>
            </w:r>
          </w:p>
        </w:tc>
      </w:tr>
    </w:tbl>
    <w:p w14:paraId="B3000000">
      <w:pPr>
        <w:pStyle w:val="Style_8"/>
        <w:ind w:firstLine="720" w:left="0"/>
        <w:jc w:val="both"/>
        <w:rPr>
          <w:rFonts w:ascii="Times New Roman" w:hAnsi="Times New Roman"/>
        </w:rPr>
      </w:pPr>
      <w:bookmarkStart w:id="6" w:name="P126"/>
      <w:bookmarkEnd w:id="6"/>
      <w:r>
        <w:rPr>
          <w:rFonts w:ascii="Times New Roman" w:hAnsi="Times New Roman"/>
        </w:rPr>
        <w:t>ПАО «Северное управление строительства» осуществляет свою финансово-экономическую деятельность в области промышленного строительства.</w:t>
      </w:r>
    </w:p>
    <w:p w14:paraId="B4000000">
      <w:pPr>
        <w:pStyle w:val="Style_8"/>
        <w:ind w:firstLine="720" w:left="0"/>
        <w:jc w:val="both"/>
        <w:rPr>
          <w:rFonts w:ascii="Times New Roman" w:hAnsi="Times New Roman"/>
          <w:color w:val="252525"/>
          <w:spacing w:val="3"/>
          <w:highlight w:val="white"/>
        </w:rPr>
      </w:pPr>
      <w:r>
        <w:rPr>
          <w:rFonts w:ascii="Times New Roman" w:hAnsi="Times New Roman"/>
          <w:color w:val="252525"/>
          <w:spacing w:val="3"/>
          <w:highlight w:val="white"/>
        </w:rPr>
        <w:t>Отличительными особенностями промышленного строительства от жилищного или социального являются: гораздо более длительный цикл производства работ и период окупаемости. На сроках и стоимости сказывается уникальность проектов - типовых объектов практически нет. Учитывая особую опасность многих индустриальных объектов, их значительное влияние на окружающую среду и другие особенности, к ним предъявляются повышенные требования в плане проведения различных экспертиз, сертификации, проводится усиленный контроль.</w:t>
      </w:r>
    </w:p>
    <w:p w14:paraId="B5000000">
      <w:pPr>
        <w:pStyle w:val="Style_8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252525"/>
          <w:spacing w:val="3"/>
          <w:highlight w:val="white"/>
        </w:rPr>
        <w:t>Основным направлением деятельности ПАО СУС является строительство АЭС и иных объектов атомной отрасли.</w:t>
      </w:r>
    </w:p>
    <w:p w14:paraId="B6000000">
      <w:pPr>
        <w:ind w:firstLine="720" w:left="0"/>
        <w:jc w:val="both"/>
        <w:rPr>
          <w:rFonts w:ascii="Times New Roman" w:hAnsi="Times New Roman"/>
          <w:sz w:val="22"/>
          <w:highlight w:val="white"/>
        </w:rPr>
      </w:pPr>
      <w:r>
        <w:rPr>
          <w:rFonts w:ascii="Times New Roman" w:hAnsi="Times New Roman"/>
          <w:sz w:val="22"/>
        </w:rPr>
        <w:t>На сегодняшний день Публичное акционерное общество «Северное управление строительства» о</w:t>
      </w:r>
      <w:r>
        <w:rPr>
          <w:rFonts w:ascii="Times New Roman" w:hAnsi="Times New Roman"/>
          <w:sz w:val="22"/>
          <w:highlight w:val="white"/>
        </w:rPr>
        <w:t>существляет полный комплекс услуг по реализации объектов строительства – от проведения инженерных изысканий и составления проектной документации, до благоустройства прилегающей территории и сдачи объекта в эксплуатацию государственным органам.</w:t>
      </w:r>
    </w:p>
    <w:p w14:paraId="B7000000">
      <w:pPr>
        <w:ind w:firstLine="720" w:left="0"/>
        <w:jc w:val="both"/>
        <w:rPr>
          <w:rFonts w:ascii="Times New Roman" w:hAnsi="Times New Roman"/>
          <w:sz w:val="22"/>
          <w:highlight w:val="white"/>
        </w:rPr>
      </w:pPr>
      <w:r>
        <w:rPr>
          <w:rFonts w:ascii="Times New Roman" w:hAnsi="Times New Roman"/>
          <w:sz w:val="22"/>
          <w:highlight w:val="white"/>
        </w:rPr>
        <w:t>Проводит экспертизу и обследования зданий и сооружений любого назначения.</w:t>
      </w:r>
    </w:p>
    <w:p w14:paraId="B8000000">
      <w:pPr>
        <w:ind w:firstLine="720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  <w:highlight w:val="white"/>
        </w:rPr>
        <w:t>Значительный вклад при определении качества и надежности материалов, в процессе строительства, вносит аттестованный испытательный центр строительных материалов ПАО СУС (ИЦСМиК) – строительная лаборатория, имеющая свидетельство Росаккредитации.</w:t>
      </w:r>
    </w:p>
    <w:p w14:paraId="B9000000">
      <w:pPr>
        <w:ind w:firstLine="720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  <w:highlight w:val="white"/>
        </w:rPr>
        <w:t>Испытания строительных материалов проводятся по основным параметрам в соответствии с требованиями ГОСТ, СНиП и иных нормативных документов: цемент – на активность, сроки схватывания, тонкость помола, тесто нормальной густоты; песок на плотность, объемный вес, пустотность, загрязнение; щебень — на плотность, объёмный вес, пустотность, гранулометрический состав.</w:t>
      </w:r>
    </w:p>
    <w:p w14:paraId="BA000000">
      <w:pPr>
        <w:pStyle w:val="Style_8"/>
        <w:ind w:firstLine="720" w:left="0"/>
        <w:jc w:val="both"/>
        <w:rPr>
          <w:rFonts w:ascii="Times New Roman" w:hAnsi="Times New Roman"/>
          <w:highlight w:val="white"/>
        </w:rPr>
      </w:pPr>
      <w:r>
        <w:rPr>
          <w:rFonts w:ascii="Times New Roman" w:hAnsi="Times New Roman"/>
          <w:highlight w:val="white"/>
        </w:rPr>
        <w:t>В 2023 году начался подготовительный период для будущих блоков Ленинградской АЭС-2. Проводятся инженерные изыскания на месте будущих энергоблоков №1 и №2 на Смоленской АЭС-2 и др.</w:t>
      </w:r>
    </w:p>
    <w:p w14:paraId="BB000000">
      <w:pPr>
        <w:pStyle w:val="Style_8"/>
        <w:ind w:firstLine="720" w:left="0"/>
        <w:jc w:val="both"/>
        <w:rPr>
          <w:rFonts w:ascii="Times New Roman" w:hAnsi="Times New Roman"/>
          <w:spacing w:val="4"/>
        </w:rPr>
      </w:pPr>
      <w:r>
        <w:rPr>
          <w:rFonts w:ascii="Times New Roman" w:hAnsi="Times New Roman"/>
          <w:highlight w:val="white"/>
        </w:rPr>
        <w:t xml:space="preserve">В начале 1-го полугодия 2024 года </w:t>
      </w:r>
      <w:r>
        <w:rPr>
          <w:rFonts w:ascii="Times New Roman" w:hAnsi="Times New Roman"/>
          <w:spacing w:val="4"/>
        </w:rPr>
        <w:t>строители приступили к бетонной подготовке под фундаменты нескольких новых зданий на стройплощадке нового энергоблока №7 Ленинградской АЭС: управления, безопасности, ядерного обслуживания, паровой камеры, вспомогательного корпуса и т.д. Большинство из них относятся к так называемому «ядерному острову» - целому комплексу сооружений, которые обеспечивают эксплуатацию и функционирование ядерного реактора.</w:t>
      </w:r>
      <w:r>
        <w:rPr>
          <w:rFonts w:ascii="Times New Roman" w:hAnsi="Times New Roman"/>
          <w:spacing w:val="4"/>
        </w:rPr>
        <w:t xml:space="preserve"> </w:t>
      </w:r>
    </w:p>
    <w:p w14:paraId="BC000000">
      <w:pPr>
        <w:pStyle w:val="Style_8"/>
        <w:ind w:firstLine="720" w:left="0"/>
        <w:jc w:val="both"/>
        <w:rPr>
          <w:rFonts w:ascii="Times New Roman" w:hAnsi="Times New Roman"/>
          <w:spacing w:val="4"/>
        </w:rPr>
      </w:pPr>
      <w:r>
        <w:rPr>
          <w:rFonts w:ascii="Times New Roman" w:hAnsi="Times New Roman"/>
          <w:spacing w:val="4"/>
        </w:rPr>
        <w:t>До конца 2024 года планируется завершить устройство всех фундаментных плит зданий ядерного острова. Строительно-монтажные работы основного периода продлятся в течение пяти лет.</w:t>
      </w:r>
    </w:p>
    <w:p w14:paraId="BD000000">
      <w:pPr>
        <w:pStyle w:val="Style_8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  <w:highlight w:val="white"/>
        </w:rPr>
        <w:t>Рассматривая тенденции строительной отрасли РФ, можно отметить следующее.</w:t>
      </w:r>
      <w:r>
        <w:rPr>
          <w:rFonts w:ascii="Times New Roman" w:hAnsi="Times New Roman"/>
        </w:rPr>
        <w:t xml:space="preserve"> </w:t>
      </w:r>
    </w:p>
    <w:p w14:paraId="BE000000">
      <w:pPr>
        <w:ind w:firstLine="720" w:left="0"/>
        <w:jc w:val="both"/>
        <w:rPr>
          <w:rFonts w:ascii="Times New Roman" w:hAnsi="Times New Roman"/>
          <w:color w:val="1C1C1C"/>
          <w:sz w:val="22"/>
          <w:shd w:fill="F6F6F6" w:val="clear"/>
        </w:rPr>
      </w:pPr>
      <w:r>
        <w:rPr>
          <w:rFonts w:ascii="Times New Roman" w:hAnsi="Times New Roman"/>
          <w:color w:val="1C1C1C"/>
          <w:sz w:val="22"/>
          <w:shd w:fill="F6F6F6" w:val="clear"/>
        </w:rPr>
        <w:t>Согласно данным Росстата, объем строительных работ в России в 2023 году составил 15,1 трлн руб., увеличившись в сопоставимых ценах на 7,9% по отношению к 2022</w:t>
      </w:r>
      <w:r>
        <w:rPr>
          <w:rFonts w:ascii="Times New Roman" w:hAnsi="Times New Roman"/>
          <w:color w:val="1C1C1C"/>
          <w:sz w:val="22"/>
          <w:shd w:fill="F6F6F6" w:val="clear"/>
        </w:rPr>
        <w:t xml:space="preserve">му. </w:t>
      </w:r>
    </w:p>
    <w:p w14:paraId="BF000000">
      <w:pPr>
        <w:ind w:firstLine="720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color w:val="1C1C1C"/>
          <w:sz w:val="22"/>
          <w:shd w:fill="F6F6F6" w:val="clear"/>
        </w:rPr>
        <w:t xml:space="preserve">В первом полугодии 2024 года, так же наблюдается повышение динамики, связанное с продолжающимся </w:t>
      </w:r>
      <w:r>
        <w:rPr>
          <w:rFonts w:ascii="Times New Roman" w:hAnsi="Times New Roman"/>
          <w:sz w:val="22"/>
          <w:highlight w:val="white"/>
        </w:rPr>
        <w:t xml:space="preserve">подъемом в жилищном </w:t>
      </w:r>
      <w:r>
        <w:rPr>
          <w:rFonts w:ascii="Times New Roman" w:hAnsi="Times New Roman"/>
          <w:sz w:val="22"/>
          <w:shd w:fill="F6F6F6" w:val="clear"/>
        </w:rPr>
        <w:fldChar w:fldCharType="begin"/>
      </w:r>
      <w:r>
        <w:rPr>
          <w:rFonts w:ascii="Times New Roman" w:hAnsi="Times New Roman"/>
          <w:sz w:val="22"/>
          <w:shd w:fill="F6F6F6" w:val="clear"/>
        </w:rPr>
        <w:instrText>HYPERLINK "https://www.tadviser.ru/index.php/%D0%A1%D1%82%D1%80%D0%BE%D0%B8%D1%82%D0%B5%D0%BB%D1%8C%D1%81%D1%82%D0%B2%D0%BE_%D0%B8_%D0%BF%D1%80%D0%BE%D0%BC%D1%8B%D1%88%D0%BB%D0%B5%D0%BD%D0%BD%D0%BE%D1%81%D1%82%D1%8C_%D1%81%D1%82%D1%80%D0%BE%D0%B8%D1%82%D0%B5%D0%BB%D1%8C%D0%BD%D1%8B%D1%85_%D0%BC%D0%B0%D1%82%D0%B5%D1%80%D0%B8%D0%B0%D0%BB%D0%BE%D0%B2" \o "Строительство и промышленность строительных материалов"</w:instrText>
      </w:r>
      <w:r>
        <w:rPr>
          <w:rFonts w:ascii="Times New Roman" w:hAnsi="Times New Roman"/>
          <w:sz w:val="22"/>
          <w:shd w:fill="F6F6F6" w:val="clear"/>
        </w:rPr>
        <w:fldChar w:fldCharType="separate"/>
      </w:r>
      <w:r>
        <w:rPr>
          <w:rFonts w:ascii="Times New Roman" w:hAnsi="Times New Roman"/>
          <w:sz w:val="22"/>
          <w:shd w:fill="F6F6F6" w:val="clear"/>
        </w:rPr>
        <w:t>строительстве</w:t>
      </w:r>
      <w:r>
        <w:rPr>
          <w:rFonts w:ascii="Times New Roman" w:hAnsi="Times New Roman"/>
          <w:sz w:val="22"/>
          <w:shd w:fill="F6F6F6" w:val="clear"/>
        </w:rPr>
        <w:fldChar w:fldCharType="end"/>
      </w:r>
      <w:r>
        <w:rPr>
          <w:rFonts w:ascii="Times New Roman" w:hAnsi="Times New Roman"/>
          <w:sz w:val="22"/>
          <w:highlight w:val="white"/>
        </w:rPr>
        <w:t>, увеличением вложений в нацпроект «Безопасные качественные дороги» и созданием новых объектов в промышленности.</w:t>
      </w:r>
      <w:r>
        <w:rPr>
          <w:rFonts w:ascii="Times New Roman" w:hAnsi="Times New Roman"/>
          <w:sz w:val="22"/>
        </w:rPr>
        <w:t xml:space="preserve"> </w:t>
      </w:r>
    </w:p>
    <w:p w14:paraId="C0000000">
      <w:pPr>
        <w:ind w:firstLine="720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К основным причинам, оказавшим влияние на рост объемов строительства, можно отнести:</w:t>
      </w:r>
    </w:p>
    <w:p w14:paraId="C1000000">
      <w:pPr>
        <w:numPr>
          <w:ilvl w:val="0"/>
          <w:numId w:val="1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присоединение новых территорий и увеличение инвестиций со стороны госкомпаний и коммерческих заказчиков, работающих в рамках законодательства о закупках;</w:t>
      </w:r>
    </w:p>
    <w:p w14:paraId="C2000000">
      <w:pPr>
        <w:numPr>
          <w:ilvl w:val="0"/>
          <w:numId w:val="1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устойчивость экономики РФ к внешнему давлению;</w:t>
      </w:r>
    </w:p>
    <w:p w14:paraId="C3000000">
      <w:pPr>
        <w:numPr>
          <w:ilvl w:val="0"/>
          <w:numId w:val="1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компетентность Минфина и ЦБ, что облегчило доступность к финресурсам (кредиты для МСП) при растущем спросе и относительно невысокой инфляции;</w:t>
      </w:r>
    </w:p>
    <w:p w14:paraId="C4000000">
      <w:pPr>
        <w:numPr>
          <w:ilvl w:val="0"/>
          <w:numId w:val="1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переход к отечественной продукции, снижение импортозависимости (не превышает 4% в строительстве);</w:t>
      </w:r>
    </w:p>
    <w:p w14:paraId="C5000000">
      <w:pPr>
        <w:numPr>
          <w:ilvl w:val="0"/>
          <w:numId w:val="1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изменение системы ценообразования. Согласно новому ресурсно-индексному методу, объекты будут возводиться не по устаревшим нормам, а исходя из реальной, рыночной стоимости двух позиций: стройматериалов и услуг рабочих.</w:t>
      </w:r>
    </w:p>
    <w:p w14:paraId="C6000000">
      <w:pPr>
        <w:ind w:firstLine="720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ПАО «СУС» может выделить ряд ключевых факторов, которые обуславливают его высокую конкурентоспособность в соответствующей отрасли:</w:t>
      </w:r>
    </w:p>
    <w:p w14:paraId="C7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наличие долгосрочных контрактов с крупными российскими и иностранными контрагентами в сфере атомной энергетики и промышленного строительства; </w:t>
      </w:r>
    </w:p>
    <w:p w14:paraId="C8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эффективное управление проектами</w:t>
      </w:r>
    </w:p>
    <w:p w14:paraId="C9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надежность и качество выполнения строительно-монтажных работ в том числе, за счет проведения анализа и подбора оптимальных материалов и технологий для строительства;</w:t>
      </w:r>
    </w:p>
    <w:p w14:paraId="CA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контроль качества и безопасности строительных работ;</w:t>
      </w:r>
    </w:p>
    <w:p w14:paraId="CB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соблюдение сроков строительства и контроль за бюджетом;</w:t>
      </w:r>
    </w:p>
    <w:p w14:paraId="CC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организация работы строительных подразделений и обеспечение их материально-технической базой;</w:t>
      </w:r>
    </w:p>
    <w:p w14:paraId="CD000000">
      <w:pPr>
        <w:numPr>
          <w:ilvl w:val="0"/>
          <w:numId w:val="2"/>
        </w:numPr>
        <w:tabs>
          <w:tab w:leader="none" w:pos="1134" w:val="left"/>
        </w:tabs>
        <w:ind w:firstLine="709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профессионализм и компетентность персонала.</w:t>
      </w:r>
    </w:p>
    <w:p w14:paraId="CE000000">
      <w:bookmarkStart w:id="7" w:name="__RefHeading___4"/>
      <w:bookmarkEnd w:id="7"/>
      <w:pPr>
        <w:pStyle w:val="Style_7"/>
        <w:spacing w:before="240"/>
        <w:ind w:firstLine="0" w:left="425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1.3. Основные операционные показатели, характеризующие деятельность эмитента.</w:t>
      </w:r>
    </w:p>
    <w:p w14:paraId="CF000000">
      <w:pPr>
        <w:pStyle w:val="Style_8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ПАО «СУС» осуществляет свою деятельность на территории нескольких субъектов Российской Федерации. Обособленные подразделения открыты в Красноярском крае, Калининградской, Томской и Курской, Смоленской, Новосибирской областях. </w:t>
      </w:r>
    </w:p>
    <w:p w14:paraId="D0000000">
      <w:pPr>
        <w:pStyle w:val="Style_8"/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2023 году география обслуживания эмитента расширилась, появились международные направление. По заключённым договорам предоставляются услуги в Турецкой Республике и АРЕ. </w:t>
      </w:r>
    </w:p>
    <w:p w14:paraId="D1000000">
      <w:pPr>
        <w:pStyle w:val="Style_9"/>
        <w:spacing w:before="0" w:line="240" w:lineRule="auto"/>
        <w:ind w:firstLine="720" w:left="0"/>
        <w:jc w:val="both"/>
        <w:rPr>
          <w:b w:val="1"/>
          <w:sz w:val="22"/>
        </w:rPr>
      </w:pPr>
    </w:p>
    <w:p w14:paraId="D2000000">
      <w:pPr>
        <w:pStyle w:val="Style_9"/>
        <w:spacing w:before="0" w:line="240" w:lineRule="auto"/>
        <w:ind w:firstLine="720" w:left="0"/>
        <w:jc w:val="center"/>
        <w:rPr>
          <w:b w:val="1"/>
          <w:sz w:val="22"/>
        </w:rPr>
      </w:pPr>
      <w:r>
        <w:rPr>
          <w:b w:val="1"/>
          <w:sz w:val="22"/>
        </w:rPr>
        <w:t>Ключевые показатели, характеризующие результаты деятельности ПАО «СУС</w:t>
      </w:r>
    </w:p>
    <w:p w14:paraId="D3000000">
      <w:pPr>
        <w:pStyle w:val="Style_9"/>
        <w:spacing w:before="0" w:line="240" w:lineRule="auto"/>
        <w:ind w:firstLine="720" w:left="0"/>
        <w:jc w:val="center"/>
        <w:rPr>
          <w:sz w:val="22"/>
        </w:rPr>
      </w:pPr>
    </w:p>
    <w:tbl>
      <w:tblPr>
        <w:tblStyle w:val="Style_10"/>
        <w:tblW w:type="auto" w:w="0"/>
        <w:tblLayout w:type="fixed"/>
      </w:tblPr>
      <w:tblGrid>
        <w:gridCol w:w="4503"/>
        <w:gridCol w:w="1134"/>
        <w:gridCol w:w="1984"/>
        <w:gridCol w:w="1949"/>
      </w:tblGrid>
      <w:tr>
        <w:tc>
          <w:tcPr>
            <w:tcW w:type="dxa" w:w="4503"/>
            <w:vAlign w:val="center"/>
          </w:tcPr>
          <w:p w14:paraId="D400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>Наименование показателей</w:t>
            </w:r>
          </w:p>
        </w:tc>
        <w:tc>
          <w:tcPr>
            <w:tcW w:type="dxa" w:w="1134"/>
            <w:vAlign w:val="center"/>
          </w:tcPr>
          <w:p w14:paraId="D500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>Ед.изм.</w:t>
            </w:r>
          </w:p>
        </w:tc>
        <w:tc>
          <w:tcPr>
            <w:tcW w:type="dxa" w:w="1984"/>
            <w:vAlign w:val="center"/>
          </w:tcPr>
          <w:p w14:paraId="D600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>1 полугодие</w:t>
            </w:r>
          </w:p>
          <w:p w14:paraId="D700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 xml:space="preserve"> 2023 года</w:t>
            </w:r>
          </w:p>
        </w:tc>
        <w:tc>
          <w:tcPr>
            <w:tcW w:type="dxa" w:w="1949"/>
            <w:vAlign w:val="center"/>
          </w:tcPr>
          <w:p w14:paraId="D800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>1 полугодие</w:t>
            </w:r>
          </w:p>
          <w:p w14:paraId="D9000000">
            <w:pPr>
              <w:ind/>
              <w:jc w:val="center"/>
              <w:rPr>
                <w:rFonts w:ascii="Times New Roman" w:hAnsi="Times New Roman"/>
                <w:b w:val="1"/>
                <w:sz w:val="22"/>
              </w:rPr>
            </w:pPr>
            <w:r>
              <w:rPr>
                <w:rFonts w:ascii="Times New Roman" w:hAnsi="Times New Roman"/>
                <w:b w:val="1"/>
                <w:sz w:val="22"/>
              </w:rPr>
              <w:t xml:space="preserve"> 2024 года</w:t>
            </w:r>
          </w:p>
        </w:tc>
      </w:tr>
      <w:tr>
        <w:tc>
          <w:tcPr>
            <w:tcW w:type="dxa" w:w="4503"/>
            <w:vAlign w:val="center"/>
          </w:tcPr>
          <w:p w14:paraId="DA00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Выручка</w:t>
            </w:r>
          </w:p>
        </w:tc>
        <w:tc>
          <w:tcPr>
            <w:tcW w:type="dxa" w:w="1134"/>
            <w:vAlign w:val="center"/>
          </w:tcPr>
          <w:p w14:paraId="DB00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тыс.руб.</w:t>
            </w:r>
          </w:p>
        </w:tc>
        <w:tc>
          <w:tcPr>
            <w:tcW w:type="dxa" w:w="1984"/>
            <w:vAlign w:val="center"/>
          </w:tcPr>
          <w:p w14:paraId="DC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1 742 524</w:t>
            </w:r>
          </w:p>
        </w:tc>
        <w:tc>
          <w:tcPr>
            <w:tcW w:type="dxa" w:w="1949"/>
            <w:vAlign w:val="center"/>
          </w:tcPr>
          <w:p w14:paraId="DD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</w:rPr>
              <w:t>3 548 800</w:t>
            </w:r>
          </w:p>
        </w:tc>
      </w:tr>
      <w:tr>
        <w:tc>
          <w:tcPr>
            <w:tcW w:type="dxa" w:w="4503"/>
            <w:vAlign w:val="center"/>
          </w:tcPr>
          <w:p w14:paraId="DE00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Себестоимость</w:t>
            </w:r>
          </w:p>
        </w:tc>
        <w:tc>
          <w:tcPr>
            <w:tcW w:type="dxa" w:w="1134"/>
          </w:tcPr>
          <w:p w14:paraId="DF000000">
            <w:r>
              <w:rPr>
                <w:rFonts w:ascii="Times New Roman" w:hAnsi="Times New Roman"/>
                <w:sz w:val="22"/>
              </w:rPr>
              <w:t>тыс.руб.</w:t>
            </w:r>
          </w:p>
        </w:tc>
        <w:tc>
          <w:tcPr>
            <w:tcW w:type="dxa" w:w="1984"/>
            <w:vAlign w:val="center"/>
          </w:tcPr>
          <w:p w14:paraId="E0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1 767 090</w:t>
            </w:r>
          </w:p>
        </w:tc>
        <w:tc>
          <w:tcPr>
            <w:tcW w:type="dxa" w:w="1949"/>
            <w:vAlign w:val="center"/>
          </w:tcPr>
          <w:p w14:paraId="E1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</w:rPr>
              <w:t>4 146 922</w:t>
            </w:r>
          </w:p>
        </w:tc>
      </w:tr>
      <w:tr>
        <w:tc>
          <w:tcPr>
            <w:tcW w:type="dxa" w:w="4503"/>
            <w:vAlign w:val="center"/>
          </w:tcPr>
          <w:p w14:paraId="E200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Прибыль (+)</w:t>
            </w:r>
            <w:r>
              <w:rPr>
                <w:rFonts w:ascii="Times New Roman" w:hAnsi="Times New Roman"/>
                <w:sz w:val="22"/>
              </w:rPr>
              <w:t>/</w:t>
            </w:r>
            <w:r>
              <w:rPr>
                <w:rFonts w:ascii="Times New Roman" w:hAnsi="Times New Roman"/>
                <w:sz w:val="22"/>
              </w:rPr>
              <w:t>убыток (-) от продаж</w:t>
            </w:r>
          </w:p>
        </w:tc>
        <w:tc>
          <w:tcPr>
            <w:tcW w:type="dxa" w:w="1134"/>
          </w:tcPr>
          <w:p w14:paraId="E3000000">
            <w:r>
              <w:rPr>
                <w:rFonts w:ascii="Times New Roman" w:hAnsi="Times New Roman"/>
                <w:sz w:val="22"/>
              </w:rPr>
              <w:t>тыс.руб.</w:t>
            </w:r>
          </w:p>
        </w:tc>
        <w:tc>
          <w:tcPr>
            <w:tcW w:type="dxa" w:w="1984"/>
            <w:vAlign w:val="bottom"/>
          </w:tcPr>
          <w:p w14:paraId="E4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- 91 408</w:t>
            </w:r>
          </w:p>
        </w:tc>
        <w:tc>
          <w:tcPr>
            <w:tcW w:type="dxa" w:w="1949"/>
            <w:vAlign w:val="bottom"/>
          </w:tcPr>
          <w:p w14:paraId="E5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- 669 820</w:t>
            </w:r>
          </w:p>
        </w:tc>
      </w:tr>
      <w:tr>
        <w:tc>
          <w:tcPr>
            <w:tcW w:type="dxa" w:w="4503"/>
            <w:vAlign w:val="center"/>
          </w:tcPr>
          <w:p w14:paraId="E600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Прибыль (+)/Убыток (-) до налогообложения</w:t>
            </w:r>
          </w:p>
        </w:tc>
        <w:tc>
          <w:tcPr>
            <w:tcW w:type="dxa" w:w="1134"/>
          </w:tcPr>
          <w:p w14:paraId="E7000000">
            <w:r>
              <w:rPr>
                <w:rFonts w:ascii="Times New Roman" w:hAnsi="Times New Roman"/>
                <w:sz w:val="22"/>
              </w:rPr>
              <w:t>тыс.руб.</w:t>
            </w:r>
          </w:p>
        </w:tc>
        <w:tc>
          <w:tcPr>
            <w:tcW w:type="dxa" w:w="1984"/>
            <w:vAlign w:val="center"/>
          </w:tcPr>
          <w:p w14:paraId="E8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- 119 715</w:t>
            </w:r>
          </w:p>
        </w:tc>
        <w:tc>
          <w:tcPr>
            <w:tcW w:type="dxa" w:w="1949"/>
            <w:vAlign w:val="center"/>
          </w:tcPr>
          <w:p w14:paraId="E9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- 729 830</w:t>
            </w:r>
          </w:p>
        </w:tc>
      </w:tr>
      <w:tr>
        <w:tc>
          <w:tcPr>
            <w:tcW w:type="dxa" w:w="4503"/>
            <w:vAlign w:val="center"/>
          </w:tcPr>
          <w:p w14:paraId="EA00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Чистая прибыль</w:t>
            </w:r>
            <w:r>
              <w:rPr>
                <w:rFonts w:ascii="Times New Roman" w:hAnsi="Times New Roman"/>
                <w:sz w:val="22"/>
              </w:rPr>
              <w:t>/</w:t>
            </w:r>
            <w:r>
              <w:rPr>
                <w:rFonts w:ascii="Times New Roman" w:hAnsi="Times New Roman"/>
                <w:sz w:val="22"/>
              </w:rPr>
              <w:t>убыток</w:t>
            </w:r>
          </w:p>
        </w:tc>
        <w:tc>
          <w:tcPr>
            <w:tcW w:type="dxa" w:w="1134"/>
          </w:tcPr>
          <w:p w14:paraId="EB000000">
            <w:r>
              <w:rPr>
                <w:rFonts w:ascii="Times New Roman" w:hAnsi="Times New Roman"/>
                <w:sz w:val="22"/>
              </w:rPr>
              <w:t>тыс.руб.</w:t>
            </w:r>
          </w:p>
        </w:tc>
        <w:tc>
          <w:tcPr>
            <w:tcW w:type="dxa" w:w="1984"/>
            <w:vAlign w:val="center"/>
          </w:tcPr>
          <w:p w14:paraId="EC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- 100 658</w:t>
            </w:r>
          </w:p>
        </w:tc>
        <w:tc>
          <w:tcPr>
            <w:tcW w:type="dxa" w:w="1949"/>
            <w:vAlign w:val="center"/>
          </w:tcPr>
          <w:p w14:paraId="ED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- 585 261</w:t>
            </w:r>
          </w:p>
        </w:tc>
      </w:tr>
      <w:tr>
        <w:tc>
          <w:tcPr>
            <w:tcW w:type="dxa" w:w="4503"/>
            <w:vAlign w:val="center"/>
          </w:tcPr>
          <w:p w14:paraId="EE00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Среднесписочная численность</w:t>
            </w:r>
          </w:p>
        </w:tc>
        <w:tc>
          <w:tcPr>
            <w:tcW w:type="dxa" w:w="1134"/>
            <w:vAlign w:val="center"/>
          </w:tcPr>
          <w:p w14:paraId="EF00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чел</w:t>
            </w:r>
          </w:p>
        </w:tc>
        <w:tc>
          <w:tcPr>
            <w:tcW w:type="dxa" w:w="1984"/>
            <w:vAlign w:val="center"/>
          </w:tcPr>
          <w:p w14:paraId="F0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687</w:t>
            </w:r>
          </w:p>
        </w:tc>
        <w:tc>
          <w:tcPr>
            <w:tcW w:type="dxa" w:w="1949"/>
            <w:vAlign w:val="center"/>
          </w:tcPr>
          <w:p w14:paraId="F100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604*</w:t>
            </w:r>
          </w:p>
        </w:tc>
      </w:tr>
    </w:tbl>
    <w:p w14:paraId="F2000000">
      <w:pPr>
        <w:pStyle w:val="Style_9"/>
        <w:spacing w:before="0" w:line="240" w:lineRule="auto"/>
        <w:ind w:firstLine="720" w:left="0"/>
        <w:jc w:val="both"/>
        <w:rPr>
          <w:sz w:val="18"/>
        </w:rPr>
      </w:pPr>
      <w:r>
        <w:rPr>
          <w:sz w:val="18"/>
        </w:rPr>
        <w:t>*в т.ч. 268 чел в филиале АРЕ</w:t>
      </w:r>
    </w:p>
    <w:p w14:paraId="F3000000">
      <w:pPr>
        <w:ind w:firstLine="720" w:left="0"/>
        <w:jc w:val="both"/>
        <w:rPr>
          <w:rFonts w:ascii="Times New Roman" w:hAnsi="Times New Roman"/>
          <w:b w:val="1"/>
          <w:sz w:val="22"/>
        </w:rPr>
      </w:pPr>
    </w:p>
    <w:p w14:paraId="F4000000">
      <w:pPr>
        <w:pStyle w:val="Style_9"/>
        <w:spacing w:before="0" w:line="240" w:lineRule="auto"/>
        <w:ind w:firstLine="720" w:left="0"/>
        <w:jc w:val="both"/>
        <w:rPr>
          <w:sz w:val="22"/>
        </w:rPr>
      </w:pPr>
      <w:r>
        <w:rPr>
          <w:b w:val="1"/>
          <w:color w:val="FFFFFF"/>
          <w:sz w:val="22"/>
        </w:rPr>
        <w:t xml:space="preserve"> </w:t>
      </w:r>
      <w:r>
        <w:rPr>
          <w:sz w:val="22"/>
        </w:rPr>
        <w:t xml:space="preserve">Целями ПАО «СУС» в долгосрочной перспективе являются дальнейшее поэтапное развитие компании </w:t>
      </w:r>
      <w:r>
        <w:rPr>
          <w:sz w:val="22"/>
        </w:rPr>
        <w:t xml:space="preserve">и </w:t>
      </w:r>
      <w:r>
        <w:rPr>
          <w:sz w:val="22"/>
        </w:rPr>
        <w:t>усиление эффективности деятельности с целью увеличения прибыли, расширение географии присутствия на строительных площадках путем пополнения производственной программы новыми объектами, находящимися за пределами региона.</w:t>
      </w:r>
    </w:p>
    <w:p w14:paraId="F5000000">
      <w:pPr>
        <w:pStyle w:val="Style_9"/>
        <w:spacing w:before="0" w:line="240" w:lineRule="auto"/>
        <w:ind w:firstLine="720" w:left="0"/>
        <w:jc w:val="both"/>
        <w:rPr>
          <w:sz w:val="22"/>
        </w:rPr>
      </w:pPr>
    </w:p>
    <w:p w14:paraId="F6000000">
      <w:pPr>
        <w:pStyle w:val="Style_9"/>
        <w:spacing w:before="0" w:line="240" w:lineRule="auto"/>
        <w:ind w:firstLine="720" w:left="0"/>
        <w:jc w:val="both"/>
        <w:rPr>
          <w:sz w:val="22"/>
        </w:rPr>
      </w:pPr>
      <w:r>
        <w:rPr>
          <w:sz w:val="22"/>
        </w:rPr>
        <w:t xml:space="preserve">Основными перспективными направлениями деятельности ПАО «СУС» в 2023 и на 2024 годы стали: </w:t>
      </w:r>
    </w:p>
    <w:p w14:paraId="F7000000">
      <w:pPr>
        <w:pStyle w:val="Style_9"/>
        <w:numPr>
          <w:ilvl w:val="0"/>
          <w:numId w:val="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2"/>
        </w:rPr>
      </w:pPr>
      <w:r>
        <w:rPr>
          <w:sz w:val="22"/>
        </w:rPr>
        <w:t xml:space="preserve">подготовка к строительству объектов замещающих мощностей на стройплощадке ЛАЭС-2 (блоки № 3 и № 4); </w:t>
      </w:r>
    </w:p>
    <w:p w14:paraId="F8000000">
      <w:pPr>
        <w:pStyle w:val="Style_9"/>
        <w:numPr>
          <w:ilvl w:val="0"/>
          <w:numId w:val="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2"/>
        </w:rPr>
      </w:pPr>
      <w:r>
        <w:rPr>
          <w:sz w:val="22"/>
        </w:rPr>
        <w:t>реконструкция объектов (вывод из эксплуатации остановленных и реконструкция действующих) энергоблоков Ленинградской АЭС;</w:t>
      </w:r>
    </w:p>
    <w:p w14:paraId="F9000000">
      <w:pPr>
        <w:pStyle w:val="Style_9"/>
        <w:numPr>
          <w:ilvl w:val="0"/>
          <w:numId w:val="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2"/>
        </w:rPr>
      </w:pPr>
      <w:r>
        <w:rPr>
          <w:sz w:val="22"/>
        </w:rPr>
        <w:t>выполнение работ в г. Сосновый Бор, заказчиком которых выступает ФГУП «Научно - исследовательский технологический институт им. А.П. Александрова», Правительство Ленинградской области;</w:t>
      </w:r>
    </w:p>
    <w:p w14:paraId="FA000000">
      <w:pPr>
        <w:pStyle w:val="Style_9"/>
        <w:numPr>
          <w:ilvl w:val="0"/>
          <w:numId w:val="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2"/>
        </w:rPr>
      </w:pPr>
      <w:r>
        <w:rPr>
          <w:sz w:val="22"/>
        </w:rPr>
        <w:t>строительство Центра обработки и хранения данных (ЦОД) на территории Республики Татарстана</w:t>
      </w:r>
    </w:p>
    <w:p w14:paraId="FB000000">
      <w:pPr>
        <w:pStyle w:val="Style_9"/>
        <w:numPr>
          <w:ilvl w:val="0"/>
          <w:numId w:val="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2"/>
        </w:rPr>
      </w:pPr>
      <w:r>
        <w:rPr>
          <w:sz w:val="22"/>
        </w:rPr>
        <w:t>завершение работ на объекте «ЛСК» (Калининградская область), выполнение работ на объектах Курская АЭС, объект «Прорыв» в ЗАТО г. Северск, Красноярский Край г. Норильск), Центральном, Уральском, Сибирском Федеральных округах.</w:t>
      </w:r>
    </w:p>
    <w:p w14:paraId="FC000000">
      <w:pPr>
        <w:pStyle w:val="Style_9"/>
        <w:numPr>
          <w:ilvl w:val="0"/>
          <w:numId w:val="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2"/>
        </w:rPr>
      </w:pPr>
      <w:r>
        <w:rPr>
          <w:sz w:val="22"/>
        </w:rPr>
        <w:t>2022-2024 гг. участие в реализации проектов по строительству энергоблоков АЭС в Турецкой Республике (АЭС «АКУЮ»), Арабской Республике Египет (АЭС «ЭЛЬ ДАБАА»), Венгерской Республике (АЭС «ПАКШ»);</w:t>
      </w:r>
    </w:p>
    <w:p w14:paraId="FD000000">
      <w:pPr>
        <w:pStyle w:val="Style_9"/>
        <w:numPr>
          <w:ilvl w:val="0"/>
          <w:numId w:val="3"/>
        </w:numPr>
        <w:tabs>
          <w:tab w:leader="none" w:pos="993" w:val="left"/>
        </w:tabs>
        <w:spacing w:before="0" w:line="240" w:lineRule="auto"/>
        <w:ind w:firstLine="720" w:left="0"/>
        <w:jc w:val="both"/>
        <w:rPr>
          <w:sz w:val="22"/>
        </w:rPr>
      </w:pPr>
      <w:r>
        <w:rPr>
          <w:sz w:val="22"/>
        </w:rPr>
        <w:t xml:space="preserve">заключение в 2023 года крупных </w:t>
      </w:r>
      <w:r>
        <w:rPr>
          <w:color w:val="000000"/>
          <w:sz w:val="22"/>
        </w:rPr>
        <w:t xml:space="preserve">договоров субподряда </w:t>
      </w:r>
      <w:r>
        <w:rPr>
          <w:sz w:val="22"/>
        </w:rPr>
        <w:t>на выполнение строительно-монтажных работ, поставки оборудования, пусконаладочных работ и прочих работ на проектах «Производственно-технический комплекс по обработке, утилизации и обезвреживанию отходов I и II классов опасности «Щучье», «Горный»; строительство ЛАЭС-2 (3,4 энергоблок); Строительство Центра обработки и хранения данных на территории Республики Татарстан.</w:t>
      </w:r>
    </w:p>
    <w:p w14:paraId="FE000000">
      <w:bookmarkStart w:id="8" w:name="__RefHeading___5"/>
      <w:bookmarkEnd w:id="8"/>
      <w:pPr>
        <w:pStyle w:val="Style_7"/>
        <w:spacing w:before="240"/>
        <w:ind w:firstLine="0" w:left="425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1.4. Основные финансовые показатели ПАО «СУС»</w:t>
      </w:r>
    </w:p>
    <w:p w14:paraId="FF00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00010000">
      <w:bookmarkStart w:id="9" w:name="__RefHeading___6"/>
      <w:bookmarkEnd w:id="9"/>
      <w:pPr>
        <w:pStyle w:val="Style_7"/>
        <w:spacing w:before="240"/>
        <w:ind w:firstLine="0" w:left="283"/>
        <w:jc w:val="both"/>
        <w:rPr>
          <w:rFonts w:ascii="Times New Roman" w:hAnsi="Times New Roman"/>
          <w:b w:val="1"/>
        </w:rPr>
      </w:pPr>
      <w:bookmarkStart w:id="10" w:name="P242"/>
      <w:bookmarkEnd w:id="10"/>
      <w:r>
        <w:rPr>
          <w:rFonts w:ascii="Times New Roman" w:hAnsi="Times New Roman"/>
          <w:b w:val="1"/>
        </w:rPr>
        <w:t>1.5. Сведения об основных поставщиках, имеющих для эмитента существенное значение</w:t>
      </w:r>
    </w:p>
    <w:p w14:paraId="01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02010000">
      <w:bookmarkStart w:id="11" w:name="__RefHeading___7"/>
      <w:bookmarkEnd w:id="11"/>
      <w:pPr>
        <w:pStyle w:val="Style_7"/>
        <w:spacing w:before="240"/>
        <w:ind w:firstLine="0" w:left="283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1.6. Сведения об основных дебиторах, имеющих для эмитента существенное значение</w:t>
      </w:r>
    </w:p>
    <w:p w14:paraId="03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04010000">
      <w:bookmarkStart w:id="12" w:name="__RefHeading___8"/>
      <w:bookmarkEnd w:id="12"/>
      <w:pPr>
        <w:pStyle w:val="Style_7"/>
        <w:spacing w:before="240"/>
        <w:ind w:firstLine="0" w:left="283"/>
        <w:jc w:val="both"/>
        <w:rPr>
          <w:rFonts w:ascii="Times New Roman" w:hAnsi="Times New Roman"/>
          <w:b w:val="1"/>
        </w:rPr>
      </w:pPr>
      <w:bookmarkStart w:id="13" w:name="P268"/>
      <w:bookmarkEnd w:id="13"/>
      <w:r>
        <w:rPr>
          <w:rFonts w:ascii="Times New Roman" w:hAnsi="Times New Roman"/>
          <w:b w:val="1"/>
        </w:rPr>
        <w:t>1.7. Сведения об обязательствах эмитента</w:t>
      </w:r>
    </w:p>
    <w:p w14:paraId="05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06010000">
      <w:bookmarkStart w:id="14" w:name="__RefHeading___9"/>
      <w:bookmarkEnd w:id="14"/>
      <w:pPr>
        <w:pStyle w:val="Style_7"/>
        <w:spacing w:before="240"/>
        <w:ind w:firstLine="0" w:left="283"/>
        <w:jc w:val="both"/>
        <w:rPr>
          <w:rFonts w:ascii="Times New Roman" w:hAnsi="Times New Roman"/>
          <w:b w:val="1"/>
        </w:rPr>
      </w:pPr>
      <w:bookmarkStart w:id="15" w:name="P300"/>
      <w:bookmarkEnd w:id="15"/>
      <w:r>
        <w:rPr>
          <w:rFonts w:ascii="Times New Roman" w:hAnsi="Times New Roman"/>
          <w:b w:val="1"/>
        </w:rPr>
        <w:t>1.8. Сведения о перспективах развития эмитента</w:t>
      </w:r>
    </w:p>
    <w:p w14:paraId="07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bookmarkStart w:id="16" w:name="P304"/>
      <w:bookmarkEnd w:id="16"/>
      <w:r>
        <w:rPr>
          <w:rFonts w:ascii="Times New Roman" w:hAnsi="Times New Roman"/>
          <w:sz w:val="24"/>
        </w:rPr>
        <w:t>Сведения о перспективах развития общества на 2024-2025 гг. раскрыта Обществом в Годовом отчете, утвержденном Общим собранием акционеров ПАО «СУС» 28.06.2024 г. (Протокол ГОСА 1-2024 от 01.07.2024).</w:t>
      </w:r>
    </w:p>
    <w:p w14:paraId="08010000">
      <w:pPr>
        <w:ind w:firstLine="720" w:left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В целях улучшения финансового состояния ПАО СУС в 2024 году, </w:t>
      </w:r>
      <w:r>
        <w:rPr>
          <w:rFonts w:ascii="Times New Roman" w:hAnsi="Times New Roman"/>
          <w:sz w:val="22"/>
        </w:rPr>
        <w:t>продолжены</w:t>
      </w:r>
      <w:r>
        <w:rPr>
          <w:rFonts w:ascii="Times New Roman" w:hAnsi="Times New Roman"/>
          <w:sz w:val="22"/>
        </w:rPr>
        <w:t xml:space="preserve"> мероприятия, заложенные в основу в 2023 году, в т.ч.:</w:t>
      </w:r>
    </w:p>
    <w:p w14:paraId="09010000">
      <w:pPr>
        <w:pStyle w:val="Style_9"/>
        <w:numPr>
          <w:ilvl w:val="0"/>
          <w:numId w:val="4"/>
        </w:numPr>
        <w:tabs>
          <w:tab w:leader="none" w:pos="710" w:val="left"/>
          <w:tab w:leader="none" w:pos="1276" w:val="left"/>
        </w:tabs>
        <w:spacing w:before="0" w:line="240" w:lineRule="auto"/>
        <w:ind w:firstLine="851" w:left="0"/>
        <w:jc w:val="both"/>
        <w:rPr>
          <w:sz w:val="22"/>
        </w:rPr>
      </w:pPr>
      <w:r>
        <w:rPr>
          <w:sz w:val="22"/>
        </w:rPr>
        <w:t>исключение простоев техники и рабочей силы, обеспечивая тем самым непрерывность производственных процессов на объектах строительства;</w:t>
      </w:r>
    </w:p>
    <w:p w14:paraId="0A010000">
      <w:pPr>
        <w:pStyle w:val="Style_9"/>
        <w:numPr>
          <w:ilvl w:val="0"/>
          <w:numId w:val="4"/>
        </w:numPr>
        <w:tabs>
          <w:tab w:leader="none" w:pos="710" w:val="left"/>
          <w:tab w:leader="none" w:pos="1276" w:val="left"/>
        </w:tabs>
        <w:spacing w:before="0" w:line="240" w:lineRule="auto"/>
        <w:ind w:firstLine="851" w:left="0"/>
        <w:jc w:val="both"/>
        <w:rPr>
          <w:sz w:val="22"/>
        </w:rPr>
      </w:pPr>
      <w:r>
        <w:rPr>
          <w:sz w:val="22"/>
        </w:rPr>
        <w:t xml:space="preserve">минимизация затрат на создание временной инфраструктуры строительной площадки (временные дороги, временные ограждения, временное энерго- и водоснабжение) путем рациональной организации строительной площадки; </w:t>
      </w:r>
    </w:p>
    <w:p w14:paraId="0B010000">
      <w:pPr>
        <w:pStyle w:val="Style_9"/>
        <w:numPr>
          <w:ilvl w:val="0"/>
          <w:numId w:val="4"/>
        </w:numPr>
        <w:tabs>
          <w:tab w:leader="none" w:pos="710" w:val="left"/>
          <w:tab w:leader="none" w:pos="1276" w:val="left"/>
        </w:tabs>
        <w:spacing w:before="0" w:line="240" w:lineRule="auto"/>
        <w:ind w:firstLine="851" w:left="0"/>
        <w:jc w:val="both"/>
        <w:rPr>
          <w:sz w:val="22"/>
        </w:rPr>
      </w:pPr>
      <w:r>
        <w:rPr>
          <w:sz w:val="22"/>
        </w:rPr>
        <w:t>обеспечение качественных санитарно-бытовых условий для работающих и безопасных условий труда на строительной площадке с соблюдением требований охраны труда и экологии производства.</w:t>
      </w:r>
    </w:p>
    <w:p w14:paraId="0C010000">
      <w:bookmarkStart w:id="17" w:name="__RefHeading___10"/>
      <w:bookmarkEnd w:id="17"/>
      <w:pPr>
        <w:pStyle w:val="Style_7"/>
        <w:spacing w:before="240"/>
        <w:ind w:firstLine="0" w:left="283"/>
        <w:jc w:val="both"/>
        <w:rPr>
          <w:rFonts w:ascii="Times New Roman" w:hAnsi="Times New Roman"/>
          <w:b w:val="1"/>
        </w:rPr>
      </w:pPr>
      <w:bookmarkStart w:id="18" w:name="_GoBack"/>
      <w:bookmarkEnd w:id="18"/>
      <w:r>
        <w:rPr>
          <w:rFonts w:ascii="Times New Roman" w:hAnsi="Times New Roman"/>
          <w:b w:val="1"/>
        </w:rPr>
        <w:t>1.9. Сведения о рисках, связанных с деятельностью эмитента</w:t>
      </w:r>
    </w:p>
    <w:p w14:paraId="0D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0E010000">
      <w:bookmarkStart w:id="19" w:name="__RefHeading___11"/>
      <w:bookmarkEnd w:id="19"/>
      <w:pPr>
        <w:widowControl w:val="0"/>
        <w:spacing w:after="120" w:before="360"/>
        <w:ind/>
        <w:jc w:val="both"/>
        <w:outlineLvl w:val="0"/>
        <w:rPr>
          <w:rFonts w:ascii="Times New Roman" w:hAnsi="Times New Roman"/>
          <w:b w:val="1"/>
          <w:color w:val="203864"/>
        </w:rPr>
      </w:pPr>
      <w:r>
        <w:rPr>
          <w:rFonts w:ascii="Times New Roman" w:hAnsi="Times New Roman"/>
          <w:b w:val="1"/>
          <w:color w:val="203864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14:paraId="0F010000">
      <w:bookmarkStart w:id="20" w:name="__RefHeading___12"/>
      <w:bookmarkEnd w:id="20"/>
      <w:pPr>
        <w:pStyle w:val="Style_7"/>
        <w:numPr>
          <w:ilvl w:val="1"/>
          <w:numId w:val="5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21" w:name="P380"/>
      <w:bookmarkEnd w:id="21"/>
      <w:r>
        <w:rPr>
          <w:rFonts w:ascii="Times New Roman" w:hAnsi="Times New Roman"/>
          <w:b w:val="1"/>
        </w:rPr>
        <w:t>Информация о лицах, входящих в состав органов управления эмитента</w:t>
      </w:r>
    </w:p>
    <w:p w14:paraId="10010000">
      <w:pPr>
        <w:pStyle w:val="Style_8"/>
        <w:spacing w:before="220"/>
        <w:ind w:firstLine="20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Ценные бумаги Эмитента не допущены к организованным торгам, поэтому данный пункт в состав отчета эмитента за 6 месяцев не включается. </w:t>
      </w:r>
    </w:p>
    <w:p w14:paraId="11010000">
      <w:bookmarkStart w:id="22" w:name="__RefHeading___13"/>
      <w:bookmarkEnd w:id="22"/>
      <w:pPr>
        <w:pStyle w:val="Style_7"/>
        <w:numPr>
          <w:ilvl w:val="1"/>
          <w:numId w:val="5"/>
        </w:numPr>
        <w:spacing w:before="240"/>
        <w:ind w:firstLine="425" w:left="0"/>
        <w:jc w:val="both"/>
        <w:rPr>
          <w:rFonts w:ascii="Times New Roman" w:hAnsi="Times New Roman"/>
          <w:b w:val="1"/>
        </w:rPr>
      </w:pPr>
      <w:bookmarkStart w:id="23" w:name="P406"/>
      <w:bookmarkEnd w:id="23"/>
      <w:r>
        <w:rPr>
          <w:rFonts w:ascii="Times New Roman" w:hAnsi="Times New Roman"/>
          <w:b w:val="1"/>
        </w:rPr>
        <w:t>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14:paraId="12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Ценные бумаги Эмитента не допущены к организованным торгам, поэтому данный пункт в состав отчета эмитента за 6 месяцев не включается. </w:t>
      </w:r>
    </w:p>
    <w:p w14:paraId="13010000">
      <w:bookmarkStart w:id="24" w:name="__RefHeading___14"/>
      <w:bookmarkEnd w:id="24"/>
      <w:pPr>
        <w:pStyle w:val="Style_7"/>
        <w:numPr>
          <w:ilvl w:val="1"/>
          <w:numId w:val="5"/>
        </w:numPr>
        <w:spacing w:before="240"/>
        <w:ind w:firstLine="425" w:left="0"/>
        <w:jc w:val="both"/>
        <w:rPr>
          <w:rFonts w:ascii="Times New Roman" w:hAnsi="Times New Roman"/>
          <w:b w:val="1"/>
        </w:rPr>
      </w:pPr>
      <w:bookmarkStart w:id="25" w:name="P413"/>
      <w:bookmarkEnd w:id="25"/>
      <w:r>
        <w:rPr>
          <w:rFonts w:ascii="Times New Roman" w:hAnsi="Times New Roman"/>
          <w:b w:val="1"/>
        </w:rPr>
        <w:t>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14:paraId="14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Ценные бумаги Эмитента не допущены к организованным торгам, поэтому данный пункт в состав отчета эмитента за 6 месяцев не включается. </w:t>
      </w:r>
    </w:p>
    <w:p w14:paraId="15010000">
      <w:bookmarkStart w:id="26" w:name="__RefHeading___64"/>
      <w:bookmarkEnd w:id="26"/>
      <w:pPr>
        <w:pStyle w:val="Style_7"/>
        <w:numPr>
          <w:ilvl w:val="1"/>
          <w:numId w:val="5"/>
        </w:numPr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14:paraId="1601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Политика области организации внутреннего аудита публичного акционерного общества «Северное управление строительства» (далее - Политика)</w:t>
      </w:r>
      <w:r>
        <w:rPr>
          <w:rFonts w:ascii="Times New Roman" w:hAnsi="Times New Roman"/>
        </w:rPr>
        <w:t xml:space="preserve"> разработана в соответствии с  з</w:t>
      </w:r>
      <w:r>
        <w:rPr>
          <w:rFonts w:ascii="Times New Roman" w:hAnsi="Times New Roman"/>
        </w:rPr>
        <w:t>аконодательством Российской Федерации, в том числе Федеральным законом от 26.12.1995 № 208-ФЗ «Об акционерных обществах» и Уставом Общества и утверждена Советом директоров  15.08.2023 , Протокол №11-2023. Политика является внутренним документом Общества и обязательна к применению всеми структурными подразделениями Общества.</w:t>
      </w:r>
    </w:p>
    <w:p w14:paraId="17010000">
      <w:pPr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Внутренний аудитор – лицо, ответственное за осуществление внутреннего аудита в Обществе, который осуществляется с использованием риск-ориентированного подхода, предусматривающего планирование и проведение проверочных мероприятий на основе оценки рисков – для концентрации внимания на наиболее уязвимых объектах и направлениях деятельности.</w:t>
      </w:r>
    </w:p>
    <w:p w14:paraId="18010000">
      <w:pPr>
        <w:tabs>
          <w:tab w:leader="none" w:pos="0" w:val="left"/>
        </w:tabs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Специалистом по внутреннему аудиту в Обществе назначена 15.08.2023 Дорофеева Е.А.</w:t>
      </w:r>
    </w:p>
    <w:p w14:paraId="19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bookmarkStart w:id="27" w:name="P433"/>
      <w:bookmarkEnd w:id="27"/>
      <w:r>
        <w:rPr>
          <w:rFonts w:ascii="Times New Roman" w:hAnsi="Times New Roman"/>
          <w:b w:val="1"/>
          <w:sz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14:paraId="1A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Обязательств эмитента перед работниками эмитента и работниками подконтрольных эмитенту организаций, касающихся возможности их участия в уставном капитале не возникало. </w:t>
      </w:r>
    </w:p>
    <w:p w14:paraId="1B010000">
      <w:bookmarkStart w:id="28" w:name="__RefHeading___16"/>
      <w:bookmarkEnd w:id="28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  <w:color w:val="1F4E79"/>
        </w:rPr>
        <w:t>Р</w:t>
      </w:r>
      <w:r>
        <w:rPr>
          <w:rFonts w:ascii="Times New Roman" w:hAnsi="Times New Roman"/>
          <w:b w:val="1"/>
          <w:color w:val="1F4E79"/>
        </w:rPr>
        <w:t>аздел</w:t>
      </w:r>
      <w:r>
        <w:rPr>
          <w:rFonts w:ascii="Times New Roman" w:hAnsi="Times New Roman"/>
          <w:b w:val="1"/>
          <w:color w:val="1F4E79"/>
        </w:rPr>
        <w:t xml:space="preserve">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14:paraId="1C010000">
      <w:bookmarkStart w:id="29" w:name="__RefHeading___17"/>
      <w:bookmarkEnd w:id="29"/>
      <w:pPr>
        <w:pStyle w:val="Style_7"/>
        <w:numPr>
          <w:ilvl w:val="1"/>
          <w:numId w:val="6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30" w:name="P447"/>
      <w:bookmarkEnd w:id="30"/>
      <w:r>
        <w:rPr>
          <w:rFonts w:ascii="Times New Roman" w:hAnsi="Times New Roman"/>
          <w:b w:val="1"/>
        </w:rPr>
        <w:t>Сведения об общем количестве акционеров эмитента</w:t>
      </w:r>
    </w:p>
    <w:p w14:paraId="1D010000">
      <w:pPr>
        <w:pStyle w:val="Style_8"/>
        <w:spacing w:before="220"/>
        <w:ind w:firstLine="540" w:left="0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sz w:val="24"/>
        </w:rPr>
        <w:t xml:space="preserve">Общее количество лиц с ненулевыми остатками на лицевых счетах, зарегистрированных в реестре акционеров эмитента на дату окончания отчетного квартала: </w:t>
      </w:r>
      <w:r>
        <w:rPr>
          <w:rFonts w:ascii="Times New Roman" w:hAnsi="Times New Roman"/>
          <w:b w:val="1"/>
          <w:sz w:val="24"/>
        </w:rPr>
        <w:t>4319.</w:t>
      </w:r>
    </w:p>
    <w:p w14:paraId="1E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Общее количество номинальных держателей акций эмитента: 0</w:t>
      </w:r>
    </w:p>
    <w:p w14:paraId="1F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и, для составления которого, номинальные держатели акций эмитента представляли данные о лицах, в интересах которых они владели (владеют) акциями эмитента): 4 319.</w:t>
      </w:r>
    </w:p>
    <w:p w14:paraId="20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</w:t>
      </w:r>
      <w:r>
        <w:rPr>
          <w:rFonts w:ascii="Times New Roman" w:hAnsi="Times New Roman"/>
          <w:sz w:val="24"/>
        </w:rPr>
        <w:t>лиц, составленного в целях осуществления (реализации) прав по акциям эмитента и, для составления которого, номинальные держатели акций эмитента представляли данные о лицах, в интересах которых они владели (владеют) акциями эмитента): 03.06.2024.</w:t>
      </w:r>
    </w:p>
    <w:p w14:paraId="21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Владельцы обыкновенных акций эмитента, которые подлежали включению в такой список: 3 432.</w:t>
      </w:r>
    </w:p>
    <w:p w14:paraId="22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Владельцы привилегированных акций эмитента, которые подлежали включению в такой список: 3 719.</w:t>
      </w:r>
    </w:p>
    <w:p w14:paraId="23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Информация о количестве собственных акций, находящихся на балансе эмитента на дату окончания отчетного квартала: Собственных акций, находящихся на балансе эмитента, не имеется.</w:t>
      </w:r>
    </w:p>
    <w:p w14:paraId="24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Информация о количестве акций эмитента, принадлежащих подконтрольным ему организациям: Акций эмитента, принадлежащих подконтрольным ему организациям, не имеется.</w:t>
      </w:r>
    </w:p>
    <w:p w14:paraId="25010000">
      <w:bookmarkStart w:id="31" w:name="__RefHeading___67"/>
      <w:bookmarkEnd w:id="31"/>
      <w:pPr>
        <w:pStyle w:val="Style_7"/>
        <w:numPr>
          <w:ilvl w:val="1"/>
          <w:numId w:val="6"/>
        </w:numPr>
        <w:spacing w:before="240"/>
        <w:ind w:firstLine="709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14:paraId="26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Акционером Общества, владеющим не менее чем пятью процентами его уставного капитала или не менее чем пятью процентами его обыкновенных акций является:</w:t>
      </w:r>
    </w:p>
    <w:p w14:paraId="27010000">
      <w:pPr>
        <w:widowControl w:val="0"/>
        <w:numPr>
          <w:ilvl w:val="0"/>
          <w:numId w:val="7"/>
        </w:numPr>
        <w:spacing w:after="40" w:before="20"/>
        <w:ind/>
        <w:rPr>
          <w:rFonts w:ascii="Times New Roman" w:hAnsi="Times New Roman"/>
        </w:rPr>
      </w:pPr>
      <w:r>
        <w:rPr>
          <w:rFonts w:ascii="Times New Roman" w:hAnsi="Times New Roman"/>
        </w:rPr>
        <w:t>Полное фирменное наименование:</w:t>
      </w:r>
      <w:r>
        <w:rPr>
          <w:rFonts w:ascii="Times New Roman" w:hAnsi="Times New Roman"/>
          <w:b w:val="1"/>
          <w:i w:val="1"/>
        </w:rPr>
        <w:t xml:space="preserve"> А</w:t>
      </w:r>
      <w:r>
        <w:rPr>
          <w:rFonts w:ascii="Times New Roman" w:hAnsi="Times New Roman"/>
          <w:b w:val="1"/>
        </w:rPr>
        <w:t>кционерное общество «ТИТАН-2»</w:t>
      </w:r>
    </w:p>
    <w:p w14:paraId="28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>АО «ТИТАН-2»</w:t>
      </w:r>
    </w:p>
    <w:p w14:paraId="29010000">
      <w:pPr>
        <w:widowControl w:val="0"/>
        <w:spacing w:after="40" w:before="24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</w:t>
      </w:r>
      <w:r>
        <w:rPr>
          <w:rFonts w:ascii="Times New Roman" w:hAnsi="Times New Roman"/>
          <w:b w:val="1"/>
        </w:rPr>
        <w:t>188540 Российская Федерация, Ленинградская область, г. Сосновый Бор, Копорское шоссе 64</w:t>
      </w:r>
    </w:p>
    <w:p w14:paraId="2A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ИНН: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 xml:space="preserve">4714020401    </w:t>
      </w:r>
      <w:r>
        <w:rPr>
          <w:rFonts w:ascii="Times New Roman" w:hAnsi="Times New Roman"/>
        </w:rPr>
        <w:t>ОГРН: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>1074714000570</w:t>
      </w:r>
    </w:p>
    <w:p w14:paraId="2B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Доля участия лица в уставном капитале эмитента: </w:t>
      </w:r>
      <w:r>
        <w:rPr>
          <w:rFonts w:ascii="Times New Roman" w:hAnsi="Times New Roman"/>
          <w:b w:val="1"/>
        </w:rPr>
        <w:t>99.5149%</w:t>
      </w:r>
    </w:p>
    <w:p w14:paraId="2C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лицу обыкновенных акций эмитента: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>99.7228%</w:t>
      </w:r>
    </w:p>
    <w:p w14:paraId="2D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Лица, контролирующие участника (акционера) эмитента: Информация об указанных лицах эмитенту отсутствует.</w:t>
      </w:r>
    </w:p>
    <w:p w14:paraId="2E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Акционерами АО «ТИТАН-2», владеющими не менее чем 20 процентами его уставного капитала или не менее чем 20 % его обыкновенных акций ,в свою очередь, являются:</w:t>
      </w:r>
    </w:p>
    <w:p w14:paraId="2F010000">
      <w:pPr>
        <w:widowControl w:val="0"/>
        <w:numPr>
          <w:ilvl w:val="0"/>
          <w:numId w:val="8"/>
        </w:numPr>
        <w:spacing w:after="40" w:before="20"/>
        <w:ind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Полное фирменное наименование: </w:t>
      </w:r>
      <w:r>
        <w:rPr>
          <w:rFonts w:ascii="Times New Roman" w:hAnsi="Times New Roman"/>
          <w:b w:val="1"/>
        </w:rPr>
        <w:t>Закрытое акционерное общество "Н-2"</w:t>
      </w:r>
    </w:p>
    <w:p w14:paraId="30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>ЗАО "Н-2"</w:t>
      </w:r>
    </w:p>
    <w:p w14:paraId="31010000">
      <w:pPr>
        <w:widowControl w:val="0"/>
        <w:spacing w:after="4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</w:t>
      </w:r>
      <w:r>
        <w:rPr>
          <w:rFonts w:ascii="Times New Roman" w:hAnsi="Times New Roman"/>
          <w:b w:val="1"/>
          <w:i w:val="1"/>
        </w:rPr>
        <w:t>1</w:t>
      </w:r>
      <w:r>
        <w:rPr>
          <w:rFonts w:ascii="Times New Roman" w:hAnsi="Times New Roman"/>
          <w:b w:val="1"/>
        </w:rPr>
        <w:t>88540 Российская Федерация, Ленинградская o6n., r. Cocновый Бор, ул. Ленинградская 32</w:t>
      </w:r>
    </w:p>
    <w:p w14:paraId="32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ИНН: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 xml:space="preserve">4714020257     </w:t>
      </w:r>
      <w:r>
        <w:rPr>
          <w:rFonts w:ascii="Times New Roman" w:hAnsi="Times New Roman"/>
          <w:i w:val="0"/>
        </w:rPr>
        <w:t>ОГРН:</w:t>
      </w:r>
      <w:r>
        <w:rPr>
          <w:rFonts w:ascii="Times New Roman" w:hAnsi="Times New Roman"/>
          <w:b w:val="1"/>
          <w:i w:val="0"/>
        </w:rPr>
        <w:t xml:space="preserve"> </w:t>
      </w:r>
      <w:r>
        <w:rPr>
          <w:rFonts w:ascii="Times New Roman" w:hAnsi="Times New Roman"/>
          <w:b w:val="1"/>
        </w:rPr>
        <w:t>1074714000283</w:t>
      </w:r>
    </w:p>
    <w:p w14:paraId="33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 акционера эмитента, %:</w:t>
      </w:r>
      <w:r>
        <w:rPr>
          <w:rFonts w:ascii="Times New Roman" w:hAnsi="Times New Roman"/>
          <w:b w:val="1"/>
          <w:i w:val="1"/>
        </w:rPr>
        <w:t xml:space="preserve"> 50</w:t>
      </w:r>
    </w:p>
    <w:p w14:paraId="34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акционера эмитента, %:</w:t>
      </w:r>
      <w:r>
        <w:rPr>
          <w:rFonts w:ascii="Times New Roman" w:hAnsi="Times New Roman"/>
          <w:b w:val="1"/>
          <w:i w:val="1"/>
        </w:rPr>
        <w:t xml:space="preserve"> 50</w:t>
      </w:r>
    </w:p>
    <w:p w14:paraId="35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(паевом фонде)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36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37010000">
      <w:pPr>
        <w:widowControl w:val="0"/>
        <w:numPr>
          <w:ilvl w:val="0"/>
          <w:numId w:val="8"/>
        </w:numPr>
        <w:spacing w:after="40" w:before="240"/>
        <w:ind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Полное фирменное наименование: </w:t>
      </w:r>
      <w:r>
        <w:rPr>
          <w:rFonts w:ascii="Times New Roman" w:hAnsi="Times New Roman"/>
          <w:b w:val="1"/>
        </w:rPr>
        <w:t>Закрытое акционерное общество "СЛ-ЦЕНТР"</w:t>
      </w:r>
    </w:p>
    <w:p w14:paraId="38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>ЗАО "СЛ-ЦЕНТР"</w:t>
      </w:r>
    </w:p>
    <w:p w14:paraId="39010000">
      <w:pPr>
        <w:widowControl w:val="0"/>
        <w:spacing w:after="4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</w:t>
      </w:r>
      <w:r>
        <w:rPr>
          <w:rFonts w:ascii="Times New Roman" w:hAnsi="Times New Roman"/>
          <w:b w:val="1"/>
        </w:rPr>
        <w:t>191025, Российская Федерация, г. Caнкт</w:t>
      </w:r>
      <w:r>
        <w:rPr>
          <w:rFonts w:ascii="Times New Roman" w:hAnsi="Times New Roman"/>
          <w:b w:val="1"/>
        </w:rPr>
        <w:t xml:space="preserve"> </w:t>
      </w:r>
      <w:r>
        <w:rPr>
          <w:rFonts w:ascii="Times New Roman" w:hAnsi="Times New Roman"/>
          <w:b w:val="1"/>
        </w:rPr>
        <w:t>-</w:t>
      </w:r>
      <w:r>
        <w:rPr>
          <w:rFonts w:ascii="Times New Roman" w:hAnsi="Times New Roman"/>
          <w:b w:val="1"/>
        </w:rPr>
        <w:t xml:space="preserve"> </w:t>
      </w:r>
      <w:r>
        <w:rPr>
          <w:rFonts w:ascii="Times New Roman" w:hAnsi="Times New Roman"/>
          <w:b w:val="1"/>
        </w:rPr>
        <w:t>Пeтербург, np</w:t>
      </w:r>
      <w:r>
        <w:rPr>
          <w:rFonts w:ascii="Times New Roman" w:hAnsi="Times New Roman"/>
          <w:b w:val="1"/>
        </w:rPr>
        <w:t xml:space="preserve"> </w:t>
      </w:r>
      <w:r>
        <w:rPr>
          <w:rFonts w:ascii="Times New Roman" w:hAnsi="Times New Roman"/>
          <w:b w:val="1"/>
        </w:rPr>
        <w:t>-</w:t>
      </w:r>
      <w:r>
        <w:rPr>
          <w:rFonts w:ascii="Times New Roman" w:hAnsi="Times New Roman"/>
          <w:b w:val="1"/>
        </w:rPr>
        <w:t xml:space="preserve"> </w:t>
      </w:r>
      <w:r>
        <w:rPr>
          <w:rFonts w:ascii="Times New Roman" w:hAnsi="Times New Roman"/>
          <w:b w:val="1"/>
        </w:rPr>
        <w:t>кт Невский 104, стр. лит.</w:t>
      </w:r>
      <w:r>
        <w:rPr>
          <w:rFonts w:ascii="Times New Roman" w:hAnsi="Times New Roman"/>
          <w:b w:val="1"/>
        </w:rPr>
        <w:t xml:space="preserve"> </w:t>
      </w:r>
      <w:r>
        <w:rPr>
          <w:rFonts w:ascii="Times New Roman" w:hAnsi="Times New Roman"/>
          <w:b w:val="1"/>
        </w:rPr>
        <w:t>А</w:t>
      </w:r>
    </w:p>
    <w:p w14:paraId="3A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ИНН:</w:t>
      </w:r>
      <w:r>
        <w:rPr>
          <w:rFonts w:ascii="Times New Roman" w:hAnsi="Times New Roman"/>
          <w:b w:val="1"/>
          <w:i w:val="1"/>
        </w:rPr>
        <w:t xml:space="preserve"> 7</w:t>
      </w:r>
      <w:r>
        <w:rPr>
          <w:rFonts w:ascii="Times New Roman" w:hAnsi="Times New Roman"/>
          <w:b w:val="1"/>
        </w:rPr>
        <w:t xml:space="preserve">841355332  </w:t>
      </w:r>
      <w:r>
        <w:rPr>
          <w:rFonts w:ascii="Times New Roman" w:hAnsi="Times New Roman"/>
        </w:rPr>
        <w:t xml:space="preserve">  ОГРН: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>1077847050258</w:t>
      </w:r>
    </w:p>
    <w:p w14:paraId="3B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 акционера эмитента, %:</w:t>
      </w:r>
      <w:r>
        <w:rPr>
          <w:rFonts w:ascii="Times New Roman" w:hAnsi="Times New Roman"/>
          <w:b w:val="1"/>
          <w:i w:val="1"/>
        </w:rPr>
        <w:t>50</w:t>
      </w:r>
    </w:p>
    <w:p w14:paraId="3C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акционера эмитента, %:</w:t>
      </w:r>
      <w:r>
        <w:rPr>
          <w:rFonts w:ascii="Times New Roman" w:hAnsi="Times New Roman"/>
          <w:b w:val="1"/>
          <w:i w:val="1"/>
        </w:rPr>
        <w:t xml:space="preserve"> 50</w:t>
      </w:r>
    </w:p>
    <w:p w14:paraId="3D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(паевом фонде)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3E010000">
      <w:pPr>
        <w:widowControl w:val="0"/>
        <w:spacing w:after="40" w:before="20"/>
        <w:ind w:firstLine="0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3F010000">
      <w:pPr>
        <w:pStyle w:val="Style_8"/>
        <w:spacing w:before="220"/>
        <w:ind w:firstLine="284" w:left="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sz w:val="24"/>
        </w:rPr>
        <w:t xml:space="preserve">Иные сведения, указываемые эмитентом по собственному усмотрению: </w:t>
      </w:r>
      <w:r>
        <w:rPr>
          <w:rFonts w:ascii="Times New Roman" w:hAnsi="Times New Roman"/>
          <w:i w:val="1"/>
          <w:sz w:val="24"/>
        </w:rPr>
        <w:t>иные сведения отсутствуют.</w:t>
      </w:r>
    </w:p>
    <w:p w14:paraId="40010000">
      <w:bookmarkStart w:id="32" w:name="__RefHeading___41"/>
      <w:bookmarkEnd w:id="32"/>
      <w:pPr>
        <w:pStyle w:val="Style_7"/>
        <w:numPr>
          <w:ilvl w:val="1"/>
          <w:numId w:val="6"/>
        </w:numPr>
        <w:spacing w:before="240"/>
        <w:ind w:firstLine="425" w:left="0"/>
        <w:jc w:val="both"/>
        <w:rPr>
          <w:rFonts w:ascii="Times New Roman" w:hAnsi="Times New Roman"/>
          <w:b w:val="1"/>
        </w:rPr>
      </w:pPr>
      <w:bookmarkStart w:id="33" w:name="P486"/>
      <w:bookmarkEnd w:id="33"/>
      <w:r>
        <w:rPr>
          <w:rFonts w:ascii="Times New Roman" w:hAnsi="Times New Roman"/>
          <w:b w:val="1"/>
        </w:rPr>
        <w:t>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14:paraId="41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Сведения об управляющих государственными, муниципальными пакетами акций: Указанных лиц нет.</w:t>
      </w:r>
    </w:p>
    <w:p w14:paraId="42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эмитента: Указанных лиц нет.</w:t>
      </w:r>
    </w:p>
    <w:p w14:paraId="43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акции'): Указанное право не предусмотрено.</w:t>
      </w:r>
    </w:p>
    <w:p w14:paraId="44010000">
      <w:bookmarkStart w:id="34" w:name="__RefHeading___38"/>
      <w:bookmarkEnd w:id="34"/>
      <w:pPr>
        <w:pStyle w:val="Style_7"/>
        <w:numPr>
          <w:ilvl w:val="1"/>
          <w:numId w:val="6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35" w:name="P492"/>
      <w:bookmarkEnd w:id="35"/>
      <w:r>
        <w:rPr>
          <w:rStyle w:val="Style_7_ch"/>
          <w:rFonts w:ascii="Times New Roman" w:hAnsi="Times New Roman"/>
          <w:b w:val="1"/>
        </w:rPr>
        <w:t>Сделки эмитента, в совершении которых имелась заинтересованность</w:t>
      </w:r>
    </w:p>
    <w:p w14:paraId="45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Style w:val="Style_7_ch"/>
          <w:rFonts w:ascii="Times New Roman" w:hAnsi="Times New Roman"/>
          <w:b w:val="0"/>
        </w:rPr>
        <w:t xml:space="preserve">Информация, предусмотренная </w:t>
      </w:r>
      <w:r>
        <w:rPr>
          <w:rStyle w:val="Style_7_ch"/>
          <w:rFonts w:ascii="Times New Roman" w:hAnsi="Times New Roman"/>
          <w:b w:val="0"/>
        </w:rPr>
        <w:fldChar w:fldCharType="begin"/>
      </w:r>
      <w:r>
        <w:rPr>
          <w:rStyle w:val="Style_7_ch"/>
          <w:rFonts w:ascii="Times New Roman" w:hAnsi="Times New Roman"/>
          <w:b w:val="0"/>
        </w:rPr>
        <w:instrText>HYPERLINK "consultantplus://offline/ref=BFC33E0FE7007EF23CCBE03443DECD839EA96283CA38124717313FE902773D57A788E9BC468C05E64A660A8A6F3CB6F96F698BC38E49A31EzAH8L"</w:instrText>
      </w:r>
      <w:r>
        <w:rPr>
          <w:rStyle w:val="Style_7_ch"/>
          <w:rFonts w:ascii="Times New Roman" w:hAnsi="Times New Roman"/>
          <w:b w:val="0"/>
        </w:rPr>
        <w:fldChar w:fldCharType="separate"/>
      </w:r>
      <w:r>
        <w:rPr>
          <w:rStyle w:val="Style_7_ch"/>
          <w:rFonts w:ascii="Times New Roman" w:hAnsi="Times New Roman"/>
          <w:b w:val="0"/>
        </w:rPr>
        <w:t xml:space="preserve">пунктом </w:t>
      </w:r>
      <w:r>
        <w:rPr>
          <w:rStyle w:val="Style_7_ch"/>
          <w:rFonts w:ascii="Times New Roman" w:hAnsi="Times New Roman"/>
          <w:b w:val="0"/>
        </w:rPr>
        <w:fldChar w:fldCharType="end"/>
      </w:r>
      <w:r>
        <w:rPr>
          <w:rStyle w:val="Style_7_ch"/>
          <w:rFonts w:ascii="Times New Roman" w:hAnsi="Times New Roman"/>
          <w:b w:val="0"/>
        </w:rPr>
        <w:t>раскрывается эмитентами, акции которых допущены к орган</w:t>
      </w:r>
      <w:r>
        <w:rPr>
          <w:rStyle w:val="Style_8_ch"/>
          <w:rFonts w:ascii="Times New Roman" w:hAnsi="Times New Roman"/>
          <w:sz w:val="24"/>
        </w:rPr>
        <w:t>изованным торгам.</w:t>
      </w:r>
    </w:p>
    <w:p w14:paraId="46010000">
      <w:bookmarkStart w:id="36" w:name="__RefHeading___43"/>
      <w:bookmarkEnd w:id="36"/>
      <w:pPr>
        <w:pStyle w:val="Style_7"/>
        <w:numPr>
          <w:ilvl w:val="1"/>
          <w:numId w:val="6"/>
        </w:numPr>
        <w:spacing w:before="240"/>
        <w:ind w:firstLine="425" w:left="0"/>
        <w:jc w:val="both"/>
        <w:rPr>
          <w:rFonts w:ascii="Times New Roman" w:hAnsi="Times New Roman"/>
          <w:b w:val="1"/>
          <w:sz w:val="24"/>
        </w:rPr>
      </w:pPr>
      <w:r>
        <w:rPr>
          <w:rStyle w:val="Style_8_ch"/>
          <w:rFonts w:ascii="Times New Roman" w:hAnsi="Times New Roman"/>
          <w:sz w:val="24"/>
        </w:rPr>
        <w:t xml:space="preserve"> </w:t>
      </w:r>
      <w:bookmarkStart w:id="37" w:name="P497"/>
      <w:bookmarkEnd w:id="37"/>
      <w:r>
        <w:rPr>
          <w:rStyle w:val="Style_8_ch"/>
          <w:rFonts w:ascii="Times New Roman" w:hAnsi="Times New Roman"/>
          <w:b w:val="1"/>
          <w:sz w:val="24"/>
        </w:rPr>
        <w:t>Крупные сделки эмитента</w:t>
      </w:r>
    </w:p>
    <w:p w14:paraId="47010000">
      <w:pPr>
        <w:pStyle w:val="Style_8"/>
        <w:spacing w:before="220"/>
        <w:ind w:firstLine="0" w:left="0"/>
        <w:jc w:val="both"/>
        <w:rPr>
          <w:rFonts w:ascii="Times New Roman" w:hAnsi="Times New Roman"/>
          <w:b w:val="0"/>
        </w:rPr>
      </w:pPr>
      <w:r>
        <w:rPr>
          <w:rStyle w:val="Style_7_ch"/>
          <w:rFonts w:ascii="Times New Roman" w:hAnsi="Times New Roman"/>
          <w:b w:val="1"/>
        </w:rPr>
        <w:t xml:space="preserve">       </w:t>
      </w:r>
      <w:r>
        <w:rPr>
          <w:rStyle w:val="Style_7_ch"/>
          <w:rFonts w:ascii="Times New Roman" w:hAnsi="Times New Roman"/>
          <w:b w:val="0"/>
        </w:rPr>
        <w:t xml:space="preserve">  Информация, предусмотренная </w:t>
      </w:r>
      <w:r>
        <w:rPr>
          <w:rStyle w:val="Style_7_ch"/>
          <w:rFonts w:ascii="Times New Roman" w:hAnsi="Times New Roman"/>
          <w:b w:val="0"/>
        </w:rPr>
        <w:fldChar w:fldCharType="begin"/>
      </w:r>
      <w:r>
        <w:rPr>
          <w:rStyle w:val="Style_7_ch"/>
          <w:rFonts w:ascii="Times New Roman" w:hAnsi="Times New Roman"/>
          <w:b w:val="0"/>
        </w:rPr>
        <w:instrText>HYPERLINK "consultantplus://offline/ref=BFC33E0FE7007EF23CCBE03443DECD839EA96283CA38124717313FE902773D57A788E9BC468C05E64A660A8A6F3CB6F96F698BC38E49A31EzAH8L"</w:instrText>
      </w:r>
      <w:r>
        <w:rPr>
          <w:rStyle w:val="Style_7_ch"/>
          <w:rFonts w:ascii="Times New Roman" w:hAnsi="Times New Roman"/>
          <w:b w:val="0"/>
        </w:rPr>
        <w:fldChar w:fldCharType="separate"/>
      </w:r>
      <w:r>
        <w:rPr>
          <w:rStyle w:val="Style_7_ch"/>
          <w:rFonts w:ascii="Times New Roman" w:hAnsi="Times New Roman"/>
          <w:b w:val="0"/>
        </w:rPr>
        <w:t xml:space="preserve">пунктом </w:t>
      </w:r>
      <w:r>
        <w:rPr>
          <w:rStyle w:val="Style_7_ch"/>
          <w:rFonts w:ascii="Times New Roman" w:hAnsi="Times New Roman"/>
          <w:b w:val="0"/>
        </w:rPr>
        <w:fldChar w:fldCharType="end"/>
      </w:r>
      <w:r>
        <w:rPr>
          <w:rStyle w:val="Style_7_ch"/>
          <w:rFonts w:ascii="Times New Roman" w:hAnsi="Times New Roman"/>
          <w:b w:val="0"/>
        </w:rPr>
        <w:t>раскрывается эмитентами, акции которых допущен к организованным торгам.</w:t>
      </w:r>
    </w:p>
    <w:p w14:paraId="48010000">
      <w:bookmarkStart w:id="38" w:name="__RefHeading___22"/>
      <w:bookmarkEnd w:id="38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  <w:color w:val="1F4E79"/>
        </w:rPr>
      </w:pPr>
      <w:r>
        <w:rPr>
          <w:rFonts w:ascii="Times New Roman" w:hAnsi="Times New Roman"/>
          <w:b w:val="1"/>
        </w:rPr>
        <w:t>Р</w:t>
      </w:r>
      <w:r>
        <w:rPr>
          <w:rFonts w:ascii="Times New Roman" w:hAnsi="Times New Roman"/>
          <w:b w:val="1"/>
          <w:color w:val="1F4E79"/>
        </w:rPr>
        <w:t>аздел 4. Дополнительные сведения об эмитенте и о размещенных им ценных бумагах</w:t>
      </w:r>
    </w:p>
    <w:p w14:paraId="49010000">
      <w:bookmarkStart w:id="39" w:name="__RefHeading___23"/>
      <w:bookmarkEnd w:id="39"/>
      <w:pPr>
        <w:pStyle w:val="Style_7"/>
        <w:numPr>
          <w:ilvl w:val="1"/>
          <w:numId w:val="9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40" w:name="P511"/>
      <w:bookmarkEnd w:id="40"/>
      <w:r>
        <w:rPr>
          <w:rFonts w:ascii="Times New Roman" w:hAnsi="Times New Roman"/>
          <w:b w:val="1"/>
        </w:rPr>
        <w:t>Подконтрольные эмитенту организации, имеющие для него существенное значение</w:t>
      </w:r>
    </w:p>
    <w:p w14:paraId="4A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 30.06.2024 г. эмитент имеет подконтрольные эмитенту организации, имеющие для него существенное значение:</w:t>
      </w:r>
    </w:p>
    <w:tbl>
      <w:tblPr>
        <w:tblStyle w:val="Style_2"/>
        <w:tblW w:type="auto" w:w="0"/>
        <w:jc w:val="center"/>
        <w:tblInd w:type="dxa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2144"/>
        <w:gridCol w:w="1576"/>
        <w:gridCol w:w="2126"/>
        <w:gridCol w:w="2268"/>
        <w:gridCol w:w="1524"/>
      </w:tblGrid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B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п</w:t>
            </w:r>
            <w:r>
              <w:rPr>
                <w:rFonts w:ascii="Times New Roman" w:hAnsi="Times New Roman"/>
                <w:sz w:val="20"/>
              </w:rPr>
              <w:t>олное и сокращенное (при наличии) наименования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C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ИНН/№ в коммерческом  (торговом) реестре  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D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ОГРН/ ЕРН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E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место нахождения</w:t>
            </w:r>
          </w:p>
          <w:p w14:paraId="4F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0010000">
            <w:pPr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вид контроля, под которым находится организация</w:t>
            </w: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1010000">
            <w:pPr>
              <w:ind/>
              <w:jc w:val="lef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Открытое акционерное общество «Управление промышленных предприятий» (ОАО «УПП»)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2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4714001737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3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1024701760313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4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188540, Ленинградская область, </w:t>
            </w:r>
          </w:p>
          <w:p w14:paraId="55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г. Сосновый Бор, Копорское шоссе д.56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6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  <w:p w14:paraId="57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8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Общество с огр</w:t>
            </w:r>
            <w:r>
              <w:rPr>
                <w:rFonts w:ascii="Times New Roman" w:hAnsi="Times New Roman"/>
                <w:sz w:val="22"/>
              </w:rPr>
              <w:t>а</w:t>
            </w:r>
            <w:r>
              <w:rPr>
                <w:rFonts w:ascii="Times New Roman" w:hAnsi="Times New Roman"/>
                <w:sz w:val="22"/>
              </w:rPr>
              <w:t>н</w:t>
            </w:r>
            <w:r>
              <w:rPr>
                <w:rFonts w:ascii="Times New Roman" w:hAnsi="Times New Roman"/>
                <w:sz w:val="22"/>
              </w:rPr>
              <w:t xml:space="preserve">иченной ответственностью </w:t>
            </w:r>
            <w:r>
              <w:rPr>
                <w:rFonts w:ascii="Times New Roman" w:hAnsi="Times New Roman"/>
                <w:sz w:val="22"/>
              </w:rPr>
              <w:t>«УМИАТ» (ООО «УМИАТ»)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9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4707051769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A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1234700019179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B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188540, Ленинградская область, </w:t>
            </w:r>
          </w:p>
          <w:p w14:paraId="5C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г. Сосновый Бор, Копорское шоссе д.30 помещ.1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D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E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Общество с ограниченной ответственностью «СТАЛЬИЗОЛЯ-ЦИЯ» (ООО «СТАЛЬ- ИЗОЛЯ-ЦИЯ»)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F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4707052522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0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1234700023282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1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188540, Ленинградская область,  </w:t>
            </w:r>
            <w:r>
              <w:rPr>
                <w:rFonts w:ascii="Times New Roman" w:hAnsi="Times New Roman"/>
                <w:sz w:val="22"/>
              </w:rPr>
              <w:t>г. Сосновый Бор, Копорское шоссе д.56, помещ.17, ком.17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2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3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4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5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6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7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8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СУС Египет управление проектами (ООО)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9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701–775– 017      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A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10530 00001 95055</w:t>
            </w:r>
          </w:p>
          <w:p w14:paraId="6B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C010000">
            <w:pPr>
              <w:ind w:firstLine="0" w:left="-64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Египет, Каир, Наср  Сити, ул.Эль Таяран 24, 5 этаж, офис 11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D010000">
            <w:pPr>
              <w:ind/>
              <w:jc w:val="center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  <w:p w14:paraId="6E010000">
            <w:pPr>
              <w:ind/>
              <w:jc w:val="center"/>
              <w:rPr>
                <w:rFonts w:ascii="Times New Roman" w:hAnsi="Times New Roman"/>
                <w:sz w:val="22"/>
                <w:highlight w:val="yellow"/>
              </w:rPr>
            </w:pP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F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SUS Hungary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0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32130962-2-17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1010000">
            <w:pPr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17-09-013472/10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2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Венгрия</w:t>
            </w:r>
          </w:p>
          <w:p w14:paraId="7301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</w:rPr>
              <w:t xml:space="preserve">7030, Пакш, Ипари парк 4703/28 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4010000">
            <w:pPr>
              <w:ind/>
              <w:jc w:val="center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</w:tbl>
    <w:p w14:paraId="75010000">
      <w:pPr>
        <w:pStyle w:val="Style_8"/>
        <w:spacing w:before="22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Признак осуществления эмитентом контроля над организацией, в отношении которой он является контролирующим лицом- право прямо распоряжаться в силу участия в подконтрольной организации более 50 процентами голосов в высшем органе управления подконтрольной эмитенту организации; право назначать (избирать) единоличный исполнительный орган подконтрольной эмитенту организации.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1809"/>
        <w:gridCol w:w="1560"/>
        <w:gridCol w:w="1984"/>
        <w:gridCol w:w="4217"/>
      </w:tblGrid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6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Размер доли,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7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количество</w:t>
            </w: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8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общая номинальная стоимость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9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общая балансовая стоимость обыкновенных акций подконтрольной организации, принадлежащих эмитенту</w:t>
            </w:r>
          </w:p>
          <w:p w14:paraId="7A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(руб</w:t>
            </w:r>
            <w:r>
              <w:rPr>
                <w:rFonts w:ascii="Times New Roman" w:hAnsi="Times New Roman"/>
                <w:sz w:val="22"/>
              </w:rPr>
              <w:t>.</w:t>
            </w:r>
            <w:r>
              <w:rPr>
                <w:rFonts w:ascii="Times New Roman" w:hAnsi="Times New Roman"/>
                <w:sz w:val="22"/>
              </w:rPr>
              <w:t>)</w:t>
            </w: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B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C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4 120 000</w:t>
            </w: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D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20 600 000,00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E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230 000 000,00</w:t>
            </w: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F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0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1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1 000 000,00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2010000">
            <w:pPr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3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4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5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1 000 000,00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6010000">
            <w:pPr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7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8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9010000">
            <w:pPr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A010000">
            <w:pPr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B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C010000">
            <w:pPr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D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35 000 долл.</w:t>
            </w:r>
            <w:r>
              <w:rPr>
                <w:rFonts w:ascii="Times New Roman" w:hAnsi="Times New Roman"/>
                <w:sz w:val="22"/>
              </w:rPr>
              <w:t xml:space="preserve"> </w:t>
            </w:r>
            <w:r>
              <w:rPr>
                <w:rFonts w:ascii="Times New Roman" w:hAnsi="Times New Roman"/>
                <w:sz w:val="22"/>
              </w:rPr>
              <w:t>США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E010000">
            <w:pPr>
              <w:ind w:right="190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  2 180 941,00</w:t>
            </w: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F010000">
            <w:pPr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0010000">
            <w:pPr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1010000">
            <w:pPr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</w:rPr>
              <w:t>3.000.000 HUF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2010000">
            <w:pPr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  439 470,00 </w:t>
            </w:r>
          </w:p>
        </w:tc>
      </w:tr>
    </w:tbl>
    <w:p w14:paraId="93010000">
      <w:pPr>
        <w:pStyle w:val="Style_8"/>
        <w:spacing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Основной вид деятельности подконтрольной эмитенту организации- ОАО «УПП»: производство товарного бетона (ОКВЭД 23.63).</w:t>
      </w:r>
    </w:p>
    <w:p w14:paraId="94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Совет директоров у подконтрольной организации в уставе не предусмотрен.</w:t>
      </w:r>
    </w:p>
    <w:p w14:paraId="95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Коллегиальный исполнительный орган уставом не предусмотрен.</w:t>
      </w:r>
    </w:p>
    <w:p w14:paraId="96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Лицо, занимающее должность (осуществляющее функции) единоличного исполнительного органа подконтрольной эмитенту организации- Генерального директора: Арканов Сергей Александрович (с 04.04.2023 г).</w:t>
      </w:r>
    </w:p>
    <w:p w14:paraId="97010000">
      <w:pPr>
        <w:pStyle w:val="Style_8"/>
        <w:spacing w:after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Доля, принадлежащая указанному лицу обыкновенных акций эмитента – 0%.</w:t>
      </w:r>
    </w:p>
    <w:p w14:paraId="98010000">
      <w:pPr>
        <w:pStyle w:val="Style_8"/>
        <w:spacing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Основной вид деятельности подконтрольной эмитенту организации- ООО «УМИАТ»: деятельность автомобильного грузового транспорта (ОКВЭД 49.41).</w:t>
      </w:r>
    </w:p>
    <w:p w14:paraId="99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Совет директоров у подконтрольной организации в уставе не предусмотрен.</w:t>
      </w:r>
    </w:p>
    <w:p w14:paraId="9A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Коллегиальный исполнительный орган уставом не предусмотрен.</w:t>
      </w:r>
    </w:p>
    <w:p w14:paraId="9B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Лицо, занимающее должность (осуществляющее функции) единоличного исполнительного органа подконтрольной эмитенту организации - Генерального директора: Шелемехов Сергей Сергеевич (с 01.08.2023 г).</w:t>
      </w:r>
    </w:p>
    <w:p w14:paraId="9C010000">
      <w:pPr>
        <w:pStyle w:val="Style_8"/>
        <w:spacing w:after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Доля, принадлежащая указанному лицу обыкновенных акций эмитента – 0%.</w:t>
      </w:r>
    </w:p>
    <w:p w14:paraId="9D010000">
      <w:pPr>
        <w:pStyle w:val="Style_8"/>
        <w:spacing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Основной вид деятельности подконтрольной эмитенту организации- ООО «СТАЛЬИЗОЛЯЦИЯ»: механическая обработка металлических изделий (ОКВЭД 25.62).</w:t>
      </w:r>
    </w:p>
    <w:p w14:paraId="9E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Совет директоров у подконтрольной организации в уставе не предусмотрен.</w:t>
      </w:r>
    </w:p>
    <w:p w14:paraId="9F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Коллегиальный исполнительный орган уставом не предусмотрен.</w:t>
      </w:r>
    </w:p>
    <w:p w14:paraId="A0010000">
      <w:pPr>
        <w:pStyle w:val="Style_8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Лицо, занимающее должность (осуществляющее функции) единоличного исполнительного органа подконтрольной эмитенту организации - Генерального директора: Мельников Евгений Павлович (с 26.03.2024 г).</w:t>
      </w:r>
    </w:p>
    <w:p w14:paraId="A1010000">
      <w:pPr>
        <w:pStyle w:val="Style_8"/>
        <w:spacing w:after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Доля, принадлежащая указанному лицу обыкновенных акций эмитента – 0%.</w:t>
      </w:r>
    </w:p>
    <w:p w14:paraId="A2010000">
      <w:bookmarkStart w:id="41" w:name="__RefHeading___24"/>
      <w:bookmarkEnd w:id="41"/>
      <w:pPr>
        <w:pStyle w:val="Style_7"/>
        <w:numPr>
          <w:ilvl w:val="1"/>
          <w:numId w:val="9"/>
        </w:numPr>
        <w:spacing w:before="240"/>
        <w:ind/>
        <w:jc w:val="both"/>
        <w:rPr>
          <w:rFonts w:ascii="Times New Roman" w:hAnsi="Times New Roman"/>
          <w:b w:val="1"/>
          <w:sz w:val="22"/>
        </w:rPr>
      </w:pPr>
      <w:r>
        <w:rPr>
          <w:rFonts w:ascii="Times New Roman" w:hAnsi="Times New Roman"/>
          <w:b w:val="1"/>
          <w:sz w:val="22"/>
        </w:rPr>
        <w:t>Дополнительные сведения, раскрываемые эмитентами облигаций с целевым использованием денежных средств, полученных от их размещения</w:t>
      </w:r>
    </w:p>
    <w:p w14:paraId="A3010000">
      <w:pPr>
        <w:pStyle w:val="Style_8"/>
        <w:spacing w:after="240" w:before="24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Эмитент не идентифицирует выпуск облигаций.</w:t>
      </w:r>
    </w:p>
    <w:p w14:paraId="A4010000">
      <w:bookmarkStart w:id="42" w:name="__RefHeading___25"/>
      <w:bookmarkEnd w:id="42"/>
      <w:pPr>
        <w:pStyle w:val="Style_7"/>
        <w:numPr>
          <w:ilvl w:val="1"/>
          <w:numId w:val="9"/>
        </w:numPr>
        <w:spacing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14:paraId="A5010000">
      <w:pPr>
        <w:pStyle w:val="Style_8"/>
        <w:spacing w:after="240"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Эмитент не регистрировал проспект или публично не размещал (размещение путем открытой подписки) облигаций с обеспечением.</w:t>
      </w:r>
    </w:p>
    <w:p w14:paraId="A6010000">
      <w:bookmarkStart w:id="43" w:name="__RefHeading___26"/>
      <w:bookmarkEnd w:id="43"/>
      <w:pPr>
        <w:pStyle w:val="Style_7"/>
        <w:numPr>
          <w:ilvl w:val="1"/>
          <w:numId w:val="9"/>
        </w:numPr>
        <w:spacing w:before="240"/>
        <w:ind/>
        <w:jc w:val="both"/>
        <w:rPr>
          <w:rFonts w:ascii="Times New Roman" w:hAnsi="Times New Roman"/>
          <w:b w:val="1"/>
          <w:sz w:val="22"/>
        </w:rPr>
      </w:pPr>
      <w:r>
        <w:rPr>
          <w:rFonts w:ascii="Times New Roman" w:hAnsi="Times New Roman"/>
          <w:b w:val="1"/>
          <w:sz w:val="22"/>
        </w:rPr>
        <w:t xml:space="preserve">  Сведения об объявленных и выплаченных дивидендах по акциям эмитента</w:t>
      </w:r>
    </w:p>
    <w:p w14:paraId="A7010000">
      <w:pPr>
        <w:spacing w:before="200"/>
        <w:ind w:firstLine="54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Информация, предусмотренная </w:t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>HYPERLINK "consultantplus://offline/ref=BFC33E0FE7007EF23CCBE03443DECD839EA96283CA38124717313FE902773D57A788E9BC468C05E64A660A8A6F3CB6F96F698BC38E49A31EzAH8L"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t xml:space="preserve">пунктом 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>раскрывается эмитентами, акции которых допущены к организованным торгам.</w:t>
      </w:r>
    </w:p>
    <w:p w14:paraId="A8010000">
      <w:bookmarkStart w:id="44" w:name="__RefHeading___27"/>
      <w:bookmarkEnd w:id="44"/>
      <w:pPr>
        <w:pStyle w:val="Style_7"/>
        <w:numPr>
          <w:ilvl w:val="1"/>
          <w:numId w:val="9"/>
        </w:numPr>
        <w:spacing w:before="240"/>
        <w:ind w:hanging="567" w:left="85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об организациях, осуществляющих учет прав на эмиссионные ценные бумаги эмитента</w:t>
      </w:r>
    </w:p>
    <w:p w14:paraId="A9010000">
      <w:bookmarkStart w:id="45" w:name="__RefHeading___28"/>
      <w:bookmarkEnd w:id="45"/>
      <w:pPr>
        <w:pStyle w:val="Style_7"/>
        <w:numPr>
          <w:ilvl w:val="2"/>
          <w:numId w:val="10"/>
        </w:numPr>
        <w:spacing w:before="240"/>
        <w:ind w:hanging="528" w:left="1378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регистраторе, осуществляющем ведение реестра владельцев ценных бумаг эмитента</w:t>
      </w:r>
    </w:p>
    <w:p w14:paraId="AA010000">
      <w:pPr>
        <w:pStyle w:val="Style_11"/>
        <w:ind w:firstLine="720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       </w:t>
      </w:r>
    </w:p>
    <w:p w14:paraId="AB010000">
      <w:pPr>
        <w:pStyle w:val="Style_11"/>
        <w:ind w:firstLine="720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 Регистратором общества в соответствии с заключенным договором об оказании услуг по ведению реестра владельцев ценных бумаг №2018/78-ДВР-641 является Акционерное общество «Независимая регистрационная компания Р.О.С.Т.» (</w:t>
      </w:r>
      <w:r>
        <w:rPr>
          <w:rFonts w:ascii="Times New Roman" w:hAnsi="Times New Roman"/>
          <w:color w:val="333333"/>
        </w:rPr>
        <w:t>АО «НРК - Р.О.С.Т.»)</w:t>
      </w:r>
    </w:p>
    <w:p w14:paraId="AC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Адрес реестродержателя в соответствии с ЕГРЮЛ</w:t>
      </w:r>
      <w:r>
        <w:rPr>
          <w:rFonts w:ascii="Times New Roman" w:hAnsi="Times New Roman"/>
        </w:rPr>
        <w:t>: 107996, г. Москва, ул. Стромынка, д.18, корп. 5 Б, пом. 9</w:t>
      </w:r>
    </w:p>
    <w:p w14:paraId="AD010000">
      <w:pPr>
        <w:ind/>
        <w:jc w:val="both"/>
        <w:rPr>
          <w:rFonts w:ascii="Times New Roman" w:hAnsi="Times New Roman"/>
          <w:color w:val="333333"/>
        </w:rPr>
      </w:pPr>
      <w:r>
        <w:rPr>
          <w:rFonts w:ascii="Times New Roman" w:hAnsi="Times New Roman"/>
          <w:b w:val="1"/>
        </w:rPr>
        <w:t>Место нахождения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 w:val="1"/>
        </w:rPr>
        <w:t>Сосновоборского филиала</w:t>
      </w:r>
      <w:r>
        <w:rPr>
          <w:rFonts w:ascii="Times New Roman" w:hAnsi="Times New Roman"/>
        </w:rPr>
        <w:t xml:space="preserve">: </w:t>
      </w:r>
      <w:r>
        <w:rPr>
          <w:rFonts w:ascii="Times New Roman" w:hAnsi="Times New Roman"/>
          <w:color w:val="333333"/>
        </w:rPr>
        <w:t>188544, Ленинградская обл., г. Сосновый Бор, ул. Петра Великого, 9, пом. 303</w:t>
      </w:r>
    </w:p>
    <w:p w14:paraId="AE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ИНН 7726030449   ОГРН 1027739216757, </w:t>
      </w:r>
    </w:p>
    <w:p w14:paraId="AF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Контактные телефоны регистратора</w:t>
      </w:r>
      <w:r>
        <w:rPr>
          <w:rFonts w:ascii="Times New Roman" w:hAnsi="Times New Roman"/>
        </w:rPr>
        <w:t xml:space="preserve"> (общий центр информационной поддержки эмитентов): +7 (495) 780-73-65.</w:t>
      </w:r>
    </w:p>
    <w:p w14:paraId="B0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Адрес электронной почты</w:t>
      </w:r>
      <w:r>
        <w:rPr>
          <w:rFonts w:ascii="Times New Roman" w:hAnsi="Times New Roman"/>
        </w:rPr>
        <w:t>: contact-center@rrost.ru</w:t>
      </w:r>
    </w:p>
    <w:p w14:paraId="B1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Адрес страницы в сети Интернет</w:t>
      </w:r>
      <w:r>
        <w:rPr>
          <w:rFonts w:ascii="Times New Roman" w:hAnsi="Times New Roman"/>
        </w:rPr>
        <w:t>: http://www.rrost.com</w:t>
      </w:r>
    </w:p>
    <w:p w14:paraId="B2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Номер, дата выдачи, срок действия лицензии</w:t>
      </w:r>
      <w:r>
        <w:rPr>
          <w:rFonts w:ascii="Times New Roman" w:hAnsi="Times New Roman"/>
        </w:rPr>
        <w:t xml:space="preserve"> на осуществление деятельности по ведению реестра владельцев ценных бумаг: Лицензия ФКЦБ России на осуществление деятельности по ведению реестра владельцев ценных бумаг № 045-13976-000001 от 03.12.2002 г. без ограничений срока действия.</w:t>
      </w:r>
    </w:p>
    <w:p w14:paraId="B3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Наименование органа, выдавшего лицензию</w:t>
      </w:r>
      <w:r>
        <w:rPr>
          <w:rFonts w:ascii="Times New Roman" w:hAnsi="Times New Roman"/>
        </w:rPr>
        <w:t xml:space="preserve"> Центральный банк Российской Федерации</w:t>
      </w:r>
    </w:p>
    <w:p w14:paraId="B4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(БАНК РОССИИ)</w:t>
      </w:r>
    </w:p>
    <w:p w14:paraId="B5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Дата, с которой регистратор осуществляет ведение реестра</w:t>
      </w:r>
      <w:r>
        <w:rPr>
          <w:rFonts w:ascii="Times New Roman" w:hAnsi="Times New Roman"/>
        </w:rPr>
        <w:t xml:space="preserve"> владельцев ценных бумаг публичного акционерного общества: «26» марта 2018 г.</w:t>
      </w:r>
    </w:p>
    <w:p w14:paraId="B601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Информация опубликована эмитентом на странице в сети Интернет: </w:t>
      </w:r>
      <w:r>
        <w:rPr>
          <w:rStyle w:val="Style_12_ch"/>
          <w:rFonts w:ascii="Times New Roman" w:hAnsi="Times New Roman"/>
        </w:rPr>
        <w:fldChar w:fldCharType="begin"/>
      </w:r>
      <w:r>
        <w:rPr>
          <w:rStyle w:val="Style_12_ch"/>
          <w:rFonts w:ascii="Times New Roman" w:hAnsi="Times New Roman"/>
        </w:rPr>
        <w:instrText>HYPERLINK "https://disclosure.1prime.ru/Portal/Default.aspx?emId=4714000211"</w:instrText>
      </w:r>
      <w:r>
        <w:rPr>
          <w:rStyle w:val="Style_12_ch"/>
          <w:rFonts w:ascii="Times New Roman" w:hAnsi="Times New Roman"/>
        </w:rPr>
        <w:fldChar w:fldCharType="separate"/>
      </w:r>
      <w:r>
        <w:rPr>
          <w:rStyle w:val="Style_12_ch"/>
          <w:rFonts w:ascii="Times New Roman" w:hAnsi="Times New Roman"/>
        </w:rPr>
        <w:t>https://disclosure.1prime.ru/Portal/Default.aspx?emId=4714000211</w:t>
      </w:r>
      <w:r>
        <w:rPr>
          <w:rStyle w:val="Style_12_ch"/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.</w:t>
      </w:r>
    </w:p>
    <w:p w14:paraId="B7010000">
      <w:bookmarkStart w:id="46" w:name="__RefHeading___30"/>
      <w:bookmarkEnd w:id="46"/>
      <w:pPr>
        <w:pStyle w:val="Style_7"/>
        <w:numPr>
          <w:ilvl w:val="2"/>
          <w:numId w:val="10"/>
        </w:numPr>
        <w:spacing w:before="240"/>
        <w:ind w:hanging="528" w:left="1378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депозитарии, осуществляющем централизованный учет прав на ценные бумаги эмитента</w:t>
      </w:r>
    </w:p>
    <w:p w14:paraId="B8010000">
      <w:pPr>
        <w:spacing w:before="240"/>
        <w:ind w:firstLine="567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настоящее время в обращении у эмитента нет ценных бумаг с централизованным учетом прав.</w:t>
      </w:r>
    </w:p>
    <w:p w14:paraId="B9010000">
      <w:bookmarkStart w:id="47" w:name="__RefHeading___31"/>
      <w:bookmarkEnd w:id="47"/>
      <w:pPr>
        <w:pStyle w:val="Style_7"/>
        <w:numPr>
          <w:ilvl w:val="1"/>
          <w:numId w:val="9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48" w:name="P1125"/>
      <w:bookmarkEnd w:id="48"/>
      <w:r>
        <w:rPr>
          <w:rFonts w:ascii="Times New Roman" w:hAnsi="Times New Roman"/>
          <w:b w:val="1"/>
        </w:rPr>
        <w:t>Информация об аудиторе эмитента</w:t>
      </w:r>
    </w:p>
    <w:p w14:paraId="BA010000">
      <w:pPr>
        <w:widowControl w:val="0"/>
        <w:spacing w:after="40"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>Полное фирменное наименование: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 xml:space="preserve">Общество с ограниченной ответственностью «Центр налогового аудита" </w:t>
      </w:r>
    </w:p>
    <w:p w14:paraId="BB010000">
      <w:pPr>
        <w:widowControl w:val="0"/>
        <w:spacing w:after="40" w:before="2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 xml:space="preserve">ООО </w:t>
      </w:r>
      <w:r>
        <w:rPr>
          <w:rFonts w:ascii="Times New Roman" w:hAnsi="Times New Roman"/>
          <w:b w:val="1"/>
          <w:i w:val="1"/>
        </w:rPr>
        <w:t>"</w:t>
      </w:r>
      <w:r>
        <w:rPr>
          <w:rFonts w:ascii="Times New Roman" w:hAnsi="Times New Roman"/>
          <w:b w:val="1"/>
        </w:rPr>
        <w:t xml:space="preserve">ЦНА" </w:t>
      </w:r>
    </w:p>
    <w:p w14:paraId="BC010000">
      <w:pPr>
        <w:widowControl w:val="0"/>
        <w:spacing w:after="40" w:before="24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192281, Санкт-Петербург, ул. Ярослава Гашека 4, корп.3, кв.36. </w:t>
      </w:r>
    </w:p>
    <w:p w14:paraId="BD01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</w:rPr>
        <w:t>ИНН/КПП 7816445173/781601001</w:t>
      </w:r>
    </w:p>
    <w:p w14:paraId="BE01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ОГРН: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</w:rPr>
        <w:t>1089847256311</w:t>
      </w:r>
    </w:p>
    <w:p w14:paraId="BF01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Телефон: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</w:rPr>
        <w:t>+7 812 985-24-00</w:t>
      </w:r>
    </w:p>
    <w:p w14:paraId="C001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Адреса электронной почты: </w:t>
      </w:r>
      <w:r>
        <w:rPr>
          <w:rStyle w:val="Style_12_ch"/>
          <w:rFonts w:ascii="Times New Roman" w:hAnsi="Times New Roman"/>
        </w:rPr>
        <w:fldChar w:fldCharType="begin"/>
      </w:r>
      <w:r>
        <w:rPr>
          <w:rStyle w:val="Style_12_ch"/>
          <w:rFonts w:ascii="Times New Roman" w:hAnsi="Times New Roman"/>
        </w:rPr>
        <w:instrText>HYPERLINK "mailto:nalogaudit@yandex.ru"</w:instrText>
      </w:r>
      <w:r>
        <w:rPr>
          <w:rStyle w:val="Style_12_ch"/>
          <w:rFonts w:ascii="Times New Roman" w:hAnsi="Times New Roman"/>
        </w:rPr>
        <w:fldChar w:fldCharType="separate"/>
      </w:r>
      <w:r>
        <w:rPr>
          <w:rStyle w:val="Style_12_ch"/>
          <w:rFonts w:ascii="Times New Roman" w:hAnsi="Times New Roman"/>
        </w:rPr>
        <w:t>nalogaudit@yandex.ru.</w:t>
      </w:r>
      <w:r>
        <w:rPr>
          <w:rStyle w:val="Style_12_ch"/>
          <w:rFonts w:ascii="Times New Roman" w:hAnsi="Times New Roman"/>
        </w:rPr>
        <w:fldChar w:fldCharType="end"/>
      </w:r>
    </w:p>
    <w:p w14:paraId="C1010000">
      <w:pPr>
        <w:widowControl w:val="0"/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Данные о членстве аудитора в саморегулируемых организациях аудиторов: Согласно реестру СРО ООО "ЦНА" является аудиторской организацией, среднесписочная численность аудиторов в штате – 2 чел.</w:t>
      </w:r>
    </w:p>
    <w:p w14:paraId="C2010000">
      <w:pPr>
        <w:widowControl w:val="0"/>
        <w:spacing w:after="40" w:before="20"/>
        <w:ind/>
        <w:jc w:val="both"/>
        <w:rPr>
          <w:rFonts w:ascii="Times New Roman" w:hAnsi="Times New Roman"/>
          <w:b w:val="1"/>
          <w:i w:val="1"/>
        </w:rPr>
      </w:pPr>
      <w:r>
        <w:rPr>
          <w:rFonts w:ascii="Times New Roman" w:hAnsi="Times New Roman"/>
        </w:rPr>
        <w:t xml:space="preserve">Факторов, которые могут оказать влияние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(лиц, занимающих должности в органах управления и 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 - </w:t>
      </w:r>
      <w:r>
        <w:rPr>
          <w:rFonts w:ascii="Times New Roman" w:hAnsi="Times New Roman"/>
          <w:b w:val="1"/>
          <w:i w:val="1"/>
        </w:rPr>
        <w:t>нет</w:t>
      </w:r>
    </w:p>
    <w:p w14:paraId="C301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эмитента:</w:t>
      </w:r>
    </w:p>
    <w:tbl>
      <w:tblPr>
        <w:tblStyle w:val="Style_2"/>
        <w:tblW w:type="auto" w:w="0"/>
        <w:tblInd w:type="dxa" w:w="356"/>
        <w:tblLayout w:type="fixed"/>
        <w:tblCellMar>
          <w:left w:type="dxa" w:w="72"/>
          <w:right w:type="dxa" w:w="72"/>
        </w:tblCellMar>
      </w:tblPr>
      <w:tblGrid>
        <w:gridCol w:w="2410"/>
        <w:gridCol w:w="2346"/>
      </w:tblGrid>
      <w:tr>
        <w:tc>
          <w:tcPr>
            <w:tcW w:type="dxa" w:w="2410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4010000">
            <w:pPr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Бухгалтерская (финансовая) отчетность, Год</w:t>
            </w:r>
          </w:p>
        </w:tc>
        <w:tc>
          <w:tcPr>
            <w:tcW w:type="dxa" w:w="2346"/>
            <w:tcBorders>
              <w:top w:color="000000" w:sz="6" w:val="doub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5010000">
            <w:pPr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Консолидированная финансовая отчетность, Год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6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7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8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9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A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B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>
        <w:tc>
          <w:tcPr>
            <w:tcW w:type="dxa" w:w="2410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sing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C010000">
            <w:pPr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мес</w:t>
            </w:r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2024</w:t>
            </w:r>
          </w:p>
        </w:tc>
        <w:tc>
          <w:tcPr>
            <w:tcW w:type="dxa" w:w="2346"/>
            <w:tcBorders>
              <w:top w:color="000000" w:sz="6" w:val="single"/>
              <w:left w:color="000000" w:sz="6" w:val="sing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CD010000">
            <w:pPr>
              <w:ind/>
              <w:jc w:val="center"/>
              <w:rPr>
                <w:rFonts w:ascii="Times New Roman" w:hAnsi="Times New Roman"/>
              </w:rPr>
            </w:pPr>
          </w:p>
        </w:tc>
      </w:tr>
    </w:tbl>
    <w:p w14:paraId="CE010000">
      <w:pPr>
        <w:ind/>
        <w:jc w:val="both"/>
        <w:rPr>
          <w:rFonts w:ascii="Times New Roman" w:hAnsi="Times New Roman"/>
          <w:highlight w:val="yellow"/>
        </w:rPr>
      </w:pPr>
    </w:p>
    <w:p w14:paraId="CF01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Факторов, которые могут оказать влияние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с эмитентом (лицами, занимающими должности в органах управления и органах контроля за финансово-хозяйственной деятельностью эмитента</w:t>
      </w:r>
      <w:r>
        <w:rPr>
          <w:rFonts w:ascii="Times New Roman" w:hAnsi="Times New Roman"/>
          <w:b w:val="1"/>
          <w:i w:val="1"/>
        </w:rPr>
        <w:t>) - нет</w:t>
      </w:r>
    </w:p>
    <w:p w14:paraId="D0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Порядок выбора аудитора эмитента:</w:t>
      </w:r>
    </w:p>
    <w:p w14:paraId="D1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Наличие процедуры тендера, связанного с выбором аудитора</w:t>
      </w:r>
      <w:r>
        <w:rPr>
          <w:rFonts w:ascii="Times New Roman" w:hAnsi="Times New Roman"/>
          <w:b w:val="1"/>
        </w:rPr>
        <w:t>,</w:t>
      </w:r>
      <w:r>
        <w:rPr>
          <w:rFonts w:ascii="Times New Roman" w:hAnsi="Times New Roman"/>
          <w:b w:val="1"/>
          <w:i w:val="1"/>
        </w:rPr>
        <w:t xml:space="preserve"> не предусмотрено</w:t>
      </w:r>
    </w:p>
    <w:p w14:paraId="D2010000">
      <w:pPr>
        <w:ind w:firstLine="72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Процедура выдвижения кандидатуры аудитора для утверждения собранием акционеров, в том числе орган управления, принимающий соответствующее решение.</w:t>
      </w:r>
      <w:r>
        <w:rPr>
          <w:rFonts w:ascii="Times New Roman" w:hAnsi="Times New Roman"/>
        </w:rPr>
        <w:br/>
      </w:r>
      <w:r>
        <w:rPr>
          <w:rFonts w:ascii="Times New Roman" w:hAnsi="Times New Roman"/>
        </w:rPr>
        <w:t>Совет директоров определяет размер оплаты услуг аудитора. Утверждение аудитора Общества относится к исключительной компетенции общего собрания акционеров.</w:t>
      </w:r>
    </w:p>
    <w:p w14:paraId="D3010000">
      <w:pPr>
        <w:ind w:firstLine="720" w:left="0"/>
        <w:jc w:val="both"/>
        <w:rPr>
          <w:rFonts w:ascii="Times New Roman" w:hAnsi="Times New Roman"/>
          <w:b w:val="1"/>
          <w:i w:val="1"/>
        </w:rPr>
      </w:pPr>
      <w:r>
        <w:rPr>
          <w:rFonts w:ascii="Times New Roman" w:hAnsi="Times New Roman"/>
          <w:b w:val="1"/>
          <w:i w:val="1"/>
        </w:rPr>
        <w:t>Аудитор Общества утвержден общим собранием акционеров 28.06.2024 г. Размер оплаты услуг аудитора по аудиту годовой отчетности Общества за 2024 год установлен в сумме не более 750 000 руб.</w:t>
      </w:r>
    </w:p>
    <w:p w14:paraId="D4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Работ аудитора, в рамках специальных аудиторских заданий,</w:t>
      </w:r>
      <w:r>
        <w:rPr>
          <w:rFonts w:ascii="Times New Roman" w:hAnsi="Times New Roman"/>
          <w:b w:val="1"/>
          <w:i w:val="1"/>
        </w:rPr>
        <w:t xml:space="preserve"> не проводилось</w:t>
      </w:r>
    </w:p>
    <w:p w14:paraId="D5010000">
      <w:pPr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Отсроченных и просроченных платежей за оказанные аудитором услуги</w:t>
      </w:r>
      <w:r>
        <w:rPr>
          <w:rFonts w:ascii="Times New Roman" w:hAnsi="Times New Roman"/>
          <w:b w:val="1"/>
          <w:i w:val="1"/>
        </w:rPr>
        <w:t xml:space="preserve"> нет</w:t>
      </w:r>
    </w:p>
    <w:p w14:paraId="D6010000">
      <w:bookmarkStart w:id="49" w:name="__RefHeading___32"/>
      <w:bookmarkEnd w:id="49"/>
      <w:pPr>
        <w:widowControl w:val="0"/>
        <w:spacing w:after="120" w:before="360"/>
        <w:ind/>
        <w:jc w:val="center"/>
        <w:outlineLvl w:val="0"/>
        <w:rPr>
          <w:rFonts w:ascii="Times New Roman" w:hAnsi="Times New Roman"/>
          <w:b w:val="1"/>
          <w:color w:val="1F4E79"/>
        </w:rPr>
      </w:pPr>
      <w:r>
        <w:rPr>
          <w:rFonts w:ascii="Times New Roman" w:hAnsi="Times New Roman"/>
          <w:b w:val="1"/>
          <w:color w:val="1F4E79"/>
        </w:rPr>
        <w:t>Раздел 5. Финансовая отчетность, бухгалтерская (финансовая) отчетность эмитента</w:t>
      </w:r>
    </w:p>
    <w:p w14:paraId="D7010000">
      <w:bookmarkStart w:id="50" w:name="__RefHeading___99"/>
      <w:bookmarkEnd w:id="50"/>
      <w:pPr>
        <w:pStyle w:val="Style_7"/>
        <w:spacing w:before="240"/>
        <w:ind w:firstLine="567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5.1. Кон</w:t>
      </w:r>
      <w:r>
        <w:rPr>
          <w:rFonts w:ascii="Times New Roman" w:hAnsi="Times New Roman"/>
          <w:b w:val="1"/>
        </w:rPr>
        <w:t>солидированная финансовая отчетность (финансовая отчетность) эмитента</w:t>
      </w:r>
    </w:p>
    <w:p w14:paraId="D8010000">
      <w:pPr>
        <w:pStyle w:val="Style_8"/>
        <w:spacing w:after="240" w:before="240"/>
        <w:ind w:firstLine="540"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Эмитент не составляет и не раскрывают консолидированную финансовую отчетность.</w:t>
      </w:r>
    </w:p>
    <w:p w14:paraId="D9010000">
      <w:bookmarkStart w:id="51" w:name="__RefHeading___97"/>
      <w:bookmarkEnd w:id="51"/>
      <w:pPr>
        <w:pStyle w:val="Style_7"/>
        <w:spacing w:before="240"/>
        <w:ind w:firstLine="567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b w:val="1"/>
          <w:sz w:val="24"/>
        </w:rPr>
        <w:t>5.2.     Бухгалтерская (финансовая) отчетность</w:t>
      </w:r>
    </w:p>
    <w:p w14:paraId="DA010000">
      <w:pPr>
        <w:pStyle w:val="Style_11"/>
        <w:ind w:firstLine="720" w:left="0"/>
        <w:jc w:val="left"/>
        <w:rPr>
          <w:rFonts w:ascii="Times New Roman" w:hAnsi="Times New Roman"/>
          <w:sz w:val="24"/>
          <w:highlight w:val="white"/>
        </w:rPr>
      </w:pPr>
    </w:p>
    <w:p w14:paraId="DB010000">
      <w:pPr>
        <w:pStyle w:val="Style_11"/>
        <w:ind w:firstLine="720" w:left="0"/>
        <w:jc w:val="left"/>
        <w:rPr>
          <w:rFonts w:ascii="Times New Roman" w:hAnsi="Times New Roman"/>
          <w:sz w:val="24"/>
          <w:highlight w:val="white"/>
        </w:rPr>
      </w:pPr>
      <w:r>
        <w:rPr>
          <w:rFonts w:ascii="Times New Roman" w:hAnsi="Times New Roman"/>
          <w:sz w:val="24"/>
        </w:rPr>
        <w:t>Бухгалтерская (финансовая) отчетность на 30.06.2024 гопубликована эмитентом 19.07.2024 на странице в сети Интернет</w:t>
      </w:r>
      <w:r>
        <w:rPr>
          <w:rStyle w:val="Style_13_ch"/>
          <w:rFonts w:ascii="Times New Roman" w:hAnsi="Times New Roman"/>
          <w:sz w:val="24"/>
        </w:rPr>
        <w:fldChar w:fldCharType="begin"/>
      </w:r>
      <w:r>
        <w:rPr>
          <w:rStyle w:val="Style_13_ch"/>
          <w:rFonts w:ascii="Times New Roman" w:hAnsi="Times New Roman"/>
          <w:sz w:val="24"/>
        </w:rPr>
        <w:instrText>HYPERLINK "http://disclosure.1prime.ru/Portal/GetDocument.aspx?emId=4714000211&amp;docId=8e661c7e7a6646689a3cdc6f4576c770"</w:instrText>
      </w:r>
      <w:r>
        <w:rPr>
          <w:rStyle w:val="Style_13_ch"/>
          <w:rFonts w:ascii="Times New Roman" w:hAnsi="Times New Roman"/>
          <w:sz w:val="24"/>
        </w:rPr>
        <w:fldChar w:fldCharType="separate"/>
      </w:r>
      <w:r>
        <w:rPr>
          <w:rStyle w:val="Style_13_ch"/>
          <w:rFonts w:ascii="Times New Roman" w:hAnsi="Times New Roman"/>
          <w:sz w:val="24"/>
        </w:rPr>
        <w:t>:</w:t>
      </w:r>
      <w:r>
        <w:rPr>
          <w:rStyle w:val="Style_13_ch"/>
          <w:rFonts w:ascii="Times New Roman" w:hAnsi="Times New Roman"/>
          <w:sz w:val="24"/>
        </w:rPr>
        <w:fldChar w:fldCharType="end"/>
      </w:r>
      <w:r>
        <w:rPr>
          <w:rStyle w:val="Style_13_ch"/>
          <w:rFonts w:ascii="Times New Roman" w:hAnsi="Times New Roman"/>
          <w:sz w:val="24"/>
        </w:rPr>
        <w:t xml:space="preserve"> </w:t>
      </w:r>
      <w:r>
        <w:rPr>
          <w:rStyle w:val="Style_13_ch"/>
          <w:rFonts w:ascii="Times New Roman" w:hAnsi="Times New Roman"/>
          <w:sz w:val="24"/>
        </w:rPr>
        <w:fldChar w:fldCharType="begin"/>
      </w:r>
      <w:r>
        <w:rPr>
          <w:rStyle w:val="Style_13_ch"/>
          <w:rFonts w:ascii="Times New Roman" w:hAnsi="Times New Roman"/>
          <w:sz w:val="24"/>
        </w:rPr>
        <w:instrText>HYPERLINK "http://disclosure.1prime.ru/Portal/GetDocument.aspx?emId=4714000211&amp;docId=8e661c7e7a6646689a3cdc6f4576c770"</w:instrText>
      </w:r>
      <w:r>
        <w:rPr>
          <w:rStyle w:val="Style_13_ch"/>
          <w:rFonts w:ascii="Times New Roman" w:hAnsi="Times New Roman"/>
          <w:sz w:val="24"/>
        </w:rPr>
        <w:fldChar w:fldCharType="separate"/>
      </w:r>
      <w:r>
        <w:rPr>
          <w:rStyle w:val="Style_13_ch"/>
          <w:rFonts w:ascii="Times New Roman" w:hAnsi="Times New Roman"/>
          <w:sz w:val="24"/>
        </w:rPr>
        <w:t>http://disclosure.1prime.ru/Portal/GetDocument.aspx?emId=4714000211&amp;docId=8e661c7e7a6646689a3cdc6f4576c770.</w:t>
      </w:r>
      <w:r>
        <w:rPr>
          <w:rStyle w:val="Style_13_ch"/>
          <w:rFonts w:ascii="Times New Roman" w:hAnsi="Times New Roman"/>
          <w:sz w:val="24"/>
        </w:rPr>
        <w:fldChar w:fldCharType="end"/>
      </w:r>
    </w:p>
    <w:sectPr>
      <w:footerReference r:id="rId1" w:type="default"/>
      <w:pgSz w:h="16838" w:orient="portrait" w:w="11906"/>
      <w:pgMar w:bottom="567" w:footer="397" w:gutter="0" w:header="397" w:left="1701" w:right="567" w:top="851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1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>
    <w:pPr>
      <w:pStyle w:val="Style_1"/>
      <w:ind w:firstLine="0" w:left="720"/>
    </w:pPr>
  </w:p>
</w:ftr>
</file>

<file path=word/numbering.xml><?xml version="1.0" encoding="utf-8"?>
<w:number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abstractNum w:abstractNumId="0">
    <w:lvl w:ilvl="0">
      <w:start w:val="1"/>
      <w:numFmt w:val="bullet"/>
      <w:lvlText w:val=""/>
      <w:lvlJc w:val="left"/>
      <w:pPr>
        <w:ind w:hanging="360" w:left="144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21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88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360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432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504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7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648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7200"/>
      </w:pPr>
      <w:rPr>
        <w:rFonts w:ascii="Wingdings" w:hAnsi="Wingdings"/>
      </w:rPr>
    </w:lvl>
  </w:abstractNum>
  <w:abstractNum w:abstractNumId="1">
    <w:lvl w:ilvl="0">
      <w:start w:val="1"/>
      <w:numFmt w:val="bullet"/>
      <w:lvlText w:val=""/>
      <w:lvlJc w:val="left"/>
      <w:pPr>
        <w:ind w:hanging="360" w:left="360"/>
      </w:pPr>
      <w:rPr>
        <w:rFonts w:ascii="Symbol" w:hAnsi="Symbol"/>
        <w:b w:val="1"/>
        <w:i w:val="1"/>
      </w:rPr>
    </w:lvl>
    <w:lvl w:ilvl="1">
      <w:start w:val="1"/>
      <w:numFmt w:val="decimal"/>
      <w:lvlText w:val="3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2">
    <w:lvl w:ilvl="0">
      <w:start w:val="1"/>
      <w:numFmt w:val="bullet"/>
      <w:lvlText w:val=""/>
      <w:lvlJc w:val="left"/>
      <w:pPr>
        <w:ind w:hanging="360" w:left="72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hAnsi="Wingdings"/>
      </w:rPr>
    </w:lvl>
  </w:abstractNum>
  <w:abstractNum w:abstractNumId="3">
    <w:lvl w:ilvl="0">
      <w:start w:val="1"/>
      <w:numFmt w:val="bullet"/>
      <w:lvlText w:val=""/>
      <w:lvlJc w:val="left"/>
      <w:pPr>
        <w:ind w:hanging="360" w:left="360"/>
      </w:pPr>
      <w:rPr>
        <w:rFonts w:ascii="Symbol" w:hAnsi="Symbol"/>
        <w:b w:val="1"/>
        <w:i w:val="1"/>
      </w:rPr>
    </w:lvl>
    <w:lvl w:ilvl="1">
      <w:start w:val="1"/>
      <w:numFmt w:val="decimal"/>
      <w:lvlText w:val="3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4">
    <w:lvl w:ilvl="0">
      <w:start w:val="1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1"/>
      <w:numFmt w:val="decimal"/>
      <w:lvlText w:val="2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5">
    <w:lvl w:ilvl="0">
      <w:start w:val="4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1"/>
      <w:numFmt w:val="decimal"/>
      <w:lvlText w:val="3.%2."/>
      <w:lvlJc w:val="left"/>
      <w:pPr>
        <w:ind w:hanging="360" w:left="786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6">
    <w:lvl w:ilvl="0">
      <w:start w:val="1"/>
      <w:numFmt w:val="decimal"/>
      <w:lvlText w:val="%1)"/>
      <w:lvlJc w:val="left"/>
      <w:pPr>
        <w:ind w:hanging="360" w:left="560"/>
      </w:pPr>
    </w:lvl>
    <w:lvl w:ilvl="1">
      <w:start w:val="1"/>
      <w:numFmt w:val="lowerLetter"/>
      <w:lvlText w:val="%2."/>
      <w:lvlJc w:val="left"/>
      <w:pPr>
        <w:ind w:hanging="360" w:left="1280"/>
      </w:pPr>
    </w:lvl>
    <w:lvl w:ilvl="2">
      <w:start w:val="1"/>
      <w:numFmt w:val="lowerRoman"/>
      <w:lvlText w:val="%3."/>
      <w:lvlJc w:val="right"/>
      <w:pPr>
        <w:ind w:hanging="180" w:left="2000"/>
      </w:pPr>
    </w:lvl>
    <w:lvl w:ilvl="3">
      <w:start w:val="1"/>
      <w:numFmt w:val="decimal"/>
      <w:lvlText w:val="%4."/>
      <w:lvlJc w:val="left"/>
      <w:pPr>
        <w:ind w:hanging="360" w:left="2720"/>
      </w:pPr>
    </w:lvl>
    <w:lvl w:ilvl="4">
      <w:start w:val="1"/>
      <w:numFmt w:val="lowerLetter"/>
      <w:lvlText w:val="%5."/>
      <w:lvlJc w:val="left"/>
      <w:pPr>
        <w:ind w:hanging="360" w:left="3440"/>
      </w:pPr>
    </w:lvl>
    <w:lvl w:ilvl="5">
      <w:start w:val="1"/>
      <w:numFmt w:val="lowerRoman"/>
      <w:lvlText w:val="%6."/>
      <w:lvlJc w:val="right"/>
      <w:pPr>
        <w:ind w:hanging="180" w:left="4160"/>
      </w:pPr>
    </w:lvl>
    <w:lvl w:ilvl="6">
      <w:start w:val="1"/>
      <w:numFmt w:val="decimal"/>
      <w:lvlText w:val="%7."/>
      <w:lvlJc w:val="left"/>
      <w:pPr>
        <w:ind w:hanging="360" w:left="4880"/>
      </w:pPr>
    </w:lvl>
    <w:lvl w:ilvl="7">
      <w:start w:val="1"/>
      <w:numFmt w:val="lowerLetter"/>
      <w:lvlText w:val="%8."/>
      <w:lvlJc w:val="left"/>
      <w:pPr>
        <w:ind w:hanging="360" w:left="5600"/>
      </w:pPr>
    </w:lvl>
    <w:lvl w:ilvl="8">
      <w:start w:val="1"/>
      <w:numFmt w:val="lowerRoman"/>
      <w:lvlText w:val="%9."/>
      <w:lvlJc w:val="right"/>
      <w:pPr>
        <w:ind w:hanging="180" w:left="6320"/>
      </w:pPr>
    </w:lvl>
  </w:abstractNum>
  <w:abstractNum w:abstractNumId="7">
    <w:lvl w:ilvl="0">
      <w:start w:val="1"/>
      <w:numFmt w:val="decimal"/>
      <w:lvlText w:val="%1)"/>
      <w:lvlJc w:val="left"/>
      <w:pPr>
        <w:ind w:hanging="360" w:left="560"/>
      </w:pPr>
      <w:rPr>
        <w:b w:val="0"/>
      </w:r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8">
    <w:lvl w:ilvl="0">
      <w:start w:val="4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1"/>
      <w:numFmt w:val="decimal"/>
      <w:lvlText w:val="%1.%2."/>
      <w:lvlJc w:val="left"/>
      <w:pPr>
        <w:ind w:hanging="360" w:left="644"/>
      </w:pPr>
      <w:rPr>
        <w:b w:val="1"/>
        <w:i w:val="0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1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abstractNum w:abstractNumId="9">
    <w:lvl w:ilvl="0">
      <w:start w:val="4"/>
      <w:numFmt w:val="decimal"/>
      <w:lvlText w:val="%1."/>
      <w:lvlJc w:val="left"/>
      <w:pPr>
        <w:ind w:hanging="360" w:left="360"/>
      </w:pPr>
      <w:rPr>
        <w:b w:val="1"/>
        <w:i w:val="1"/>
      </w:rPr>
    </w:lvl>
    <w:lvl w:ilvl="1">
      <w:start w:val="5"/>
      <w:numFmt w:val="decimal"/>
      <w:lvlText w:val="%1.%2."/>
      <w:lvlJc w:val="left"/>
      <w:pPr>
        <w:ind w:hanging="360" w:left="760"/>
      </w:pPr>
      <w:rPr>
        <w:b w:val="1"/>
        <w:i w:val="1"/>
      </w:rPr>
    </w:lvl>
    <w:lvl w:ilvl="2">
      <w:start w:val="1"/>
      <w:numFmt w:val="decimal"/>
      <w:lvlText w:val="%1.%2.%3."/>
      <w:lvlJc w:val="left"/>
      <w:pPr>
        <w:ind w:hanging="720" w:left="1520"/>
      </w:pPr>
      <w:rPr>
        <w:b w:val="1"/>
        <w:i w:val="0"/>
        <w:sz w:val="22"/>
      </w:rPr>
    </w:lvl>
    <w:lvl w:ilvl="3">
      <w:start w:val="1"/>
      <w:numFmt w:val="decimal"/>
      <w:lvlText w:val="%1.%2.%3.%4."/>
      <w:lvlJc w:val="left"/>
      <w:pPr>
        <w:ind w:hanging="720" w:left="1920"/>
      </w:pPr>
      <w:rPr>
        <w:b w:val="1"/>
        <w:i w:val="1"/>
      </w:rPr>
    </w:lvl>
    <w:lvl w:ilvl="4">
      <w:start w:val="1"/>
      <w:numFmt w:val="decimal"/>
      <w:lvlText w:val="%1.%2.%3.%4.%5."/>
      <w:lvlJc w:val="left"/>
      <w:pPr>
        <w:ind w:hanging="1080" w:left="2680"/>
      </w:pPr>
      <w:rPr>
        <w:b w:val="1"/>
        <w:i w:val="1"/>
      </w:rPr>
    </w:lvl>
    <w:lvl w:ilvl="5">
      <w:start w:val="1"/>
      <w:numFmt w:val="decimal"/>
      <w:lvlText w:val="%1.%2.%3.%4.%5.%6."/>
      <w:lvlJc w:val="left"/>
      <w:pPr>
        <w:ind w:hanging="1080" w:left="3080"/>
      </w:pPr>
      <w:rPr>
        <w:b w:val="1"/>
        <w:i w:val="1"/>
      </w:rPr>
    </w:lvl>
    <w:lvl w:ilvl="6">
      <w:start w:val="1"/>
      <w:numFmt w:val="decimal"/>
      <w:lvlText w:val="%1.%2.%3.%4.%5.%6.%7."/>
      <w:lvlJc w:val="left"/>
      <w:pPr>
        <w:ind w:hanging="1080" w:left="3480"/>
      </w:pPr>
      <w:rPr>
        <w:b w:val="1"/>
        <w:i w:val="1"/>
      </w:rPr>
    </w:lvl>
    <w:lvl w:ilvl="7">
      <w:start w:val="1"/>
      <w:numFmt w:val="decimal"/>
      <w:lvlText w:val="%1.%2.%3.%4.%5.%6.%7.%8."/>
      <w:lvlJc w:val="left"/>
      <w:pPr>
        <w:ind w:hanging="1440" w:left="4240"/>
      </w:pPr>
      <w:rPr>
        <w:b w:val="1"/>
        <w:i w:val="1"/>
      </w:rPr>
    </w:lvl>
    <w:lvl w:ilvl="8">
      <w:start w:val="1"/>
      <w:numFmt w:val="decimal"/>
      <w:lvlText w:val="%1.%2.%3.%4.%5.%6.%7.%8.%9."/>
      <w:lvlJc w:val="left"/>
      <w:pPr>
        <w:ind w:hanging="1440" w:left="4640"/>
      </w:pPr>
      <w:rPr>
        <w:b w:val="1"/>
        <w:i w:val="1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1" w:type="paragraph">
    <w:name w:val="Normal"/>
    <w:link w:val="Style_11_ch"/>
    <w:uiPriority w:val="0"/>
    <w:qFormat/>
    <w:rPr>
      <w:sz w:val="24"/>
    </w:rPr>
  </w:style>
  <w:style w:default="1" w:styleId="Style_11_ch" w:type="character">
    <w:name w:val="Normal"/>
    <w:link w:val="Style_11"/>
    <w:rPr>
      <w:sz w:val="24"/>
    </w:rPr>
  </w:style>
  <w:style w:styleId="Style_5" w:type="paragraph">
    <w:name w:val="toc 2"/>
    <w:basedOn w:val="Style_11"/>
    <w:next w:val="Style_11"/>
    <w:link w:val="Style_5_ch"/>
    <w:uiPriority w:val="39"/>
    <w:pPr>
      <w:ind w:firstLine="0" w:left="200"/>
    </w:pPr>
  </w:style>
  <w:style w:styleId="Style_5_ch" w:type="character">
    <w:name w:val="toc 2"/>
    <w:basedOn w:val="Style_11_ch"/>
    <w:link w:val="Style_5"/>
  </w:style>
  <w:style w:styleId="Style_14" w:type="paragraph">
    <w:name w:val="toc 4"/>
    <w:next w:val="Style_11"/>
    <w:link w:val="Style_14_ch"/>
    <w:uiPriority w:val="39"/>
    <w:pPr>
      <w:ind w:firstLine="0" w:left="600"/>
    </w:pPr>
    <w:rPr>
      <w:rFonts w:ascii="XO Thames" w:hAnsi="XO Thames"/>
      <w:sz w:val="28"/>
    </w:rPr>
  </w:style>
  <w:style w:styleId="Style_14_ch" w:type="character">
    <w:name w:val="toc 4"/>
    <w:link w:val="Style_14"/>
    <w:rPr>
      <w:rFonts w:ascii="XO Thames" w:hAnsi="XO Thames"/>
      <w:sz w:val="28"/>
    </w:rPr>
  </w:style>
  <w:style w:styleId="Style_15" w:type="paragraph">
    <w:name w:val="heading 7"/>
    <w:basedOn w:val="Style_11"/>
    <w:next w:val="Style_11"/>
    <w:link w:val="Style_15_ch"/>
    <w:uiPriority w:val="9"/>
    <w:qFormat/>
    <w:pPr>
      <w:spacing w:after="60" w:before="240"/>
      <w:ind/>
      <w:outlineLvl w:val="6"/>
    </w:pPr>
  </w:style>
  <w:style w:styleId="Style_15_ch" w:type="character">
    <w:name w:val="heading 7"/>
    <w:basedOn w:val="Style_11_ch"/>
    <w:link w:val="Style_15"/>
  </w:style>
  <w:style w:styleId="Style_16" w:type="paragraph">
    <w:name w:val="toc 6"/>
    <w:next w:val="Style_11"/>
    <w:link w:val="Style_16_ch"/>
    <w:uiPriority w:val="39"/>
    <w:pPr>
      <w:ind w:firstLine="0" w:left="1000"/>
    </w:pPr>
    <w:rPr>
      <w:rFonts w:ascii="XO Thames" w:hAnsi="XO Thames"/>
      <w:sz w:val="28"/>
    </w:rPr>
  </w:style>
  <w:style w:styleId="Style_16_ch" w:type="character">
    <w:name w:val="toc 6"/>
    <w:link w:val="Style_16"/>
    <w:rPr>
      <w:rFonts w:ascii="XO Thames" w:hAnsi="XO Thames"/>
      <w:sz w:val="28"/>
    </w:rPr>
  </w:style>
  <w:style w:styleId="Style_17" w:type="paragraph">
    <w:name w:val="toc 7"/>
    <w:next w:val="Style_11"/>
    <w:link w:val="Style_17_ch"/>
    <w:uiPriority w:val="39"/>
    <w:pPr>
      <w:ind w:firstLine="0" w:left="1200"/>
    </w:pPr>
    <w:rPr>
      <w:rFonts w:ascii="XO Thames" w:hAnsi="XO Thames"/>
      <w:sz w:val="28"/>
    </w:rPr>
  </w:style>
  <w:style w:styleId="Style_17_ch" w:type="character">
    <w:name w:val="toc 7"/>
    <w:link w:val="Style_17"/>
    <w:rPr>
      <w:rFonts w:ascii="XO Thames" w:hAnsi="XO Thames"/>
      <w:sz w:val="28"/>
    </w:rPr>
  </w:style>
  <w:style w:styleId="Style_18" w:type="paragraph">
    <w:name w:val="Endnote"/>
    <w:basedOn w:val="Style_11"/>
    <w:link w:val="Style_18_ch"/>
  </w:style>
  <w:style w:styleId="Style_18_ch" w:type="character">
    <w:name w:val="Endnote"/>
    <w:basedOn w:val="Style_11_ch"/>
    <w:link w:val="Style_18"/>
  </w:style>
  <w:style w:styleId="Style_19" w:type="paragraph">
    <w:name w:val="heading 3"/>
    <w:basedOn w:val="Style_11"/>
    <w:next w:val="Style_11"/>
    <w:link w:val="Style_19_ch"/>
    <w:uiPriority w:val="9"/>
    <w:qFormat/>
    <w:pPr>
      <w:keepNext w:val="1"/>
      <w:spacing w:after="60" w:before="240"/>
      <w:ind/>
      <w:outlineLvl w:val="2"/>
    </w:pPr>
    <w:rPr>
      <w:rFonts w:ascii="Cambria" w:hAnsi="Cambria"/>
      <w:b w:val="1"/>
      <w:sz w:val="26"/>
    </w:rPr>
  </w:style>
  <w:style w:styleId="Style_19_ch" w:type="character">
    <w:name w:val="heading 3"/>
    <w:basedOn w:val="Style_11_ch"/>
    <w:link w:val="Style_19"/>
    <w:rPr>
      <w:rFonts w:ascii="Cambria" w:hAnsi="Cambria"/>
      <w:b w:val="1"/>
      <w:sz w:val="26"/>
    </w:rPr>
  </w:style>
  <w:style w:styleId="Style_20" w:type="paragraph">
    <w:name w:val="Название книги1"/>
    <w:basedOn w:val="Style_21"/>
    <w:link w:val="Style_20_ch"/>
    <w:rPr>
      <w:rFonts w:ascii="Cambria" w:hAnsi="Cambria"/>
      <w:b w:val="1"/>
      <w:i w:val="1"/>
      <w:sz w:val="24"/>
    </w:rPr>
  </w:style>
  <w:style w:styleId="Style_20_ch" w:type="character">
    <w:name w:val="Название книги1"/>
    <w:basedOn w:val="Style_21_ch"/>
    <w:link w:val="Style_20"/>
    <w:rPr>
      <w:rFonts w:ascii="Cambria" w:hAnsi="Cambria"/>
      <w:b w:val="1"/>
      <w:i w:val="1"/>
      <w:sz w:val="24"/>
    </w:rPr>
  </w:style>
  <w:style w:styleId="Style_22" w:type="paragraph">
    <w:name w:val="Сильная ссылка1"/>
    <w:basedOn w:val="Style_21"/>
    <w:link w:val="Style_22_ch"/>
    <w:rPr>
      <w:b w:val="1"/>
      <w:sz w:val="24"/>
      <w:u w:val="single"/>
    </w:rPr>
  </w:style>
  <w:style w:styleId="Style_22_ch" w:type="character">
    <w:name w:val="Сильная ссылка1"/>
    <w:basedOn w:val="Style_21_ch"/>
    <w:link w:val="Style_22"/>
    <w:rPr>
      <w:b w:val="1"/>
      <w:sz w:val="24"/>
      <w:u w:val="single"/>
    </w:rPr>
  </w:style>
  <w:style w:styleId="Style_23" w:type="paragraph">
    <w:name w:val="Normal (Web)"/>
    <w:basedOn w:val="Style_11"/>
    <w:link w:val="Style_23_ch"/>
    <w:pPr>
      <w:spacing w:afterAutospacing="on" w:beforeAutospacing="on"/>
      <w:ind/>
    </w:pPr>
  </w:style>
  <w:style w:styleId="Style_23_ch" w:type="character">
    <w:name w:val="Normal (Web)"/>
    <w:basedOn w:val="Style_11_ch"/>
    <w:link w:val="Style_23"/>
  </w:style>
  <w:style w:styleId="Style_24" w:type="paragraph">
    <w:name w:val="Основной шрифт абзаца1"/>
    <w:link w:val="Style_24_ch"/>
  </w:style>
  <w:style w:styleId="Style_24_ch" w:type="character">
    <w:name w:val="Основной шрифт абзаца1"/>
    <w:link w:val="Style_24"/>
  </w:style>
  <w:style w:styleId="Style_25" w:type="paragraph">
    <w:name w:val="Сильное выделение1"/>
    <w:basedOn w:val="Style_21"/>
    <w:link w:val="Style_25_ch"/>
    <w:rPr>
      <w:b w:val="1"/>
      <w:i w:val="1"/>
      <w:sz w:val="24"/>
      <w:u w:val="single"/>
    </w:rPr>
  </w:style>
  <w:style w:styleId="Style_25_ch" w:type="character">
    <w:name w:val="Сильное выделение1"/>
    <w:basedOn w:val="Style_21_ch"/>
    <w:link w:val="Style_25"/>
    <w:rPr>
      <w:b w:val="1"/>
      <w:i w:val="1"/>
      <w:sz w:val="24"/>
      <w:u w:val="single"/>
    </w:rPr>
  </w:style>
  <w:style w:styleId="Style_26" w:type="paragraph">
    <w:name w:val="heading 9"/>
    <w:basedOn w:val="Style_11"/>
    <w:next w:val="Style_11"/>
    <w:link w:val="Style_26_ch"/>
    <w:uiPriority w:val="9"/>
    <w:qFormat/>
    <w:pPr>
      <w:spacing w:after="60" w:before="240"/>
      <w:ind/>
      <w:outlineLvl w:val="8"/>
    </w:pPr>
    <w:rPr>
      <w:rFonts w:ascii="Cambria" w:hAnsi="Cambria"/>
      <w:sz w:val="22"/>
    </w:rPr>
  </w:style>
  <w:style w:styleId="Style_26_ch" w:type="character">
    <w:name w:val="heading 9"/>
    <w:basedOn w:val="Style_11_ch"/>
    <w:link w:val="Style_26"/>
    <w:rPr>
      <w:rFonts w:ascii="Cambria" w:hAnsi="Cambria"/>
      <w:sz w:val="22"/>
    </w:rPr>
  </w:style>
  <w:style w:styleId="Style_27" w:type="paragraph">
    <w:name w:val="header"/>
    <w:basedOn w:val="Style_11"/>
    <w:link w:val="Style_27_ch"/>
    <w:pPr>
      <w:tabs>
        <w:tab w:leader="none" w:pos="4153" w:val="center"/>
        <w:tab w:leader="none" w:pos="8306" w:val="right"/>
      </w:tabs>
      <w:ind/>
    </w:pPr>
  </w:style>
  <w:style w:styleId="Style_27_ch" w:type="character">
    <w:name w:val="header"/>
    <w:basedOn w:val="Style_11_ch"/>
    <w:link w:val="Style_27"/>
  </w:style>
  <w:style w:styleId="Style_28" w:type="paragraph">
    <w:name w:val="Quote"/>
    <w:basedOn w:val="Style_11"/>
    <w:next w:val="Style_11"/>
    <w:link w:val="Style_28_ch"/>
    <w:rPr>
      <w:i w:val="1"/>
    </w:rPr>
  </w:style>
  <w:style w:styleId="Style_28_ch" w:type="character">
    <w:name w:val="Quote"/>
    <w:basedOn w:val="Style_11_ch"/>
    <w:link w:val="Style_28"/>
    <w:rPr>
      <w:i w:val="1"/>
    </w:rPr>
  </w:style>
  <w:style w:styleId="Style_29" w:type="paragraph">
    <w:name w:val="Знак сноски1"/>
    <w:basedOn w:val="Style_21"/>
    <w:link w:val="Style_29_ch"/>
    <w:rPr>
      <w:vertAlign w:val="superscript"/>
    </w:rPr>
  </w:style>
  <w:style w:styleId="Style_29_ch" w:type="character">
    <w:name w:val="Знак сноски1"/>
    <w:basedOn w:val="Style_21_ch"/>
    <w:link w:val="Style_29"/>
    <w:rPr>
      <w:vertAlign w:val="superscript"/>
    </w:rPr>
  </w:style>
  <w:style w:styleId="Style_8" w:type="paragraph">
    <w:name w:val="ConsPlusNormal"/>
    <w:link w:val="Style_8_ch"/>
    <w:pPr>
      <w:widowControl w:val="0"/>
      <w:ind/>
    </w:pPr>
    <w:rPr>
      <w:sz w:val="22"/>
    </w:rPr>
  </w:style>
  <w:style w:styleId="Style_8_ch" w:type="character">
    <w:name w:val="ConsPlusNormal"/>
    <w:link w:val="Style_8"/>
    <w:rPr>
      <w:sz w:val="22"/>
    </w:rPr>
  </w:style>
  <w:style w:styleId="Style_1" w:type="paragraph">
    <w:name w:val="footer"/>
    <w:basedOn w:val="Style_11"/>
    <w:link w:val="Style_1_ch"/>
    <w:pPr>
      <w:tabs>
        <w:tab w:leader="none" w:pos="4153" w:val="center"/>
        <w:tab w:leader="none" w:pos="8306" w:val="right"/>
      </w:tabs>
      <w:ind/>
    </w:pPr>
  </w:style>
  <w:style w:styleId="Style_1_ch" w:type="character">
    <w:name w:val="footer"/>
    <w:basedOn w:val="Style_11_ch"/>
    <w:link w:val="Style_1"/>
  </w:style>
  <w:style w:styleId="Style_30" w:type="paragraph">
    <w:name w:val="toc 3"/>
    <w:basedOn w:val="Style_11"/>
    <w:next w:val="Style_11"/>
    <w:link w:val="Style_30_ch"/>
    <w:uiPriority w:val="39"/>
    <w:pPr>
      <w:spacing w:after="100" w:line="264" w:lineRule="auto"/>
      <w:ind w:firstLine="0" w:left="440"/>
    </w:pPr>
    <w:rPr>
      <w:sz w:val="22"/>
    </w:rPr>
  </w:style>
  <w:style w:styleId="Style_30_ch" w:type="character">
    <w:name w:val="toc 3"/>
    <w:basedOn w:val="Style_11_ch"/>
    <w:link w:val="Style_30"/>
    <w:rPr>
      <w:sz w:val="22"/>
    </w:rPr>
  </w:style>
  <w:style w:styleId="Style_31" w:type="paragraph">
    <w:name w:val="Знак концевой сноски1"/>
    <w:basedOn w:val="Style_21"/>
    <w:link w:val="Style_31_ch"/>
    <w:rPr>
      <w:vertAlign w:val="superscript"/>
    </w:rPr>
  </w:style>
  <w:style w:styleId="Style_31_ch" w:type="character">
    <w:name w:val="Знак концевой сноски1"/>
    <w:basedOn w:val="Style_21_ch"/>
    <w:link w:val="Style_31"/>
    <w:rPr>
      <w:vertAlign w:val="superscript"/>
    </w:rPr>
  </w:style>
  <w:style w:styleId="Style_32" w:type="paragraph">
    <w:name w:val="Default Paragraph Font"/>
    <w:link w:val="Style_32_ch"/>
  </w:style>
  <w:style w:styleId="Style_32_ch" w:type="character">
    <w:name w:val="Default Paragraph Font"/>
    <w:link w:val="Style_32"/>
  </w:style>
  <w:style w:styleId="Style_33" w:type="paragraph">
    <w:name w:val="Слабая ссылка1"/>
    <w:basedOn w:val="Style_21"/>
    <w:link w:val="Style_33_ch"/>
    <w:rPr>
      <w:sz w:val="24"/>
      <w:u w:val="single"/>
    </w:rPr>
  </w:style>
  <w:style w:styleId="Style_33_ch" w:type="character">
    <w:name w:val="Слабая ссылка1"/>
    <w:basedOn w:val="Style_21_ch"/>
    <w:link w:val="Style_33"/>
    <w:rPr>
      <w:sz w:val="24"/>
      <w:u w:val="single"/>
    </w:rPr>
  </w:style>
  <w:style w:styleId="Style_34" w:type="paragraph">
    <w:name w:val="Слабое выделение1"/>
    <w:basedOn w:val="Style_21"/>
    <w:link w:val="Style_34_ch"/>
    <w:rPr>
      <w:i w:val="1"/>
      <w:color w:val="5A5A5A"/>
    </w:rPr>
  </w:style>
  <w:style w:styleId="Style_34_ch" w:type="character">
    <w:name w:val="Слабое выделение1"/>
    <w:basedOn w:val="Style_21_ch"/>
    <w:link w:val="Style_34"/>
    <w:rPr>
      <w:i w:val="1"/>
      <w:color w:val="5A5A5A"/>
    </w:rPr>
  </w:style>
  <w:style w:styleId="Style_35" w:type="paragraph">
    <w:name w:val="heading 5"/>
    <w:basedOn w:val="Style_11"/>
    <w:next w:val="Style_11"/>
    <w:link w:val="Style_35_ch"/>
    <w:uiPriority w:val="9"/>
    <w:qFormat/>
    <w:pPr>
      <w:spacing w:after="60" w:before="240"/>
      <w:ind/>
      <w:outlineLvl w:val="4"/>
    </w:pPr>
    <w:rPr>
      <w:b w:val="1"/>
      <w:i w:val="1"/>
      <w:sz w:val="26"/>
    </w:rPr>
  </w:style>
  <w:style w:styleId="Style_35_ch" w:type="character">
    <w:name w:val="heading 5"/>
    <w:basedOn w:val="Style_11_ch"/>
    <w:link w:val="Style_35"/>
    <w:rPr>
      <w:b w:val="1"/>
      <w:i w:val="1"/>
      <w:sz w:val="26"/>
    </w:rPr>
  </w:style>
  <w:style w:styleId="Style_3" w:type="paragraph">
    <w:name w:val="TOC Heading"/>
    <w:basedOn w:val="Style_36"/>
    <w:next w:val="Style_11"/>
    <w:link w:val="Style_3_ch"/>
    <w:pPr>
      <w:ind/>
      <w:outlineLvl w:val="8"/>
    </w:pPr>
  </w:style>
  <w:style w:styleId="Style_3_ch" w:type="character">
    <w:name w:val="TOC Heading"/>
    <w:basedOn w:val="Style_36_ch"/>
    <w:link w:val="Style_3"/>
  </w:style>
  <w:style w:styleId="Style_37" w:type="paragraph">
    <w:name w:val="Balloon Text"/>
    <w:basedOn w:val="Style_11"/>
    <w:link w:val="Style_37_ch"/>
    <w:rPr>
      <w:rFonts w:ascii="Segoe UI" w:hAnsi="Segoe UI"/>
      <w:sz w:val="18"/>
    </w:rPr>
  </w:style>
  <w:style w:styleId="Style_37_ch" w:type="character">
    <w:name w:val="Balloon Text"/>
    <w:basedOn w:val="Style_11_ch"/>
    <w:link w:val="Style_37"/>
    <w:rPr>
      <w:rFonts w:ascii="Segoe UI" w:hAnsi="Segoe UI"/>
      <w:sz w:val="18"/>
    </w:rPr>
  </w:style>
  <w:style w:styleId="Style_38" w:type="paragraph">
    <w:name w:val="Гиперссылка2"/>
    <w:link w:val="Style_38_ch"/>
    <w:rPr>
      <w:color w:val="0000FF"/>
      <w:u w:val="single"/>
    </w:rPr>
  </w:style>
  <w:style w:styleId="Style_38_ch" w:type="character">
    <w:name w:val="Гиперссылка2"/>
    <w:link w:val="Style_38"/>
    <w:rPr>
      <w:color w:val="0000FF"/>
      <w:u w:val="single"/>
    </w:rPr>
  </w:style>
  <w:style w:styleId="Style_36" w:type="paragraph">
    <w:name w:val="heading 1"/>
    <w:basedOn w:val="Style_11"/>
    <w:next w:val="Style_11"/>
    <w:link w:val="Style_36_ch"/>
    <w:uiPriority w:val="9"/>
    <w:qFormat/>
    <w:pPr>
      <w:keepNext w:val="1"/>
      <w:spacing w:after="60" w:before="240"/>
      <w:ind/>
      <w:outlineLvl w:val="0"/>
    </w:pPr>
    <w:rPr>
      <w:rFonts w:ascii="Cambria" w:hAnsi="Cambria"/>
      <w:b w:val="1"/>
      <w:sz w:val="32"/>
    </w:rPr>
  </w:style>
  <w:style w:styleId="Style_36_ch" w:type="character">
    <w:name w:val="heading 1"/>
    <w:basedOn w:val="Style_11_ch"/>
    <w:link w:val="Style_36"/>
    <w:rPr>
      <w:rFonts w:ascii="Cambria" w:hAnsi="Cambria"/>
      <w:b w:val="1"/>
      <w:sz w:val="32"/>
    </w:rPr>
  </w:style>
  <w:style w:styleId="Style_13" w:type="paragraph">
    <w:name w:val="Hyperlink"/>
    <w:link w:val="Style_13_ch"/>
    <w:rPr>
      <w:color w:val="0000FF"/>
      <w:u w:val="single"/>
    </w:rPr>
  </w:style>
  <w:style w:styleId="Style_13_ch" w:type="character">
    <w:name w:val="Hyperlink"/>
    <w:link w:val="Style_13"/>
    <w:rPr>
      <w:color w:val="0000FF"/>
      <w:u w:val="single"/>
    </w:rPr>
  </w:style>
  <w:style w:styleId="Style_39" w:type="paragraph">
    <w:name w:val="Footnote"/>
    <w:basedOn w:val="Style_11"/>
    <w:link w:val="Style_39_ch"/>
  </w:style>
  <w:style w:styleId="Style_39_ch" w:type="character">
    <w:name w:val="Footnote"/>
    <w:basedOn w:val="Style_11_ch"/>
    <w:link w:val="Style_39"/>
  </w:style>
  <w:style w:styleId="Style_40" w:type="paragraph">
    <w:name w:val="heading 8"/>
    <w:basedOn w:val="Style_11"/>
    <w:next w:val="Style_11"/>
    <w:link w:val="Style_40_ch"/>
    <w:uiPriority w:val="9"/>
    <w:qFormat/>
    <w:pPr>
      <w:spacing w:after="60" w:before="240"/>
      <w:ind/>
      <w:outlineLvl w:val="7"/>
    </w:pPr>
    <w:rPr>
      <w:i w:val="1"/>
    </w:rPr>
  </w:style>
  <w:style w:styleId="Style_40_ch" w:type="character">
    <w:name w:val="heading 8"/>
    <w:basedOn w:val="Style_11_ch"/>
    <w:link w:val="Style_40"/>
    <w:rPr>
      <w:i w:val="1"/>
    </w:rPr>
  </w:style>
  <w:style w:styleId="Style_6" w:type="paragraph">
    <w:name w:val="Sub Heading"/>
    <w:link w:val="Style_6_ch"/>
    <w:pPr>
      <w:widowControl w:val="0"/>
      <w:spacing w:after="40" w:before="240"/>
      <w:ind/>
    </w:pPr>
    <w:rPr>
      <w:sz w:val="22"/>
    </w:rPr>
  </w:style>
  <w:style w:styleId="Style_6_ch" w:type="character">
    <w:name w:val="Sub Heading"/>
    <w:link w:val="Style_6"/>
    <w:rPr>
      <w:sz w:val="22"/>
    </w:rPr>
  </w:style>
  <w:style w:styleId="Style_9" w:type="paragraph">
    <w:name w:val="Основной текст50"/>
    <w:basedOn w:val="Style_11"/>
    <w:link w:val="Style_9_ch"/>
    <w:pPr>
      <w:spacing w:before="360" w:line="446" w:lineRule="exact"/>
      <w:ind w:hanging="580" w:left="580"/>
      <w:jc w:val="right"/>
    </w:pPr>
    <w:rPr>
      <w:rFonts w:ascii="Times New Roman" w:hAnsi="Times New Roman"/>
      <w:color w:val="000000"/>
      <w:sz w:val="23"/>
    </w:rPr>
  </w:style>
  <w:style w:styleId="Style_9_ch" w:type="character">
    <w:name w:val="Основной текст50"/>
    <w:basedOn w:val="Style_11_ch"/>
    <w:link w:val="Style_9"/>
    <w:rPr>
      <w:rFonts w:ascii="Times New Roman" w:hAnsi="Times New Roman"/>
      <w:color w:val="000000"/>
      <w:sz w:val="23"/>
    </w:rPr>
  </w:style>
  <w:style w:styleId="Style_4" w:type="paragraph">
    <w:name w:val="toc 1"/>
    <w:basedOn w:val="Style_11"/>
    <w:next w:val="Style_11"/>
    <w:link w:val="Style_4_ch"/>
    <w:uiPriority w:val="39"/>
  </w:style>
  <w:style w:styleId="Style_4_ch" w:type="character">
    <w:name w:val="toc 1"/>
    <w:basedOn w:val="Style_11_ch"/>
    <w:link w:val="Style_4"/>
  </w:style>
  <w:style w:styleId="Style_41" w:type="paragraph">
    <w:name w:val="Обычный1"/>
    <w:link w:val="Style_41_ch"/>
    <w:rPr>
      <w:sz w:val="24"/>
    </w:rPr>
  </w:style>
  <w:style w:styleId="Style_41_ch" w:type="character">
    <w:name w:val="Обычный1"/>
    <w:link w:val="Style_41"/>
    <w:rPr>
      <w:sz w:val="24"/>
    </w:rPr>
  </w:style>
  <w:style w:styleId="Style_12" w:type="paragraph">
    <w:name w:val="Гиперссылка1"/>
    <w:basedOn w:val="Style_21"/>
    <w:link w:val="Style_12_ch"/>
    <w:rPr>
      <w:color w:val="0563C1"/>
      <w:u w:val="single"/>
    </w:rPr>
  </w:style>
  <w:style w:styleId="Style_12_ch" w:type="character">
    <w:name w:val="Гиперссылка1"/>
    <w:basedOn w:val="Style_21_ch"/>
    <w:link w:val="Style_12"/>
    <w:rPr>
      <w:color w:val="0563C1"/>
      <w:u w:val="single"/>
    </w:rPr>
  </w:style>
  <w:style w:styleId="Style_42" w:type="paragraph">
    <w:name w:val="Header and Footer"/>
    <w:link w:val="Style_42_ch"/>
    <w:pPr>
      <w:ind/>
      <w:jc w:val="both"/>
    </w:pPr>
    <w:rPr>
      <w:rFonts w:ascii="XO Thames" w:hAnsi="XO Thames"/>
      <w:sz w:val="28"/>
    </w:rPr>
  </w:style>
  <w:style w:styleId="Style_42_ch" w:type="character">
    <w:name w:val="Header and Footer"/>
    <w:link w:val="Style_42"/>
    <w:rPr>
      <w:rFonts w:ascii="XO Thames" w:hAnsi="XO Thames"/>
      <w:sz w:val="28"/>
    </w:rPr>
  </w:style>
  <w:style w:styleId="Style_43" w:type="paragraph">
    <w:name w:val="toc 9"/>
    <w:next w:val="Style_11"/>
    <w:link w:val="Style_43_ch"/>
    <w:uiPriority w:val="39"/>
    <w:pPr>
      <w:ind w:firstLine="0" w:left="1600"/>
    </w:pPr>
    <w:rPr>
      <w:rFonts w:ascii="XO Thames" w:hAnsi="XO Thames"/>
      <w:sz w:val="28"/>
    </w:rPr>
  </w:style>
  <w:style w:styleId="Style_43_ch" w:type="character">
    <w:name w:val="toc 9"/>
    <w:link w:val="Style_43"/>
    <w:rPr>
      <w:rFonts w:ascii="XO Thames" w:hAnsi="XO Thames"/>
      <w:sz w:val="28"/>
    </w:rPr>
  </w:style>
  <w:style w:styleId="Style_44" w:type="paragraph">
    <w:name w:val="Intense Quote"/>
    <w:basedOn w:val="Style_11"/>
    <w:next w:val="Style_11"/>
    <w:link w:val="Style_44_ch"/>
    <w:pPr>
      <w:ind w:firstLine="0" w:left="720" w:right="720"/>
    </w:pPr>
    <w:rPr>
      <w:b w:val="1"/>
      <w:i w:val="1"/>
    </w:rPr>
  </w:style>
  <w:style w:styleId="Style_44_ch" w:type="character">
    <w:name w:val="Intense Quote"/>
    <w:basedOn w:val="Style_11_ch"/>
    <w:link w:val="Style_44"/>
    <w:rPr>
      <w:b w:val="1"/>
      <w:i w:val="1"/>
    </w:rPr>
  </w:style>
  <w:style w:styleId="Style_45" w:type="paragraph">
    <w:name w:val="No Spacing"/>
    <w:basedOn w:val="Style_11"/>
    <w:link w:val="Style_45_ch"/>
  </w:style>
  <w:style w:styleId="Style_45_ch" w:type="character">
    <w:name w:val="No Spacing"/>
    <w:basedOn w:val="Style_11_ch"/>
    <w:link w:val="Style_45"/>
  </w:style>
  <w:style w:styleId="Style_46" w:type="paragraph">
    <w:name w:val="toc 8"/>
    <w:next w:val="Style_11"/>
    <w:link w:val="Style_46_ch"/>
    <w:uiPriority w:val="39"/>
    <w:pPr>
      <w:ind w:firstLine="0" w:left="1400"/>
    </w:pPr>
    <w:rPr>
      <w:rFonts w:ascii="XO Thames" w:hAnsi="XO Thames"/>
      <w:sz w:val="28"/>
    </w:rPr>
  </w:style>
  <w:style w:styleId="Style_46_ch" w:type="character">
    <w:name w:val="toc 8"/>
    <w:link w:val="Style_46"/>
    <w:rPr>
      <w:rFonts w:ascii="XO Thames" w:hAnsi="XO Thames"/>
      <w:sz w:val="28"/>
    </w:rPr>
  </w:style>
  <w:style w:styleId="Style_47" w:type="paragraph">
    <w:name w:val="ConsNonformat"/>
    <w:link w:val="Style_47_ch"/>
    <w:pPr>
      <w:widowControl w:val="0"/>
      <w:ind/>
    </w:pPr>
    <w:rPr>
      <w:rFonts w:ascii="Courier New" w:hAnsi="Courier New"/>
      <w:sz w:val="22"/>
    </w:rPr>
  </w:style>
  <w:style w:styleId="Style_47_ch" w:type="character">
    <w:name w:val="ConsNonformat"/>
    <w:link w:val="Style_47"/>
    <w:rPr>
      <w:rFonts w:ascii="Courier New" w:hAnsi="Courier New"/>
      <w:sz w:val="22"/>
    </w:rPr>
  </w:style>
  <w:style w:styleId="Style_48" w:type="paragraph">
    <w:name w:val="ConsNormal"/>
    <w:link w:val="Style_48_ch"/>
    <w:pPr>
      <w:ind w:firstLine="539" w:left="0" w:right="19771"/>
    </w:pPr>
    <w:rPr>
      <w:rFonts w:ascii="Courier New" w:hAnsi="Courier New"/>
      <w:sz w:val="22"/>
    </w:rPr>
  </w:style>
  <w:style w:styleId="Style_48_ch" w:type="character">
    <w:name w:val="ConsNormal"/>
    <w:link w:val="Style_48"/>
    <w:rPr>
      <w:rFonts w:ascii="Courier New" w:hAnsi="Courier New"/>
      <w:sz w:val="22"/>
    </w:rPr>
  </w:style>
  <w:style w:styleId="Style_49" w:type="paragraph">
    <w:name w:val="Выделение1"/>
    <w:basedOn w:val="Style_21"/>
    <w:link w:val="Style_49_ch"/>
    <w:rPr>
      <w:b w:val="1"/>
      <w:i w:val="1"/>
    </w:rPr>
  </w:style>
  <w:style w:styleId="Style_49_ch" w:type="character">
    <w:name w:val="Выделение1"/>
    <w:basedOn w:val="Style_21_ch"/>
    <w:link w:val="Style_49"/>
    <w:rPr>
      <w:b w:val="1"/>
      <w:i w:val="1"/>
    </w:rPr>
  </w:style>
  <w:style w:styleId="Style_50" w:type="paragraph">
    <w:name w:val="Body Text"/>
    <w:basedOn w:val="Style_11"/>
    <w:link w:val="Style_50_ch"/>
    <w:pPr>
      <w:widowControl w:val="0"/>
      <w:ind w:firstLine="4" w:left="117"/>
    </w:pPr>
    <w:rPr>
      <w:sz w:val="18"/>
    </w:rPr>
  </w:style>
  <w:style w:styleId="Style_50_ch" w:type="character">
    <w:name w:val="Body Text"/>
    <w:basedOn w:val="Style_11_ch"/>
    <w:link w:val="Style_50"/>
    <w:rPr>
      <w:sz w:val="18"/>
    </w:rPr>
  </w:style>
  <w:style w:styleId="Style_51" w:type="paragraph">
    <w:name w:val="toc 5"/>
    <w:next w:val="Style_11"/>
    <w:link w:val="Style_51_ch"/>
    <w:uiPriority w:val="39"/>
    <w:pPr>
      <w:ind w:firstLine="0" w:left="800"/>
    </w:pPr>
    <w:rPr>
      <w:rFonts w:ascii="XO Thames" w:hAnsi="XO Thames"/>
      <w:sz w:val="28"/>
    </w:rPr>
  </w:style>
  <w:style w:styleId="Style_51_ch" w:type="character">
    <w:name w:val="toc 5"/>
    <w:link w:val="Style_51"/>
    <w:rPr>
      <w:rFonts w:ascii="XO Thames" w:hAnsi="XO Thames"/>
      <w:sz w:val="28"/>
    </w:rPr>
  </w:style>
  <w:style w:styleId="Style_52" w:type="paragraph">
    <w:name w:val="Default"/>
    <w:link w:val="Style_52_ch"/>
    <w:rPr>
      <w:sz w:val="24"/>
    </w:rPr>
  </w:style>
  <w:style w:styleId="Style_52_ch" w:type="character">
    <w:name w:val="Default"/>
    <w:link w:val="Style_52"/>
    <w:rPr>
      <w:sz w:val="24"/>
    </w:rPr>
  </w:style>
  <w:style w:styleId="Style_53" w:type="paragraph">
    <w:name w:val="Обычный1"/>
    <w:link w:val="Style_53_ch"/>
    <w:rPr>
      <w:sz w:val="24"/>
    </w:rPr>
  </w:style>
  <w:style w:styleId="Style_53_ch" w:type="character">
    <w:name w:val="Обычный1"/>
    <w:link w:val="Style_53"/>
    <w:rPr>
      <w:sz w:val="24"/>
    </w:rPr>
  </w:style>
  <w:style w:styleId="Style_7" w:type="paragraph">
    <w:name w:val="Subtitle"/>
    <w:basedOn w:val="Style_11"/>
    <w:next w:val="Style_11"/>
    <w:link w:val="Style_7_ch"/>
    <w:uiPriority w:val="11"/>
    <w:qFormat/>
    <w:pPr>
      <w:spacing w:after="60"/>
      <w:ind/>
      <w:jc w:val="center"/>
      <w:outlineLvl w:val="1"/>
    </w:pPr>
    <w:rPr>
      <w:rFonts w:ascii="Cambria" w:hAnsi="Cambria"/>
    </w:rPr>
  </w:style>
  <w:style w:styleId="Style_7_ch" w:type="character">
    <w:name w:val="Subtitle"/>
    <w:basedOn w:val="Style_11_ch"/>
    <w:link w:val="Style_7"/>
    <w:rPr>
      <w:rFonts w:ascii="Cambria" w:hAnsi="Cambria"/>
    </w:rPr>
  </w:style>
  <w:style w:styleId="Style_54" w:type="paragraph">
    <w:name w:val="Title"/>
    <w:basedOn w:val="Style_11"/>
    <w:next w:val="Style_11"/>
    <w:link w:val="Style_54_ch"/>
    <w:uiPriority w:val="10"/>
    <w:qFormat/>
    <w:pPr>
      <w:spacing w:after="60" w:before="240"/>
      <w:ind/>
      <w:jc w:val="center"/>
      <w:outlineLvl w:val="0"/>
    </w:pPr>
    <w:rPr>
      <w:rFonts w:ascii="Cambria" w:hAnsi="Cambria"/>
      <w:b w:val="1"/>
      <w:sz w:val="32"/>
    </w:rPr>
  </w:style>
  <w:style w:styleId="Style_54_ch" w:type="character">
    <w:name w:val="Title"/>
    <w:basedOn w:val="Style_11_ch"/>
    <w:link w:val="Style_54"/>
    <w:rPr>
      <w:rFonts w:ascii="Cambria" w:hAnsi="Cambria"/>
      <w:b w:val="1"/>
      <w:sz w:val="32"/>
    </w:rPr>
  </w:style>
  <w:style w:styleId="Style_55" w:type="paragraph">
    <w:name w:val="heading 4"/>
    <w:basedOn w:val="Style_11"/>
    <w:next w:val="Style_11"/>
    <w:link w:val="Style_55_ch"/>
    <w:uiPriority w:val="9"/>
    <w:qFormat/>
    <w:pPr>
      <w:keepNext w:val="1"/>
      <w:spacing w:after="60" w:before="240"/>
      <w:ind/>
      <w:outlineLvl w:val="3"/>
    </w:pPr>
    <w:rPr>
      <w:b w:val="1"/>
      <w:sz w:val="28"/>
    </w:rPr>
  </w:style>
  <w:style w:styleId="Style_55_ch" w:type="character">
    <w:name w:val="heading 4"/>
    <w:basedOn w:val="Style_11_ch"/>
    <w:link w:val="Style_55"/>
    <w:rPr>
      <w:b w:val="1"/>
      <w:sz w:val="28"/>
    </w:rPr>
  </w:style>
  <w:style w:styleId="Style_56" w:type="paragraph">
    <w:name w:val="heading 2"/>
    <w:basedOn w:val="Style_11"/>
    <w:next w:val="Style_11"/>
    <w:link w:val="Style_56_ch"/>
    <w:uiPriority w:val="9"/>
    <w:qFormat/>
    <w:pPr>
      <w:keepNext w:val="1"/>
      <w:spacing w:after="60" w:before="240"/>
      <w:ind/>
      <w:outlineLvl w:val="1"/>
    </w:pPr>
    <w:rPr>
      <w:rFonts w:ascii="Cambria" w:hAnsi="Cambria"/>
      <w:b w:val="1"/>
      <w:i w:val="1"/>
      <w:sz w:val="28"/>
    </w:rPr>
  </w:style>
  <w:style w:styleId="Style_56_ch" w:type="character">
    <w:name w:val="heading 2"/>
    <w:basedOn w:val="Style_11_ch"/>
    <w:link w:val="Style_56"/>
    <w:rPr>
      <w:rFonts w:ascii="Cambria" w:hAnsi="Cambria"/>
      <w:b w:val="1"/>
      <w:i w:val="1"/>
      <w:sz w:val="28"/>
    </w:rPr>
  </w:style>
  <w:style w:styleId="Style_57" w:type="paragraph">
    <w:name w:val="Строгий1"/>
    <w:basedOn w:val="Style_21"/>
    <w:link w:val="Style_57_ch"/>
    <w:rPr>
      <w:b w:val="1"/>
    </w:rPr>
  </w:style>
  <w:style w:styleId="Style_57_ch" w:type="character">
    <w:name w:val="Строгий1"/>
    <w:basedOn w:val="Style_21_ch"/>
    <w:link w:val="Style_57"/>
    <w:rPr>
      <w:b w:val="1"/>
    </w:rPr>
  </w:style>
  <w:style w:styleId="Style_21" w:type="paragraph">
    <w:name w:val="Основной шрифт абзаца1"/>
    <w:link w:val="Style_21_ch"/>
  </w:style>
  <w:style w:styleId="Style_21_ch" w:type="character">
    <w:name w:val="Основной шрифт абзаца1"/>
    <w:link w:val="Style_21"/>
  </w:style>
  <w:style w:styleId="Style_58" w:type="paragraph">
    <w:name w:val="heading 6"/>
    <w:basedOn w:val="Style_11"/>
    <w:next w:val="Style_11"/>
    <w:link w:val="Style_58_ch"/>
    <w:uiPriority w:val="9"/>
    <w:qFormat/>
    <w:pPr>
      <w:spacing w:after="60" w:before="240"/>
      <w:ind/>
      <w:outlineLvl w:val="5"/>
    </w:pPr>
    <w:rPr>
      <w:b w:val="1"/>
      <w:sz w:val="22"/>
    </w:rPr>
  </w:style>
  <w:style w:styleId="Style_58_ch" w:type="character">
    <w:name w:val="heading 6"/>
    <w:basedOn w:val="Style_11_ch"/>
    <w:link w:val="Style_58"/>
    <w:rPr>
      <w:b w:val="1"/>
      <w:sz w:val="22"/>
    </w:rPr>
  </w:style>
  <w:style w:styleId="Style_59" w:type="paragraph">
    <w:name w:val="List Paragraph"/>
    <w:basedOn w:val="Style_11"/>
    <w:link w:val="Style_59_ch"/>
    <w:pPr>
      <w:ind w:firstLine="0" w:left="720"/>
      <w:contextualSpacing w:val="1"/>
    </w:pPr>
  </w:style>
  <w:style w:styleId="Style_59_ch" w:type="character">
    <w:name w:val="List Paragraph"/>
    <w:basedOn w:val="Style_11_ch"/>
    <w:link w:val="Style_59"/>
  </w:style>
  <w:style w:styleId="Style_10" w:type="table">
    <w:name w:val="Table Grid"/>
    <w:basedOn w:val="Style_2"/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webSettings.xml" Type="http://schemas.openxmlformats.org/officeDocument/2006/relationships/webSettings"/>
  <Relationship Id="rId1" Target="footer1.xml" Type="http://schemas.openxmlformats.org/officeDocument/2006/relationships/footer"/>
  <Relationship Id="rId2" Target="fontTable.xml" Type="http://schemas.openxmlformats.org/officeDocument/2006/relationships/fontTable"/>
  <Relationship Id="rId3" Target="settings.xml" Type="http://schemas.openxmlformats.org/officeDocument/2006/relationships/settings"/>
  <Relationship Id="rId8" Target="numbering.xml" Type="http://schemas.openxmlformats.org/officeDocument/2006/relationships/numbering"/>
  <Relationship Id="rId4" Target="styles.xml" Type="http://schemas.openxmlformats.org/officeDocument/2006/relationships/styles"/>
  <Relationship Id="rId7" Target="theme/theme1.xml" Type="http://schemas.openxmlformats.org/officeDocument/2006/relationships/theme"/>
  <Relationship Id="rId5" Target="stylesWithEffects.xml" Type="http://schemas.microsoft.com/office/2007/relationships/stylesWithEffect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MyOffice-CoreFramework-Windows/31-1191.804.9045.819.1@01270b6a23d25f32067dc36f8846da406ea65219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2024-08-13T13:02:06Z</dcterms:modified>
</cp:coreProperties>
</file>