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70" w:type="dxa"/>
        <w:tblInd w:w="-9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770"/>
      </w:tblGrid>
      <w:tr w:rsidR="005B1B9B" w:rsidRPr="005B1B9B" w:rsidTr="00814E1E">
        <w:trPr>
          <w:trHeight w:val="14511"/>
        </w:trPr>
        <w:tc>
          <w:tcPr>
            <w:tcW w:w="10770" w:type="dxa"/>
          </w:tcPr>
          <w:p w:rsidR="005B1B9B" w:rsidRPr="005B1B9B" w:rsidRDefault="005B1B9B" w:rsidP="005B1B9B">
            <w:pPr>
              <w:keepNext/>
              <w:spacing w:before="240" w:after="6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АКЦИОНЕРНОЕ  ОБЩЕСТВО</w:t>
            </w:r>
          </w:p>
          <w:p w:rsidR="005B1B9B" w:rsidRPr="005B1B9B" w:rsidRDefault="005B1B9B" w:rsidP="005B1B9B">
            <w:pPr>
              <w:keepNext/>
              <w:spacing w:before="240" w:after="60" w:line="240" w:lineRule="auto"/>
              <w:ind w:left="936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                                                          </w:t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ru-RU"/>
              </w:rPr>
              <w:t>«ВЫСОКОЕ»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ab/>
            </w:r>
          </w:p>
          <w:p w:rsidR="005B1B9B" w:rsidRPr="005B1B9B" w:rsidRDefault="005B1B9B" w:rsidP="005B1B9B">
            <w:pPr>
              <w:spacing w:after="0" w:line="240" w:lineRule="auto"/>
              <w:ind w:left="936" w:firstLine="4536"/>
              <w:rPr>
                <w:rFonts w:ascii="Times New Roman" w:eastAsia="Times New Roman" w:hAnsi="Times New Roman" w:cs="Times New Roman"/>
                <w:b/>
                <w:bCs/>
                <w:spacing w:val="40"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 w:firstLine="453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УТВЕРЖДЕН:</w:t>
            </w:r>
          </w:p>
          <w:p w:rsidR="005B1B9B" w:rsidRPr="005B1B9B" w:rsidRDefault="005B1B9B" w:rsidP="005B1B9B">
            <w:pPr>
              <w:spacing w:after="0" w:line="240" w:lineRule="auto"/>
              <w:ind w:left="936" w:firstLine="453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Общем собранием акционеров</w:t>
            </w:r>
          </w:p>
          <w:p w:rsidR="005B1B9B" w:rsidRPr="005B1B9B" w:rsidRDefault="005B1B9B" w:rsidP="005B1B9B">
            <w:pPr>
              <w:spacing w:after="0" w:line="240" w:lineRule="auto"/>
              <w:ind w:left="936" w:firstLine="453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АО  «</w:t>
            </w:r>
            <w:r w:rsidRPr="005B1B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Высокое</w:t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»  15 мая  2023  г</w:t>
            </w:r>
            <w:r w:rsidRPr="005B1B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5B1B9B" w:rsidRPr="005B1B9B" w:rsidRDefault="005B1B9B" w:rsidP="005B1B9B">
            <w:pPr>
              <w:spacing w:after="0" w:line="240" w:lineRule="auto"/>
              <w:ind w:left="936" w:firstLine="453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Протокол </w:t>
            </w:r>
            <w:r w:rsidRPr="005B1B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№ б/н </w:t>
            </w: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от 15 мая 2023 г</w:t>
            </w:r>
            <w:r w:rsidRPr="005B1B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.</w:t>
            </w:r>
          </w:p>
          <w:p w:rsidR="005B1B9B" w:rsidRPr="005B1B9B" w:rsidRDefault="005B1B9B" w:rsidP="005B1B9B">
            <w:pPr>
              <w:spacing w:after="0" w:line="240" w:lineRule="auto"/>
              <w:ind w:left="936" w:firstLine="538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 w:firstLine="453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                                                                         Председательствующий на общем собрании: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sz w:val="24"/>
                <w:lang w:eastAsia="ru-RU"/>
              </w:rPr>
              <w:t xml:space="preserve">                                                            Князев Андрей Владимирович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60"/>
                <w:szCs w:val="6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60"/>
                <w:szCs w:val="60"/>
                <w:lang w:eastAsia="ru-RU"/>
              </w:rPr>
              <w:t>ГОДОВОЙ  ОТЧЕТ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52"/>
                <w:szCs w:val="52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bCs/>
                <w:sz w:val="52"/>
                <w:szCs w:val="52"/>
                <w:lang w:eastAsia="ru-RU"/>
              </w:rPr>
              <w:t>за 2022  год</w:t>
            </w:r>
          </w:p>
          <w:p w:rsidR="005B1B9B" w:rsidRPr="005B1B9B" w:rsidRDefault="005B1B9B" w:rsidP="005B1B9B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spacing w:after="0" w:line="48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spacing w:after="0" w:line="48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spacing w:after="0" w:line="48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spacing w:after="0" w:line="480" w:lineRule="auto"/>
              <w:ind w:left="936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tbl>
            <w:tblPr>
              <w:tblW w:w="8930" w:type="dxa"/>
              <w:tblInd w:w="14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961"/>
              <w:gridCol w:w="3969"/>
            </w:tblGrid>
            <w:tr w:rsidR="005B1B9B" w:rsidRPr="005B1B9B" w:rsidTr="00814E1E">
              <w:trPr>
                <w:trHeight w:val="470"/>
              </w:trPr>
              <w:tc>
                <w:tcPr>
                  <w:tcW w:w="49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5B1B9B" w:rsidRPr="005B1B9B" w:rsidRDefault="005B1B9B" w:rsidP="005B1B9B">
                  <w:pPr>
                    <w:spacing w:after="200" w:line="20" w:lineRule="atLeas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5B1B9B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Директор </w:t>
                  </w:r>
                </w:p>
              </w:tc>
              <w:tc>
                <w:tcPr>
                  <w:tcW w:w="39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5B1B9B" w:rsidRPr="005B1B9B" w:rsidRDefault="005B1B9B" w:rsidP="005B1B9B">
                  <w:pPr>
                    <w:spacing w:after="200" w:line="20" w:lineRule="atLeas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</w:pPr>
                  <w:r w:rsidRPr="005B1B9B">
                    <w:rPr>
                      <w:rFonts w:ascii="Times New Roman" w:eastAsia="Times New Roman" w:hAnsi="Times New Roman" w:cs="Times New Roman"/>
                      <w:b/>
                      <w:sz w:val="24"/>
                      <w:lang w:eastAsia="ru-RU"/>
                    </w:rPr>
                    <w:t>Князев Андрей Владимирович</w:t>
                  </w:r>
                </w:p>
              </w:tc>
            </w:tr>
          </w:tbl>
          <w:p w:rsidR="005B1B9B" w:rsidRPr="005B1B9B" w:rsidRDefault="005B1B9B" w:rsidP="005B1B9B">
            <w:pPr>
              <w:spacing w:after="0" w:line="480" w:lineRule="auto"/>
              <w:jc w:val="right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ru-RU"/>
              </w:rPr>
            </w:pPr>
          </w:p>
          <w:p w:rsidR="005B1B9B" w:rsidRPr="005B1B9B" w:rsidRDefault="005B1B9B" w:rsidP="005B1B9B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  <w:p w:rsidR="005B1B9B" w:rsidRPr="005B1B9B" w:rsidRDefault="005B1B9B" w:rsidP="005B1B9B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52"/>
                <w:szCs w:val="52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2431" w:hanging="36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200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spacing w:after="0" w:line="240" w:lineRule="auto"/>
              <w:ind w:left="936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B1B9B" w:rsidRPr="005B1B9B" w:rsidRDefault="005B1B9B" w:rsidP="005B1B9B">
            <w:pPr>
              <w:keepNext/>
              <w:spacing w:before="240" w:after="6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</w:tbl>
    <w:p w:rsidR="005B1B9B" w:rsidRPr="005B1B9B" w:rsidRDefault="005B1B9B" w:rsidP="005B1B9B">
      <w:pPr>
        <w:spacing w:after="0" w:line="240" w:lineRule="auto"/>
        <w:ind w:left="106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B1B9B" w:rsidRPr="005B1B9B" w:rsidRDefault="005B1B9B" w:rsidP="005B1B9B">
      <w:pPr>
        <w:spacing w:after="0" w:line="240" w:lineRule="auto"/>
        <w:ind w:left="106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B1B9B" w:rsidRPr="005B1B9B" w:rsidRDefault="005B1B9B" w:rsidP="005B1B9B">
      <w:pPr>
        <w:spacing w:after="0" w:line="240" w:lineRule="auto"/>
        <w:ind w:left="106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данные об акционерном обществе.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сведения о положении акционерного общества в отрасли;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приоритетные направления деятельности акционерного общества;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отчет совета директоров общества о результатах развития акционерного общества по приоритетным направлениям его деятельности;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информацию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перспективы развития акционерного общества;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отчет о выплате объявленных (начисленных) дивидендов по акциям акционерного общества;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описание основных факторов риска, связанных с деятельностью акционерного общества;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5" w:anchor="dst553" w:history="1">
        <w:r w:rsidRPr="005B1B9B">
          <w:rPr>
            <w:rFonts w:ascii="Times New Roman" w:eastAsia="Times New Roman" w:hAnsi="Times New Roman" w:cs="Times New Roman"/>
            <w:color w:val="666699"/>
            <w:sz w:val="28"/>
            <w:szCs w:val="28"/>
            <w:u w:val="single"/>
            <w:lang w:eastAsia="ru-RU"/>
          </w:rPr>
          <w:t>законом</w:t>
        </w:r>
      </w:hyperlink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"Об акционерных обществах" крупными сделками.</w:t>
      </w:r>
    </w:p>
    <w:p w:rsidR="005B1B9B" w:rsidRPr="005B1B9B" w:rsidRDefault="005B1B9B" w:rsidP="005B1B9B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6" w:anchor="dst588" w:history="1">
        <w:r w:rsidRPr="005B1B9B">
          <w:rPr>
            <w:rFonts w:ascii="Times New Roman" w:eastAsia="Times New Roman" w:hAnsi="Times New Roman" w:cs="Times New Roman"/>
            <w:color w:val="666699"/>
            <w:sz w:val="28"/>
            <w:szCs w:val="28"/>
            <w:u w:val="single"/>
            <w:lang w:eastAsia="ru-RU"/>
          </w:rPr>
          <w:t>законом</w:t>
        </w:r>
      </w:hyperlink>
      <w:r w:rsidRPr="005B1B9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"Об акционерных обществах" сделками, в совершении которых имелась заинтересованность.</w:t>
      </w: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 Совета директоров акционерного общества. Сведения о сделках по приобретению акций акционерного общества, совершенных членами совета директоров в течение отчетного года.</w:t>
      </w: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Сведения о лице, занимающем должность единоличного исполнительного органа общества.</w:t>
      </w: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Критерии определения и размер вознаграждения лица, занимающего должность единоличного исполнительного органа общества и членов совета директоров общества.</w:t>
      </w: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Сведения о соблюдении акционерным обществом Кодекса корпоративного поведения.</w:t>
      </w: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Calibri" w:hAnsi="Times New Roman" w:cs="Times New Roman"/>
          <w:sz w:val="28"/>
          <w:szCs w:val="28"/>
        </w:rPr>
        <w:t>Сведения об утверждении годового отчета общим собранием акционеров</w:t>
      </w: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B1B9B" w:rsidRPr="005B1B9B" w:rsidRDefault="005B1B9B" w:rsidP="005B1B9B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sz w:val="28"/>
          <w:szCs w:val="28"/>
          <w:lang w:eastAsia="ru-RU"/>
        </w:rPr>
        <w:t>Иная информация.</w:t>
      </w: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sz w:val="32"/>
          <w:szCs w:val="20"/>
          <w:lang w:eastAsia="ru-RU"/>
        </w:rPr>
      </w:pP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sz w:val="32"/>
          <w:szCs w:val="20"/>
          <w:lang w:eastAsia="ru-RU"/>
        </w:rPr>
      </w:pPr>
    </w:p>
    <w:p w:rsidR="005B1B9B" w:rsidRPr="005B1B9B" w:rsidRDefault="005B1B9B" w:rsidP="005B1B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32"/>
          <w:szCs w:val="20"/>
          <w:lang w:eastAsia="ru-RU"/>
        </w:rPr>
        <w:br w:type="page"/>
      </w:r>
      <w:r w:rsidRPr="005B1B9B">
        <w:rPr>
          <w:rFonts w:ascii="Times New Roman" w:eastAsia="Times New Roman" w:hAnsi="Times New Roman" w:cs="Times New Roman"/>
          <w:lang w:eastAsia="ru-RU"/>
        </w:rPr>
        <w:lastRenderedPageBreak/>
        <w:t>1.</w:t>
      </w:r>
      <w:r w:rsidRPr="005B1B9B">
        <w:rPr>
          <w:rFonts w:ascii="Times New Roman" w:eastAsia="Times New Roman" w:hAnsi="Times New Roman" w:cs="Times New Roman"/>
          <w:lang w:eastAsia="ru-RU"/>
        </w:rPr>
        <w:tab/>
      </w:r>
      <w:r w:rsidRPr="005B1B9B">
        <w:rPr>
          <w:rFonts w:ascii="Times New Roman" w:eastAsia="Times New Roman" w:hAnsi="Times New Roman" w:cs="Times New Roman"/>
          <w:b/>
          <w:sz w:val="24"/>
          <w:lang w:eastAsia="ru-RU"/>
        </w:rPr>
        <w:t>Основные данные об акционерном обществе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  <w:r w:rsidRPr="005B1B9B">
        <w:rPr>
          <w:rFonts w:ascii="Times New Roman" w:eastAsia="Times New Roman" w:hAnsi="Times New Roman" w:cs="Times New Roman"/>
          <w:b/>
          <w:lang w:eastAsia="ru-RU"/>
        </w:rPr>
        <w:t>Полное фирменное название эмитента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Акционерное Общество «Высокое»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  <w:r w:rsidRPr="005B1B9B">
        <w:rPr>
          <w:rFonts w:ascii="Times New Roman" w:eastAsia="Times New Roman" w:hAnsi="Times New Roman" w:cs="Times New Roman"/>
          <w:b/>
          <w:lang w:eastAsia="ru-RU"/>
        </w:rPr>
        <w:t>Сокращённое наименование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АО “Высокое”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  <w:r w:rsidRPr="005B1B9B">
        <w:rPr>
          <w:rFonts w:ascii="Times New Roman" w:eastAsia="Times New Roman" w:hAnsi="Times New Roman" w:cs="Times New Roman"/>
          <w:b/>
          <w:lang w:eastAsia="ru-RU"/>
        </w:rPr>
        <w:t>Сведения о государственной регистрации эмитента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bCs/>
          <w:i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i/>
          <w:lang w:eastAsia="ru-RU"/>
        </w:rPr>
        <w:t>ОГРН 1027000572389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i/>
          <w:lang w:eastAsia="ru-RU"/>
        </w:rPr>
        <w:t>Инспекция МИФНС 1 по Томской обл.</w:t>
      </w: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p w:rsidR="005B1B9B" w:rsidRPr="005B1B9B" w:rsidRDefault="005B1B9B" w:rsidP="005B1B9B">
      <w:pPr>
        <w:tabs>
          <w:tab w:val="num" w:pos="360"/>
        </w:tabs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2.  </w:t>
      </w:r>
      <w:r w:rsidRPr="005B1B9B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Сведения о положении акционерного общества в отрасли</w:t>
      </w: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Общество учреждено решением общего собрания Закрытого Акционерного Общества «Высокое» зарегистрированного Постановлением Главы Администрации Зырянского района №446 от "16" ноября 2001 года.</w:t>
      </w: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16 ноября 2001 года ОАО «Высокое» поставлено на учет в налоговом органе в качестве налогоплательщика с кодом причины постановки на учет (КПП) 700501001.</w:t>
      </w: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11 июня 2019года внесена запись о государственной регистрации изменений, внесённых в учредительные документы юридического лица, связанных с внесением изменений в сведения о юридическом лице. ОАО «Высокое» перерегистрирован в АО «Высокое»</w:t>
      </w:r>
    </w:p>
    <w:p w:rsidR="005B1B9B" w:rsidRPr="005B1B9B" w:rsidRDefault="005B1B9B" w:rsidP="005B1B9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АО “Высокое” по роду своей деятельности относится к сельскохозяйственной отрасли, выполняя при этом, главным образом работы по выращиванию сельскохозяйственной продукции. </w:t>
      </w:r>
    </w:p>
    <w:p w:rsidR="005B1B9B" w:rsidRPr="005B1B9B" w:rsidRDefault="005B1B9B" w:rsidP="005B1B9B">
      <w:pPr>
        <w:tabs>
          <w:tab w:val="left" w:pos="397"/>
          <w:tab w:val="left" w:pos="737"/>
          <w:tab w:val="left" w:pos="6096"/>
        </w:tabs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ab/>
        <w:t xml:space="preserve">Сфера деятельности Общества распространяется на территории с. Высокое, с.Шиняево, с. Тавлы Зырянского района Томской области.  </w:t>
      </w:r>
    </w:p>
    <w:p w:rsidR="005B1B9B" w:rsidRPr="005B1B9B" w:rsidRDefault="005B1B9B" w:rsidP="005B1B9B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На     рынке    Компания работает    с      крупными     поставщиками, среди  которых  АО «ТомскАгроИнвест», ООО «Томскоблсельхозтехника», АО «СИБАГРО», ООО «Оскар»</w:t>
      </w:r>
    </w:p>
    <w:p w:rsidR="005B1B9B" w:rsidRPr="005B1B9B" w:rsidRDefault="005B1B9B" w:rsidP="005B1B9B">
      <w:pPr>
        <w:keepNext/>
        <w:spacing w:after="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/>
          <w:bCs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lang w:eastAsia="ru-RU"/>
        </w:rPr>
        <w:t>Структура акционерного капитала общества</w:t>
      </w: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5B1B9B" w:rsidRPr="005B1B9B" w:rsidRDefault="005B1B9B" w:rsidP="005B1B9B">
      <w:pPr>
        <w:widowControl w:val="0"/>
        <w:tabs>
          <w:tab w:val="left" w:pos="720"/>
        </w:tabs>
        <w:spacing w:after="0" w:line="240" w:lineRule="auto"/>
        <w:ind w:right="-99"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lang w:eastAsia="ru-RU"/>
        </w:rPr>
        <w:tab/>
      </w:r>
      <w:r w:rsidRPr="005B1B9B">
        <w:rPr>
          <w:rFonts w:ascii="Times New Roman" w:eastAsia="Times New Roman" w:hAnsi="Times New Roman" w:cs="Times New Roman"/>
          <w:lang w:eastAsia="ru-RU"/>
        </w:rPr>
        <w:t>Уставный капитал общества составляет 20 263 040 рублей. Он составляется из номинальной стоимости акций общества, приобретенных акционерами, в том числе из:</w:t>
      </w:r>
    </w:p>
    <w:p w:rsidR="005B1B9B" w:rsidRPr="005B1B9B" w:rsidRDefault="005B1B9B" w:rsidP="005B1B9B">
      <w:pPr>
        <w:widowControl w:val="0"/>
        <w:numPr>
          <w:ilvl w:val="0"/>
          <w:numId w:val="4"/>
        </w:numPr>
        <w:tabs>
          <w:tab w:val="num" w:pos="561"/>
        </w:tabs>
        <w:spacing w:after="0" w:line="240" w:lineRule="auto"/>
        <w:ind w:right="-99" w:firstLine="561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lang w:eastAsia="ru-RU"/>
        </w:rPr>
        <w:t>20 263 040</w:t>
      </w:r>
      <w:r w:rsidRPr="005B1B9B">
        <w:rPr>
          <w:rFonts w:ascii="Times New Roman" w:eastAsia="Times New Roman" w:hAnsi="Times New Roman" w:cs="Times New Roman"/>
          <w:lang w:eastAsia="ru-RU"/>
        </w:rPr>
        <w:t>штук обыкновенных именных акций номинальной стоимостью 1 рубль;</w:t>
      </w:r>
    </w:p>
    <w:p w:rsidR="005B1B9B" w:rsidRPr="005B1B9B" w:rsidRDefault="005B1B9B" w:rsidP="005B1B9B">
      <w:pPr>
        <w:widowControl w:val="0"/>
        <w:numPr>
          <w:ilvl w:val="0"/>
          <w:numId w:val="4"/>
        </w:numPr>
        <w:tabs>
          <w:tab w:val="num" w:pos="561"/>
        </w:tabs>
        <w:spacing w:after="0" w:line="240" w:lineRule="auto"/>
        <w:ind w:right="-99" w:firstLine="561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Структура акционерного капитала на 31 декабря 2021 года выглядит следующим образом.</w:t>
      </w: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5B1B9B">
        <w:rPr>
          <w:rFonts w:ascii="Times New Roman" w:eastAsia="Times New Roman" w:hAnsi="Times New Roman" w:cs="Times New Roman"/>
        </w:rPr>
        <w:t>Обыкновенные акции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5"/>
        <w:gridCol w:w="3828"/>
        <w:gridCol w:w="2551"/>
        <w:gridCol w:w="2977"/>
      </w:tblGrid>
      <w:tr w:rsidR="005B1B9B" w:rsidRPr="005B1B9B" w:rsidTr="00814E1E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5B1B9B">
              <w:rPr>
                <w:rFonts w:ascii="Times New Roman" w:eastAsia="Times New Roman" w:hAnsi="Times New Roman" w:cs="Times New Roman"/>
                <w:b/>
              </w:rPr>
              <w:t>№</w:t>
            </w: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5B1B9B">
              <w:rPr>
                <w:rFonts w:ascii="Times New Roman" w:eastAsia="Times New Roman" w:hAnsi="Times New Roman" w:cs="Times New Roman"/>
                <w:b/>
              </w:rPr>
              <w:t>п/п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5B1B9B">
              <w:rPr>
                <w:rFonts w:ascii="Times New Roman" w:eastAsia="Times New Roman" w:hAnsi="Times New Roman" w:cs="Times New Roman"/>
                <w:b/>
              </w:rPr>
              <w:t>Категория владельца</w:t>
            </w: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5B1B9B">
              <w:rPr>
                <w:rFonts w:ascii="Times New Roman" w:eastAsia="Times New Roman" w:hAnsi="Times New Roman" w:cs="Times New Roman"/>
                <w:b/>
              </w:rPr>
              <w:t xml:space="preserve"> ценных бумаг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5B1B9B">
              <w:rPr>
                <w:rFonts w:ascii="Times New Roman" w:eastAsia="Times New Roman" w:hAnsi="Times New Roman" w:cs="Times New Roman"/>
                <w:b/>
              </w:rPr>
              <w:t>Штук акций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  <w:b/>
              </w:rPr>
              <w:t>% от уставного капитала</w:t>
            </w:r>
          </w:p>
        </w:tc>
      </w:tr>
      <w:tr w:rsidR="005B1B9B" w:rsidRPr="005B1B9B" w:rsidTr="00814E1E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Иностранные акционеры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B1B9B" w:rsidRPr="005B1B9B" w:rsidTr="00814E1E">
        <w:trPr>
          <w:trHeight w:val="69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 xml:space="preserve">Российские акционеры, </w:t>
            </w: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в том числе сотрудники компании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20 263 040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100</w:t>
            </w:r>
          </w:p>
        </w:tc>
      </w:tr>
      <w:tr w:rsidR="005B1B9B" w:rsidRPr="005B1B9B" w:rsidTr="00814E1E">
        <w:trPr>
          <w:trHeight w:val="161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 xml:space="preserve">Акции, находящиеся в собственности общества, </w:t>
            </w: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5B1B9B" w:rsidRPr="005B1B9B" w:rsidRDefault="005B1B9B" w:rsidP="005B1B9B">
            <w:pPr>
              <w:numPr>
                <w:ilvl w:val="0"/>
                <w:numId w:val="5"/>
              </w:numPr>
              <w:tabs>
                <w:tab w:val="num" w:pos="459"/>
              </w:tabs>
              <w:spacing w:after="0" w:line="240" w:lineRule="auto"/>
              <w:ind w:firstLine="425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акции, выкупленные по требованию акционеров</w:t>
            </w:r>
          </w:p>
          <w:p w:rsidR="005B1B9B" w:rsidRPr="005B1B9B" w:rsidRDefault="005B1B9B" w:rsidP="005B1B9B">
            <w:pPr>
              <w:numPr>
                <w:ilvl w:val="0"/>
                <w:numId w:val="5"/>
              </w:numPr>
              <w:tabs>
                <w:tab w:val="num" w:pos="459"/>
              </w:tabs>
              <w:spacing w:after="0" w:line="240" w:lineRule="auto"/>
              <w:ind w:firstLine="425"/>
              <w:jc w:val="both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акции, приобретенные по инициативе общества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0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B1B9B">
              <w:rPr>
                <w:rFonts w:ascii="Times New Roman" w:eastAsia="Times New Roman" w:hAnsi="Times New Roman" w:cs="Times New Roman"/>
              </w:rPr>
              <w:t>0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Акции общества на фондовых биржах не котируются.</w:t>
      </w:r>
    </w:p>
    <w:p w:rsidR="005B1B9B" w:rsidRPr="005B1B9B" w:rsidRDefault="005B1B9B" w:rsidP="005B1B9B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5B1B9B" w:rsidRPr="005B1B9B" w:rsidRDefault="005B1B9B" w:rsidP="005B1B9B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3. </w:t>
      </w:r>
      <w:r w:rsidRPr="005B1B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Приоритетные направления деятельности акционерного общества</w:t>
      </w: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5B1B9B">
        <w:rPr>
          <w:rFonts w:ascii="Times New Roman" w:eastAsia="Times New Roman" w:hAnsi="Times New Roman" w:cs="Times New Roman"/>
          <w:iCs/>
          <w:color w:val="000000"/>
          <w:lang w:eastAsia="ru-RU"/>
        </w:rPr>
        <w:t>Приоритетными направлениями деятельности общества являются следующие направления, связанные с основными видами деятельности:</w:t>
      </w:r>
    </w:p>
    <w:p w:rsidR="005B1B9B" w:rsidRPr="005B1B9B" w:rsidRDefault="005B1B9B" w:rsidP="005B1B9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       -   выращивание и реализация сельскохозяйственной продукции</w:t>
      </w:r>
    </w:p>
    <w:p w:rsidR="005B1B9B" w:rsidRPr="005B1B9B" w:rsidRDefault="005B1B9B" w:rsidP="005B1B9B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- осуществление любой иной деятельности в соответствии с решениями уполномоченных органов Общества.</w:t>
      </w: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4. </w:t>
      </w:r>
      <w:r w:rsidRPr="005B1B9B">
        <w:rPr>
          <w:rFonts w:ascii="Times New Roman" w:eastAsia="Times New Roman" w:hAnsi="Times New Roman" w:cs="Times New Roman"/>
          <w:b/>
          <w:lang w:eastAsia="ru-RU"/>
        </w:rPr>
        <w:t>Отчёт Совета директоров общества о результатах развития акционерного общества по приоритетным направлениям его деятельности</w:t>
      </w: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tabs>
          <w:tab w:val="left" w:pos="397"/>
          <w:tab w:val="left" w:pos="73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По итогам 2022 года деятельность АО «Высокое» по приоритетным направлениям оценивается Советом директоров положительно. В сравнении с предыдущим годом чистая прибыль предприятия выросла.</w:t>
      </w:r>
    </w:p>
    <w:p w:rsidR="005B1B9B" w:rsidRPr="005B1B9B" w:rsidRDefault="005B1B9B" w:rsidP="005B1B9B">
      <w:pPr>
        <w:numPr>
          <w:ilvl w:val="0"/>
          <w:numId w:val="1"/>
        </w:numPr>
        <w:tabs>
          <w:tab w:val="left" w:pos="397"/>
          <w:tab w:val="left" w:pos="737"/>
        </w:tabs>
        <w:spacing w:after="0" w:line="194" w:lineRule="atLeast"/>
        <w:ind w:left="284" w:firstLine="340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B1B9B">
        <w:rPr>
          <w:rFonts w:ascii="Times New Roman" w:eastAsia="Times New Roman" w:hAnsi="Times New Roman" w:cs="Times New Roman"/>
          <w:b/>
          <w:lang w:eastAsia="ru-RU"/>
        </w:rPr>
        <w:t>4.1. Объемы реализации по видам деятельности:</w:t>
      </w:r>
    </w:p>
    <w:p w:rsidR="005B1B9B" w:rsidRPr="005B1B9B" w:rsidRDefault="005B1B9B" w:rsidP="005B1B9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5000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76"/>
        <w:gridCol w:w="1723"/>
        <w:gridCol w:w="1725"/>
        <w:gridCol w:w="1721"/>
      </w:tblGrid>
      <w:tr w:rsidR="005B1B9B" w:rsidRPr="005B1B9B" w:rsidTr="00814E1E">
        <w:trPr>
          <w:trHeight w:val="634"/>
        </w:trPr>
        <w:tc>
          <w:tcPr>
            <w:tcW w:w="2234" w:type="pct"/>
            <w:vMerge w:val="restar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left="284" w:firstLine="34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left="284" w:firstLine="34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left="284" w:firstLine="34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Вид деятельности</w:t>
            </w:r>
          </w:p>
        </w:tc>
        <w:tc>
          <w:tcPr>
            <w:tcW w:w="1845" w:type="pct"/>
            <w:gridSpan w:val="2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Объем реализации в тыс. руб. </w:t>
            </w:r>
          </w:p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без НДС</w:t>
            </w:r>
          </w:p>
        </w:tc>
        <w:tc>
          <w:tcPr>
            <w:tcW w:w="921" w:type="pct"/>
            <w:vMerge w:val="restar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Объемы</w:t>
            </w:r>
          </w:p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2022 года к 2021 году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в %%</w:t>
            </w:r>
          </w:p>
        </w:tc>
      </w:tr>
      <w:tr w:rsidR="005B1B9B" w:rsidRPr="005B1B9B" w:rsidTr="00814E1E">
        <w:trPr>
          <w:trHeight w:val="266"/>
        </w:trPr>
        <w:tc>
          <w:tcPr>
            <w:tcW w:w="2234" w:type="pct"/>
            <w:vMerge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left="284" w:firstLine="34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922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20</w:t>
            </w: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21 </w:t>
            </w:r>
            <w:r w:rsidRPr="005B1B9B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г</w:t>
            </w:r>
          </w:p>
        </w:tc>
        <w:tc>
          <w:tcPr>
            <w:tcW w:w="923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20</w:t>
            </w: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22 </w:t>
            </w:r>
            <w:r w:rsidRPr="005B1B9B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г</w:t>
            </w:r>
          </w:p>
        </w:tc>
        <w:tc>
          <w:tcPr>
            <w:tcW w:w="921" w:type="pct"/>
            <w:vMerge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5B1B9B" w:rsidRPr="005B1B9B" w:rsidTr="00814E1E">
        <w:tc>
          <w:tcPr>
            <w:tcW w:w="2234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firstLine="34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Зерно</w:t>
            </w:r>
          </w:p>
        </w:tc>
        <w:tc>
          <w:tcPr>
            <w:tcW w:w="922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47 558</w:t>
            </w:r>
          </w:p>
        </w:tc>
        <w:tc>
          <w:tcPr>
            <w:tcW w:w="923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42 906</w:t>
            </w:r>
          </w:p>
        </w:tc>
        <w:tc>
          <w:tcPr>
            <w:tcW w:w="921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-9,8</w:t>
            </w:r>
          </w:p>
        </w:tc>
      </w:tr>
      <w:tr w:rsidR="005B1B9B" w:rsidRPr="005B1B9B" w:rsidTr="00814E1E">
        <w:tc>
          <w:tcPr>
            <w:tcW w:w="2234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firstLine="34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Прочая реализация</w:t>
            </w:r>
          </w:p>
        </w:tc>
        <w:tc>
          <w:tcPr>
            <w:tcW w:w="922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 xml:space="preserve">           168</w:t>
            </w:r>
          </w:p>
        </w:tc>
        <w:tc>
          <w:tcPr>
            <w:tcW w:w="923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1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c>
          <w:tcPr>
            <w:tcW w:w="2234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ind w:firstLine="340"/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Итого</w:t>
            </w:r>
          </w:p>
        </w:tc>
        <w:tc>
          <w:tcPr>
            <w:tcW w:w="922" w:type="pct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47 726</w:t>
            </w:r>
          </w:p>
        </w:tc>
        <w:tc>
          <w:tcPr>
            <w:tcW w:w="923" w:type="pct"/>
          </w:tcPr>
          <w:p w:rsidR="005B1B9B" w:rsidRPr="005B1B9B" w:rsidRDefault="005B1B9B" w:rsidP="005B1B9B">
            <w:pPr>
              <w:tabs>
                <w:tab w:val="left" w:pos="397"/>
                <w:tab w:val="left" w:pos="737"/>
              </w:tabs>
              <w:spacing w:after="0" w:line="194" w:lineRule="atLeast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42 906</w:t>
            </w:r>
          </w:p>
        </w:tc>
        <w:tc>
          <w:tcPr>
            <w:tcW w:w="921" w:type="pct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        -10,1</w:t>
            </w:r>
          </w:p>
        </w:tc>
      </w:tr>
    </w:tbl>
    <w:p w:rsidR="005B1B9B" w:rsidRPr="005B1B9B" w:rsidRDefault="005B1B9B" w:rsidP="005B1B9B">
      <w:pPr>
        <w:numPr>
          <w:ilvl w:val="0"/>
          <w:numId w:val="1"/>
        </w:numPr>
        <w:tabs>
          <w:tab w:val="left" w:pos="397"/>
          <w:tab w:val="left" w:pos="737"/>
        </w:tabs>
        <w:spacing w:after="0" w:line="194" w:lineRule="atLeast"/>
        <w:jc w:val="both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B1B9B">
        <w:rPr>
          <w:rFonts w:ascii="Times New Roman" w:eastAsia="Times New Roman" w:hAnsi="Times New Roman" w:cs="Times New Roman"/>
          <w:b/>
          <w:lang w:eastAsia="ru-RU"/>
        </w:rPr>
        <w:t>4.2. Основные показатели финансовой деятельности общества за отчетный 2022 год:</w:t>
      </w:r>
    </w:p>
    <w:p w:rsidR="005B1B9B" w:rsidRPr="005B1B9B" w:rsidRDefault="005B1B9B" w:rsidP="005B1B9B">
      <w:pPr>
        <w:tabs>
          <w:tab w:val="left" w:pos="397"/>
          <w:tab w:val="left" w:pos="737"/>
        </w:tabs>
        <w:spacing w:after="0" w:line="194" w:lineRule="atLeast"/>
        <w:ind w:firstLine="340"/>
        <w:jc w:val="both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32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1134"/>
        <w:gridCol w:w="1843"/>
        <w:gridCol w:w="1950"/>
      </w:tblGrid>
      <w:tr w:rsidR="005B1B9B" w:rsidRPr="005B1B9B" w:rsidTr="00814E1E">
        <w:trPr>
          <w:trHeight w:val="690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Наименование показателя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Код</w:t>
            </w:r>
          </w:p>
        </w:tc>
        <w:tc>
          <w:tcPr>
            <w:tcW w:w="1843" w:type="dxa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За Январь - Декабрь 2022 г.</w:t>
            </w:r>
          </w:p>
        </w:tc>
        <w:tc>
          <w:tcPr>
            <w:tcW w:w="1950" w:type="dxa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За январь –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декабрь 2021 г.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Выручка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2110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42 906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47 726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Себестоимость продаж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2120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(27 606)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(26 163)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Валовая прибыль (убыток)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2100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15 300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21 563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Коммерческие расходы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2210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Управленческие расходы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2220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Прибыль (убыток) от продаж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2200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15 300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21 563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Прочие доходы и расходы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Доходы от участия в других организациях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2310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Проценты к получению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2320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Проценты к уплате(банку)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2330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(555)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(770)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Прочие доходы (субсидия)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2340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4 381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 xml:space="preserve">            9 685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Прочие расходы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2350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Прибыль (убыток) до налогообложения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2300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19 126</w:t>
            </w: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30 478</w:t>
            </w: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Текущий налог на прибыль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2410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Изменение отложенных налоговых обязательств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2430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0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gridAfter w:val="1"/>
          <w:wAfter w:w="1950" w:type="dxa"/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Изменение отложенных налоговых активов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2450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gridAfter w:val="1"/>
          <w:wAfter w:w="1950" w:type="dxa"/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Прочее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2460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B1B9B" w:rsidRPr="005B1B9B" w:rsidTr="00814E1E">
        <w:trPr>
          <w:gridAfter w:val="1"/>
          <w:wAfter w:w="1950" w:type="dxa"/>
          <w:trHeight w:val="255"/>
        </w:trPr>
        <w:tc>
          <w:tcPr>
            <w:tcW w:w="4395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Чистая прибыль (убыток)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2400</w:t>
            </w:r>
          </w:p>
        </w:tc>
        <w:tc>
          <w:tcPr>
            <w:tcW w:w="1843" w:type="dxa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19 126</w:t>
            </w:r>
          </w:p>
        </w:tc>
      </w:tr>
    </w:tbl>
    <w:p w:rsidR="005B1B9B" w:rsidRPr="005B1B9B" w:rsidRDefault="005B1B9B" w:rsidP="005B1B9B">
      <w:pPr>
        <w:numPr>
          <w:ilvl w:val="0"/>
          <w:numId w:val="1"/>
        </w:numPr>
        <w:tabs>
          <w:tab w:val="left" w:pos="397"/>
          <w:tab w:val="left" w:pos="737"/>
        </w:tabs>
        <w:spacing w:after="0" w:line="360" w:lineRule="auto"/>
        <w:ind w:firstLine="340"/>
        <w:jc w:val="both"/>
        <w:rPr>
          <w:rFonts w:ascii="Times New Roman" w:eastAsia="Times New Roman" w:hAnsi="Times New Roman" w:cs="Times New Roman"/>
          <w:lang w:val="en-GB" w:eastAsia="ru-RU"/>
        </w:rPr>
      </w:pPr>
    </w:p>
    <w:p w:rsidR="005B1B9B" w:rsidRPr="005B1B9B" w:rsidRDefault="005B1B9B" w:rsidP="005B1B9B">
      <w:pPr>
        <w:numPr>
          <w:ilvl w:val="0"/>
          <w:numId w:val="2"/>
        </w:numPr>
        <w:tabs>
          <w:tab w:val="num" w:pos="709"/>
        </w:tabs>
        <w:spacing w:after="0" w:line="240" w:lineRule="auto"/>
        <w:ind w:left="709" w:firstLine="1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выражении.</w:t>
      </w:r>
    </w:p>
    <w:p w:rsidR="005B1B9B" w:rsidRPr="005B1B9B" w:rsidRDefault="005B1B9B" w:rsidP="005B1B9B">
      <w:pPr>
        <w:tabs>
          <w:tab w:val="num" w:pos="709"/>
        </w:tabs>
        <w:spacing w:after="0" w:line="240" w:lineRule="auto"/>
        <w:ind w:left="709" w:firstLine="1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B1B9B" w:rsidRPr="005B1B9B" w:rsidRDefault="005B1B9B" w:rsidP="005B1B9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481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0"/>
        <w:gridCol w:w="1195"/>
        <w:gridCol w:w="2631"/>
        <w:gridCol w:w="3041"/>
      </w:tblGrid>
      <w:tr w:rsidR="005B1B9B" w:rsidRPr="005B1B9B" w:rsidTr="00814E1E">
        <w:tc>
          <w:tcPr>
            <w:tcW w:w="1184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Наименование показателя</w:t>
            </w:r>
          </w:p>
        </w:tc>
        <w:tc>
          <w:tcPr>
            <w:tcW w:w="664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Ед. изм.</w:t>
            </w:r>
          </w:p>
        </w:tc>
        <w:tc>
          <w:tcPr>
            <w:tcW w:w="1462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Объем потребления в натуральном выражении/ единица измерения</w:t>
            </w:r>
          </w:p>
        </w:tc>
        <w:tc>
          <w:tcPr>
            <w:tcW w:w="1690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Объем потребления, 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тыс. руб.</w:t>
            </w:r>
            <w:r w:rsidRPr="005B1B9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(без НДС)</w:t>
            </w:r>
          </w:p>
        </w:tc>
      </w:tr>
      <w:tr w:rsidR="005B1B9B" w:rsidRPr="005B1B9B" w:rsidTr="00814E1E">
        <w:trPr>
          <w:trHeight w:val="454"/>
        </w:trPr>
        <w:tc>
          <w:tcPr>
            <w:tcW w:w="1184" w:type="pct"/>
            <w:shd w:val="clear" w:color="auto" w:fill="auto"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Нефть</w:t>
            </w:r>
          </w:p>
        </w:tc>
        <w:tc>
          <w:tcPr>
            <w:tcW w:w="664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</w:p>
        </w:tc>
        <w:tc>
          <w:tcPr>
            <w:tcW w:w="1462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78,6</w:t>
            </w:r>
          </w:p>
        </w:tc>
        <w:tc>
          <w:tcPr>
            <w:tcW w:w="1690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2 355,3</w:t>
            </w:r>
          </w:p>
        </w:tc>
      </w:tr>
      <w:tr w:rsidR="005B1B9B" w:rsidRPr="005B1B9B" w:rsidTr="00814E1E">
        <w:trPr>
          <w:trHeight w:val="454"/>
        </w:trPr>
        <w:tc>
          <w:tcPr>
            <w:tcW w:w="1184" w:type="pct"/>
            <w:shd w:val="clear" w:color="auto" w:fill="auto"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Дизельное топливо</w:t>
            </w:r>
          </w:p>
        </w:tc>
        <w:tc>
          <w:tcPr>
            <w:tcW w:w="664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</w:t>
            </w:r>
          </w:p>
        </w:tc>
        <w:tc>
          <w:tcPr>
            <w:tcW w:w="1462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163,7</w:t>
            </w:r>
          </w:p>
        </w:tc>
        <w:tc>
          <w:tcPr>
            <w:tcW w:w="1690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8 589,9</w:t>
            </w:r>
          </w:p>
        </w:tc>
      </w:tr>
      <w:tr w:rsidR="005B1B9B" w:rsidRPr="005B1B9B" w:rsidTr="00814E1E">
        <w:trPr>
          <w:trHeight w:val="454"/>
        </w:trPr>
        <w:tc>
          <w:tcPr>
            <w:tcW w:w="1184" w:type="pct"/>
            <w:shd w:val="clear" w:color="auto" w:fill="auto"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Бензин А-92</w:t>
            </w:r>
          </w:p>
        </w:tc>
        <w:tc>
          <w:tcPr>
            <w:tcW w:w="664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</w:t>
            </w:r>
          </w:p>
        </w:tc>
        <w:tc>
          <w:tcPr>
            <w:tcW w:w="1462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21,8</w:t>
            </w:r>
          </w:p>
        </w:tc>
        <w:tc>
          <w:tcPr>
            <w:tcW w:w="1690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855,6</w:t>
            </w:r>
          </w:p>
        </w:tc>
      </w:tr>
      <w:tr w:rsidR="005B1B9B" w:rsidRPr="005B1B9B" w:rsidTr="00814E1E">
        <w:trPr>
          <w:trHeight w:val="454"/>
        </w:trPr>
        <w:tc>
          <w:tcPr>
            <w:tcW w:w="1184" w:type="pct"/>
            <w:shd w:val="clear" w:color="auto" w:fill="auto"/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Электрическая энергия</w:t>
            </w:r>
          </w:p>
        </w:tc>
        <w:tc>
          <w:tcPr>
            <w:tcW w:w="664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т.кВт</w:t>
            </w:r>
          </w:p>
        </w:tc>
        <w:tc>
          <w:tcPr>
            <w:tcW w:w="1462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690" w:type="pct"/>
            <w:shd w:val="clear" w:color="auto" w:fill="auto"/>
            <w:vAlign w:val="center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879,8</w:t>
            </w:r>
          </w:p>
        </w:tc>
      </w:tr>
    </w:tbl>
    <w:p w:rsidR="005B1B9B" w:rsidRPr="005B1B9B" w:rsidRDefault="005B1B9B" w:rsidP="005B1B9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Иные виды энергетических ресурсов, помимо указанных в таблице, в отчетном году не использовались.</w:t>
      </w:r>
    </w:p>
    <w:p w:rsidR="005B1B9B" w:rsidRPr="005B1B9B" w:rsidRDefault="005B1B9B" w:rsidP="005B1B9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5B1B9B" w:rsidRPr="005B1B9B" w:rsidRDefault="005B1B9B" w:rsidP="005B1B9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6. </w:t>
      </w:r>
      <w:r w:rsidRPr="005B1B9B"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  <w:t>перспективы развития акционерного общества</w:t>
      </w:r>
    </w:p>
    <w:p w:rsidR="005B1B9B" w:rsidRPr="005B1B9B" w:rsidRDefault="005B1B9B" w:rsidP="005B1B9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spacing w:after="0" w:line="360" w:lineRule="auto"/>
        <w:ind w:firstLine="567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i/>
          <w:lang w:eastAsia="ru-RU"/>
        </w:rPr>
        <w:t>Дальнейшая деятельность Компании направлена на повышение качества и количества выпускаемой продукции и увеличение доли продукции в общем объеме продукции, выпускаемой аналогичными предприятиями, увеличение посевных площадей.</w:t>
      </w:r>
    </w:p>
    <w:p w:rsidR="005B1B9B" w:rsidRPr="005B1B9B" w:rsidRDefault="005B1B9B" w:rsidP="005B1B9B">
      <w:pPr>
        <w:spacing w:after="0" w:line="360" w:lineRule="auto"/>
        <w:ind w:firstLine="567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i/>
          <w:lang w:eastAsia="ru-RU"/>
        </w:rPr>
        <w:t>Приобретение новой техники, ремонт зерноскладов.</w:t>
      </w:r>
    </w:p>
    <w:p w:rsidR="005B1B9B" w:rsidRPr="005B1B9B" w:rsidRDefault="005B1B9B" w:rsidP="005B1B9B">
      <w:pPr>
        <w:spacing w:after="0" w:line="360" w:lineRule="auto"/>
        <w:ind w:firstLine="567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numPr>
          <w:ilvl w:val="0"/>
          <w:numId w:val="6"/>
        </w:numPr>
        <w:spacing w:before="120" w:after="0" w:line="288" w:lineRule="auto"/>
        <w:contextualSpacing/>
        <w:jc w:val="center"/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  <w:t xml:space="preserve"> Отчет о выплате объявленных (начисленных) дивидендов по акциям акционерного общества</w:t>
      </w:r>
    </w:p>
    <w:p w:rsidR="005B1B9B" w:rsidRPr="005B1B9B" w:rsidRDefault="005B1B9B" w:rsidP="005B1B9B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На годовом общем собрании акционеров АО «Высокое» 15.05.2023г. было принято прибыль по  результатам  2022г.в сумме 19 126 тыс. руб.  направить </w:t>
      </w:r>
      <w:r w:rsidRPr="005B1B9B">
        <w:rPr>
          <w:rFonts w:ascii="Times New Roman" w:eastAsia="Times New Roman" w:hAnsi="Times New Roman" w:cs="Times New Roman"/>
          <w:spacing w:val="3"/>
          <w:lang w:eastAsia="ru-RU"/>
        </w:rPr>
        <w:t>на развитие Общества. Д</w:t>
      </w:r>
      <w:r w:rsidRPr="005B1B9B">
        <w:rPr>
          <w:rFonts w:ascii="Times New Roman" w:eastAsia="Times New Roman" w:hAnsi="Times New Roman" w:cs="Times New Roman"/>
          <w:lang w:eastAsia="ru-RU"/>
        </w:rPr>
        <w:t>ивиденды не выплачивать.</w:t>
      </w:r>
    </w:p>
    <w:p w:rsidR="005B1B9B" w:rsidRPr="005B1B9B" w:rsidRDefault="005B1B9B" w:rsidP="005B1B9B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numPr>
          <w:ilvl w:val="0"/>
          <w:numId w:val="6"/>
        </w:num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lang w:eastAsia="ru-RU"/>
        </w:rPr>
        <w:t>Описание основных факторов риска, связанных с деятельностью акционерного общества.</w:t>
      </w:r>
    </w:p>
    <w:p w:rsidR="005B1B9B" w:rsidRPr="005B1B9B" w:rsidRDefault="005B1B9B" w:rsidP="005B1B9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Поскольку целью компании является удовлетворение спроса потребителей продукцией узкого сегмента, рисками компании являются:</w:t>
      </w:r>
    </w:p>
    <w:p w:rsidR="005B1B9B" w:rsidRPr="005B1B9B" w:rsidRDefault="005B1B9B" w:rsidP="005B1B9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Повышение цен на изделия и материалы;</w:t>
      </w:r>
    </w:p>
    <w:p w:rsidR="005B1B9B" w:rsidRPr="005B1B9B" w:rsidRDefault="005B1B9B" w:rsidP="005B1B9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Повышение себестоимости производства в связи с ежегодным ростом цен на энергоносители, затрат на оплату труда и т.д.</w:t>
      </w:r>
    </w:p>
    <w:p w:rsidR="005B1B9B" w:rsidRPr="005B1B9B" w:rsidRDefault="005B1B9B" w:rsidP="005B1B9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lastRenderedPageBreak/>
        <w:t xml:space="preserve">Активизация деятельности конкурентов в сегменте, на котором представлена Компания; </w:t>
      </w:r>
    </w:p>
    <w:p w:rsidR="005B1B9B" w:rsidRPr="005B1B9B" w:rsidRDefault="005B1B9B" w:rsidP="005B1B9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Снижение реальных денежных доходов основной группы потребителей.</w:t>
      </w:r>
    </w:p>
    <w:p w:rsidR="005B1B9B" w:rsidRPr="005B1B9B" w:rsidRDefault="005B1B9B" w:rsidP="005B1B9B">
      <w:pPr>
        <w:spacing w:after="0" w:line="360" w:lineRule="auto"/>
        <w:rPr>
          <w:rFonts w:ascii="Times New Roman" w:eastAsia="Times New Roman" w:hAnsi="Times New Roman" w:cs="Times New Roman"/>
          <w:i/>
          <w:iCs/>
          <w:lang w:eastAsia="ru-RU"/>
        </w:rPr>
      </w:pPr>
      <w:r w:rsidRPr="005B1B9B">
        <w:rPr>
          <w:rFonts w:ascii="Times New Roman" w:eastAsia="Times New Roman" w:hAnsi="Times New Roman" w:cs="Times New Roman"/>
          <w:iCs/>
          <w:lang w:eastAsia="ru-RU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</w:t>
      </w:r>
      <w:r w:rsidRPr="005B1B9B">
        <w:rPr>
          <w:rFonts w:ascii="Times New Roman" w:eastAsia="Times New Roman" w:hAnsi="Times New Roman" w:cs="Times New Roman"/>
          <w:i/>
          <w:iCs/>
          <w:lang w:eastAsia="ru-RU"/>
        </w:rPr>
        <w:t>.</w:t>
      </w:r>
    </w:p>
    <w:p w:rsidR="005B1B9B" w:rsidRPr="005B1B9B" w:rsidRDefault="005B1B9B" w:rsidP="005B1B9B">
      <w:pPr>
        <w:spacing w:after="0" w:line="240" w:lineRule="auto"/>
        <w:ind w:left="1080"/>
        <w:rPr>
          <w:rFonts w:ascii="Times New Roman" w:eastAsia="Times New Roman" w:hAnsi="Times New Roman" w:cs="Times New Roman"/>
          <w:b/>
          <w:lang w:eastAsia="ru-RU"/>
        </w:rPr>
      </w:pPr>
    </w:p>
    <w:p w:rsidR="005B1B9B" w:rsidRPr="005B1B9B" w:rsidRDefault="005B1B9B" w:rsidP="005B1B9B">
      <w:pPr>
        <w:numPr>
          <w:ilvl w:val="0"/>
          <w:numId w:val="6"/>
        </w:numPr>
        <w:spacing w:before="120" w:after="0" w:line="288" w:lineRule="auto"/>
        <w:contextualSpacing/>
        <w:jc w:val="center"/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7" w:anchor="dst553" w:history="1">
        <w:r w:rsidRPr="005B1B9B">
          <w:rPr>
            <w:rFonts w:ascii="Times New Roman" w:eastAsia="Times New Roman" w:hAnsi="Times New Roman" w:cs="Times New Roman"/>
            <w:b/>
            <w:color w:val="666699"/>
            <w:sz w:val="24"/>
            <w:lang w:eastAsia="ru-RU"/>
          </w:rPr>
          <w:t>законом</w:t>
        </w:r>
      </w:hyperlink>
      <w:r w:rsidRPr="005B1B9B"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  <w:t xml:space="preserve"> "Об акционерных обществах" крупными сделками.</w:t>
      </w: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В отчетном году Обществом сделки, обладающие признаками крупных сделок.</w:t>
      </w: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numPr>
          <w:ilvl w:val="0"/>
          <w:numId w:val="6"/>
        </w:numPr>
        <w:spacing w:before="120" w:after="0" w:line="288" w:lineRule="auto"/>
        <w:contextualSpacing/>
        <w:jc w:val="center"/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8" w:anchor="dst588" w:history="1">
        <w:r w:rsidRPr="005B1B9B">
          <w:rPr>
            <w:rFonts w:ascii="Times New Roman" w:eastAsia="Times New Roman" w:hAnsi="Times New Roman" w:cs="Times New Roman"/>
            <w:b/>
            <w:color w:val="666699"/>
            <w:sz w:val="24"/>
            <w:u w:val="single"/>
            <w:lang w:eastAsia="ru-RU"/>
          </w:rPr>
          <w:t>законом</w:t>
        </w:r>
      </w:hyperlink>
      <w:r w:rsidRPr="005B1B9B">
        <w:rPr>
          <w:rFonts w:ascii="Times New Roman" w:eastAsia="Times New Roman" w:hAnsi="Times New Roman" w:cs="Times New Roman"/>
          <w:b/>
          <w:color w:val="333333"/>
          <w:sz w:val="24"/>
          <w:lang w:eastAsia="ru-RU"/>
        </w:rPr>
        <w:t xml:space="preserve"> "Об акционерных обществах" сделками, в совершении которых имелась заинтересованность.</w:t>
      </w:r>
    </w:p>
    <w:p w:rsidR="005B1B9B" w:rsidRPr="005B1B9B" w:rsidRDefault="005B1B9B" w:rsidP="005B1B9B">
      <w:pPr>
        <w:spacing w:after="0" w:line="240" w:lineRule="auto"/>
        <w:ind w:left="1080"/>
        <w:rPr>
          <w:rFonts w:ascii="Times New Roman" w:eastAsia="Times New Roman" w:hAnsi="Times New Roman" w:cs="Times New Roman"/>
          <w:b/>
          <w:color w:val="FF0000"/>
          <w:lang w:eastAsia="ru-RU"/>
        </w:rPr>
      </w:pP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В отчетном году Обществом сделки, обладающие признаками сделок с заинтересованностью. </w:t>
      </w: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5B1B9B" w:rsidRPr="005B1B9B" w:rsidRDefault="005B1B9B" w:rsidP="005B1B9B">
      <w:pPr>
        <w:numPr>
          <w:ilvl w:val="0"/>
          <w:numId w:val="6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Состав Совета директоров акционерного общества. Сведения о сделках по приобретению акций акционерного общества, совершенных членами совета директоров в течение отчетного года.</w:t>
      </w:r>
    </w:p>
    <w:p w:rsidR="005B1B9B" w:rsidRPr="005B1B9B" w:rsidRDefault="005B1B9B" w:rsidP="005B1B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5B1B9B" w:rsidRPr="005B1B9B" w:rsidRDefault="005B1B9B" w:rsidP="005B1B9B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lang w:eastAsia="ru-RU"/>
        </w:rPr>
      </w:pPr>
      <w:r w:rsidRPr="005B1B9B">
        <w:rPr>
          <w:rFonts w:ascii="Times New Roman" w:eastAsia="Times New Roman" w:hAnsi="Times New Roman" w:cs="Times New Roman"/>
          <w:iCs/>
          <w:lang w:eastAsia="ru-RU"/>
        </w:rPr>
        <w:t>В 2022 году, в соответствии с решением годового общего собрания акционеров от 30.04. 2022г.,  в Совет директоров были избраны:</w:t>
      </w:r>
    </w:p>
    <w:tbl>
      <w:tblPr>
        <w:tblW w:w="107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50"/>
        <w:gridCol w:w="1427"/>
        <w:gridCol w:w="1080"/>
        <w:gridCol w:w="1475"/>
        <w:gridCol w:w="1843"/>
        <w:gridCol w:w="1400"/>
        <w:gridCol w:w="1260"/>
      </w:tblGrid>
      <w:tr w:rsidR="005B1B9B" w:rsidRPr="005B1B9B" w:rsidTr="00814E1E">
        <w:trPr>
          <w:jc w:val="center"/>
        </w:trPr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Фамилия  Имя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Отчество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Дата рождения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Гражданство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Образование и специальность по диплому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Место работы</w:t>
            </w:r>
          </w:p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Должность по основному месту работы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Доля участия  в УК акционерного общества,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b/>
                <w:lang w:eastAsia="ru-RU"/>
              </w:rPr>
              <w:t>Доля принадлежащих обыкновенных акций акционерного общества, %</w:t>
            </w:r>
          </w:p>
        </w:tc>
      </w:tr>
      <w:tr w:rsidR="005B1B9B" w:rsidRPr="005B1B9B" w:rsidTr="00814E1E">
        <w:trPr>
          <w:jc w:val="center"/>
        </w:trPr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Князев Андрей Владимирович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25.03.1979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Россия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Высшие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 xml:space="preserve">АО «Высокое», директор 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11 848 722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11 848 722</w:t>
            </w:r>
          </w:p>
        </w:tc>
      </w:tr>
      <w:tr w:rsidR="005B1B9B" w:rsidRPr="005B1B9B" w:rsidTr="00814E1E">
        <w:trPr>
          <w:jc w:val="center"/>
        </w:trPr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ТелковаГалина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Ивановна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07.01.1959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Россия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Средне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техническое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АО «Высокое», гл. бухгалтер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1B9B" w:rsidRPr="005B1B9B" w:rsidTr="00814E1E">
        <w:trPr>
          <w:jc w:val="center"/>
        </w:trPr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Сергейчик Владимир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Витальевич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24.07.1960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Россия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Средне техническое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АО «Высокое»</w:t>
            </w: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highlight w:val="yellow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механизатор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1B9B" w:rsidRPr="005B1B9B" w:rsidTr="00814E1E">
        <w:trPr>
          <w:jc w:val="center"/>
        </w:trPr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Власов Андрей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Владимирович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03.07.1981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Россия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Средне специальное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 xml:space="preserve">АО «Высокое», </w:t>
            </w:r>
          </w:p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тракторист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5B1B9B" w:rsidRPr="005B1B9B" w:rsidTr="00814E1E">
        <w:trPr>
          <w:jc w:val="center"/>
        </w:trPr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Сычев Валерий</w:t>
            </w:r>
          </w:p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Николаевич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04.02.1976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Россия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Средне специальное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Зав. ДК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1B9B" w:rsidRPr="005B1B9B" w:rsidRDefault="005B1B9B" w:rsidP="005B1B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B1B9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p w:rsidR="005B1B9B" w:rsidRPr="005B1B9B" w:rsidRDefault="005B1B9B" w:rsidP="005B1B9B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lang w:eastAsia="ru-RU"/>
        </w:rPr>
      </w:pPr>
    </w:p>
    <w:p w:rsidR="005B1B9B" w:rsidRPr="005B1B9B" w:rsidRDefault="005B1B9B" w:rsidP="005B1B9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ru-RU"/>
        </w:rPr>
      </w:pPr>
    </w:p>
    <w:p w:rsidR="005B1B9B" w:rsidRPr="005B1B9B" w:rsidRDefault="005B1B9B" w:rsidP="005B1B9B">
      <w:pPr>
        <w:numPr>
          <w:ilvl w:val="0"/>
          <w:numId w:val="6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Сведения о лице, занимающем должность единоличного исполнительного органа общества.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уставом общества, полномочия единоличного исполнительного органа директор.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Коллегиальный исполнительный орган в обществе не предусмотрен.</w:t>
      </w:r>
    </w:p>
    <w:p w:rsidR="005B1B9B" w:rsidRPr="005B1B9B" w:rsidRDefault="005B1B9B" w:rsidP="005B1B9B">
      <w:p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Единоличным исполнительным органом АО «Высокое» является директор – Князев Андрей Владимирович, 1979 года рождения, высшее образование. </w:t>
      </w:r>
    </w:p>
    <w:p w:rsidR="005B1B9B" w:rsidRPr="005B1B9B" w:rsidRDefault="005B1B9B" w:rsidP="005B1B9B">
      <w:pPr>
        <w:tabs>
          <w:tab w:val="num" w:pos="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в уставном капитале эмитента –</w:t>
      </w:r>
      <w:r w:rsidRPr="005B1B9B">
        <w:rPr>
          <w:rFonts w:ascii="Times New Roman" w:eastAsia="Times New Roman" w:hAnsi="Times New Roman" w:cs="Times New Roman"/>
          <w:sz w:val="24"/>
          <w:szCs w:val="20"/>
          <w:lang w:eastAsia="ru-RU"/>
        </w:rPr>
        <w:t>58,663%</w:t>
      </w:r>
    </w:p>
    <w:p w:rsidR="005B1B9B" w:rsidRPr="005B1B9B" w:rsidRDefault="005B1B9B" w:rsidP="005B1B9B">
      <w:pPr>
        <w:tabs>
          <w:tab w:val="num" w:pos="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принадлежащих обыкновенных акций акционерного общества – 58,663</w:t>
      </w:r>
      <w:r w:rsidRPr="005B1B9B">
        <w:rPr>
          <w:rFonts w:ascii="Times New Roman" w:eastAsia="Times New Roman" w:hAnsi="Times New Roman" w:cs="Times New Roman"/>
          <w:sz w:val="24"/>
          <w:szCs w:val="20"/>
          <w:lang w:eastAsia="ru-RU"/>
        </w:rPr>
        <w:t>%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Коллегиальный исполнительный орган уставом Общества не предусмотрен.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B1B9B" w:rsidRPr="005B1B9B" w:rsidRDefault="005B1B9B" w:rsidP="005B1B9B">
      <w:pPr>
        <w:spacing w:after="0" w:line="240" w:lineRule="auto"/>
        <w:ind w:left="1495"/>
        <w:jc w:val="center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13.      </w:t>
      </w:r>
      <w:r w:rsidRPr="005B1B9B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Критерии определения и размер вознаграждения лица, занимающего должность единоличного исполнительного органа общества и членов совета директоров общества.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1. Основные положения политики акционерного общества в области вознаграждений и компенсаций расходов членам совета директоров, следующие: 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Выплата вознаграждения членам совета директоров за участие в работе совета директоров в 2019 году не начислялась и не выплачивалась.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Компенсации расходов членам совета директоров за осуществление ими соответствующих функций в работе совета директоров обществе не предусмотрены. 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 xml:space="preserve">В 2022 году совокупный размер вознаграждений Совета директоров состоит из заработной платы, а также иных видов вознаграждений по трудовым договорам членов совета директоров акционерного общества, являвшихся его работниками. Совокупный размер вознаграждений Совету директоров, которые были выплачены акционерным обществом в течение отчетного 2022 года составил </w:t>
      </w:r>
      <w:r w:rsidRPr="005B1B9B">
        <w:rPr>
          <w:rFonts w:ascii="Times New Roman" w:eastAsia="Times New Roman" w:hAnsi="Times New Roman" w:cs="Times New Roman"/>
          <w:u w:val="single"/>
          <w:lang w:eastAsia="ru-RU"/>
        </w:rPr>
        <w:t xml:space="preserve">  1 174 138 </w:t>
      </w:r>
      <w:r w:rsidRPr="005B1B9B">
        <w:rPr>
          <w:rFonts w:ascii="Times New Roman" w:eastAsia="Times New Roman" w:hAnsi="Times New Roman" w:cs="Times New Roman"/>
          <w:lang w:eastAsia="ru-RU"/>
        </w:rPr>
        <w:t xml:space="preserve"> рублей.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bCs/>
        </w:rPr>
        <w:t>2</w:t>
      </w:r>
      <w:r w:rsidRPr="005B1B9B">
        <w:rPr>
          <w:rFonts w:ascii="Times New Roman" w:eastAsia="Times New Roman" w:hAnsi="Times New Roman" w:cs="Times New Roman"/>
          <w:b/>
          <w:bCs/>
        </w:rPr>
        <w:t>.</w:t>
      </w:r>
      <w:r w:rsidRPr="005B1B9B">
        <w:rPr>
          <w:rFonts w:ascii="Times New Roman" w:eastAsia="Times New Roman" w:hAnsi="Times New Roman" w:cs="Times New Roman"/>
          <w:lang w:eastAsia="ru-RU"/>
        </w:rPr>
        <w:t xml:space="preserve">Вознаграждение единоличного исполнительного органа определяется как фиксированная сумма (ежемесячная заработная плата) в соответствии с трудовым договором, а также выплаты по итогам года, в случае получения Обществом прибыли.  Отдельно размер вознаграждения единоличного исполнительного органа не раскрывается. Так как единоличный исполнительный орган одновременно является членом совета директоров, то выплаченное в течении 2022 года вознаграждение входит в совокупный размер вознаграждения по Совету директоров Общества. 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Компенсации расходов единоличному исполнительному органу – Директору - осуществляются на основании приказа о нормах командировочных расходов, в том числе компенсируются следующие расходы: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- расходы по проезду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-дополнительные расходы (суточные)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5B1B9B">
        <w:rPr>
          <w:rFonts w:ascii="Times New Roman" w:eastAsia="Times New Roman" w:hAnsi="Times New Roman" w:cs="Times New Roman"/>
          <w:lang w:eastAsia="ru-RU"/>
        </w:rPr>
        <w:t>Коллегиального исполнительного органа в обществе нет.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5B1B9B" w:rsidRPr="005B1B9B" w:rsidRDefault="005B1B9B" w:rsidP="005B1B9B">
      <w:pPr>
        <w:numPr>
          <w:ilvl w:val="0"/>
          <w:numId w:val="7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Сведения о соблюдении акционерным обществом Кодекса корпоративного поведения.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Обществом официально не утвержден Кодекс корпоративного поведения или иной аналогичный документ, однако АО «Высокое»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lastRenderedPageBreak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акционеров».</w:t>
      </w:r>
    </w:p>
    <w:p w:rsidR="005B1B9B" w:rsidRPr="005B1B9B" w:rsidRDefault="005B1B9B" w:rsidP="005B1B9B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ru-RU"/>
        </w:rPr>
      </w:pPr>
    </w:p>
    <w:p w:rsidR="005B1B9B" w:rsidRPr="005B1B9B" w:rsidRDefault="005B1B9B" w:rsidP="005B1B9B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5B1B9B">
        <w:rPr>
          <w:rFonts w:ascii="Times New Roman" w:eastAsia="Calibri" w:hAnsi="Times New Roman" w:cs="Times New Roman"/>
          <w:b/>
          <w:sz w:val="24"/>
          <w:szCs w:val="28"/>
        </w:rPr>
        <w:t>Сведения об утверждении годового отчета общим собранием акционеров</w:t>
      </w:r>
      <w:r w:rsidRPr="005B1B9B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.</w:t>
      </w: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</w:p>
    <w:p w:rsidR="005B1B9B" w:rsidRPr="005B1B9B" w:rsidRDefault="005B1B9B" w:rsidP="005B1B9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Устава Общества Годовой отчет утверждается Общим собранием акционеров. Годовой отчет за 2022г. утвержден Общем собранием акционеров  АО «Высокое» 15 мая 2023  г., протокол № б/н от 15 мая 2023 г.</w:t>
      </w: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</w:p>
    <w:p w:rsidR="005B1B9B" w:rsidRPr="005B1B9B" w:rsidRDefault="005B1B9B" w:rsidP="005B1B9B">
      <w:pPr>
        <w:numPr>
          <w:ilvl w:val="0"/>
          <w:numId w:val="7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Иная информация.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 регистраторе общества: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Ведение реестра акционеров общества осуществляет специализированный регистратор –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филиал АО «Сервис-Реестр» в г. Томск.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нахождения: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634021 г. Томск, пр. Фрунзе 132, офис 206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Тел. (3822) 44-57-54.</w:t>
      </w:r>
    </w:p>
    <w:p w:rsidR="005B1B9B" w:rsidRPr="005B1B9B" w:rsidRDefault="005B1B9B" w:rsidP="005B1B9B">
      <w:pPr>
        <w:tabs>
          <w:tab w:val="num" w:pos="567"/>
        </w:tabs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 о лицензии, выданной регистратору:10-000-1-00301, выдан 02.03.2004 года, бессрочная, Федеральной службой по финансовым рынкам.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 вопросам получения доступа к информации для акционеров следует обращаться: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636856, Томская обл., Зырянский р-он, с.Высокое, ул. Мира,64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Номера контактных телефонов эмитента</w:t>
      </w:r>
    </w:p>
    <w:p w:rsidR="005B1B9B" w:rsidRPr="005B1B9B" w:rsidRDefault="005B1B9B" w:rsidP="005B1B9B">
      <w:pPr>
        <w:tabs>
          <w:tab w:val="num" w:pos="0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Телефон/факс (382-43) 39-331,  Адреса электронной почты:</w:t>
      </w:r>
      <w:r w:rsidRPr="005B1B9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oaowisokoe</w:t>
      </w: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@</w:t>
      </w:r>
      <w:r w:rsidRPr="005B1B9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gmail</w:t>
      </w:r>
      <w:r w:rsidRPr="005B1B9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B1B9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com</w:t>
      </w:r>
    </w:p>
    <w:p w:rsidR="005B1B9B" w:rsidRPr="005B1B9B" w:rsidRDefault="005B1B9B" w:rsidP="005B1B9B">
      <w:pPr>
        <w:spacing w:after="0" w:line="230" w:lineRule="atLeas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B1B9B" w:rsidRPr="005B1B9B" w:rsidRDefault="005B1B9B" w:rsidP="005B1B9B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bCs/>
          <w:sz w:val="40"/>
          <w:szCs w:val="40"/>
          <w:lang w:eastAsia="ru-RU"/>
        </w:rPr>
      </w:pP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5B1B9B" w:rsidRPr="005B1B9B" w:rsidRDefault="005B1B9B" w:rsidP="005B1B9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63FBA" w:rsidRDefault="00F63FBA">
      <w:bookmarkStart w:id="0" w:name="_GoBack"/>
      <w:bookmarkEnd w:id="0"/>
    </w:p>
    <w:sectPr w:rsidR="00F63F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AE4B33"/>
    <w:multiLevelType w:val="hybridMultilevel"/>
    <w:tmpl w:val="06BA53AA"/>
    <w:lvl w:ilvl="0" w:tplc="338C115C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" w15:restartNumberingAfterBreak="0">
    <w:nsid w:val="178B72D0"/>
    <w:multiLevelType w:val="hybridMultilevel"/>
    <w:tmpl w:val="FD844F6C"/>
    <w:lvl w:ilvl="0" w:tplc="529CA9A0">
      <w:start w:val="5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1D1A31FC"/>
    <w:multiLevelType w:val="hybridMultilevel"/>
    <w:tmpl w:val="8D8E1C38"/>
    <w:lvl w:ilvl="0" w:tplc="22989D08">
      <w:start w:val="6"/>
      <w:numFmt w:val="bullet"/>
      <w:lvlText w:val="-"/>
      <w:lvlJc w:val="left"/>
      <w:pPr>
        <w:tabs>
          <w:tab w:val="num" w:pos="902"/>
        </w:tabs>
        <w:ind w:left="340" w:firstLine="560"/>
      </w:p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584C8D"/>
    <w:multiLevelType w:val="hybridMultilevel"/>
    <w:tmpl w:val="5A781F6E"/>
    <w:lvl w:ilvl="0" w:tplc="3D7E89E4">
      <w:start w:val="14"/>
      <w:numFmt w:val="decimal"/>
      <w:lvlText w:val="%1."/>
      <w:lvlJc w:val="left"/>
      <w:pPr>
        <w:ind w:left="1586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3E835FAB"/>
    <w:multiLevelType w:val="hybridMultilevel"/>
    <w:tmpl w:val="5838DE72"/>
    <w:lvl w:ilvl="0" w:tplc="43663024">
      <w:start w:val="7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BD80E15"/>
    <w:multiLevelType w:val="hybridMultilevel"/>
    <w:tmpl w:val="1C26612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621F0673"/>
    <w:multiLevelType w:val="hybridMultilevel"/>
    <w:tmpl w:val="167603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5F52E6"/>
    <w:multiLevelType w:val="hybridMultilevel"/>
    <w:tmpl w:val="0EE6FF78"/>
    <w:lvl w:ilvl="0" w:tplc="22989D08">
      <w:start w:val="6"/>
      <w:numFmt w:val="bullet"/>
      <w:lvlText w:val="-"/>
      <w:lvlJc w:val="left"/>
      <w:pPr>
        <w:tabs>
          <w:tab w:val="num" w:pos="902"/>
        </w:tabs>
        <w:ind w:left="340" w:firstLine="560"/>
      </w:p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</w:num>
  <w:num w:numId="5">
    <w:abstractNumId w:val="7"/>
  </w:num>
  <w:num w:numId="6">
    <w:abstractNumId w:val="4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B9B"/>
    <w:rsid w:val="005B1B9B"/>
    <w:rsid w:val="00F63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;"/>
  <w:listSeparator w:val=";"/>
  <w15:chartTrackingRefBased/>
  <w15:docId w15:val="{B4EA221E-0786-42D0-A1AE-A839EF13D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36773/83e09c94c70e68a96ec187d8da74edbcc0498036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document/cons_doc_LAW_336773/e888b53b5615d316bf151e6cf41213cb61f45d5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tant.ru/document/cons_doc_LAW_336773/83e09c94c70e68a96ec187d8da74edbcc0498036/" TargetMode="External"/><Relationship Id="rId5" Type="http://schemas.openxmlformats.org/officeDocument/2006/relationships/hyperlink" Target="http://www.consultant.ru/document/cons_doc_LAW_336773/e888b53b5615d316bf151e6cf41213cb61f45d5a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2144</Words>
  <Characters>12225</Characters>
  <Application>Microsoft Office Word</Application>
  <DocSecurity>0</DocSecurity>
  <Lines>101</Lines>
  <Paragraphs>28</Paragraphs>
  <ScaleCrop>false</ScaleCrop>
  <Company/>
  <LinksUpToDate>false</LinksUpToDate>
  <CharactersWithSpaces>14341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2023-08-29T05:57:00Z</dcterms:created>
  <dcterms:modified xsi:type="dcterms:W3CDTF">2023-08-29T05:58:00Z</dcterms:modified>
</cp:coreProperties>
</file>