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886"/>
        <w:jc w:val="center"/>
        <w:tabs>
          <w:tab w:val="center" w:pos="4818" w:leader="none"/>
          <w:tab w:val="left" w:pos="7425" w:leader="none"/>
        </w:tabs>
        <w:rPr>
          <w:b/>
          <w:color w:val="auto"/>
          <w:sz w:val="28"/>
          <w:szCs w:val="28"/>
        </w:rPr>
      </w:pPr>
      <w:r>
        <w:rPr>
          <w:b/>
          <w:color w:val="auto"/>
          <w:sz w:val="26"/>
          <w:szCs w:val="26"/>
        </w:rPr>
        <w:t xml:space="preserve">Отчет об итогах голосования</w:t>
      </w:r>
      <w:r>
        <w:rPr>
          <w:b/>
          <w:color w:val="auto"/>
          <w:sz w:val="26"/>
          <w:szCs w:val="26"/>
        </w:rPr>
      </w:r>
      <w:r>
        <w:rPr>
          <w:b/>
          <w:color w:val="auto"/>
          <w:sz w:val="28"/>
          <w:szCs w:val="28"/>
        </w:rPr>
      </w:r>
    </w:p>
    <w:p>
      <w:pPr>
        <w:pStyle w:val="886"/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6"/>
          <w:szCs w:val="26"/>
        </w:rPr>
        <w:t xml:space="preserve">на годовом </w:t>
      </w:r>
      <w:r>
        <w:rPr>
          <w:b/>
          <w:color w:val="auto"/>
          <w:sz w:val="26"/>
          <w:szCs w:val="26"/>
        </w:rPr>
        <w:t xml:space="preserve">заседании </w:t>
      </w:r>
      <w:r>
        <w:rPr>
          <w:b/>
          <w:color w:val="auto"/>
          <w:sz w:val="26"/>
          <w:szCs w:val="26"/>
        </w:rPr>
        <w:t xml:space="preserve">общего собрания акционеров </w:t>
      </w:r>
      <w:r>
        <w:rPr>
          <w:b/>
          <w:color w:val="auto"/>
          <w:sz w:val="26"/>
          <w:szCs w:val="26"/>
        </w:rPr>
      </w:r>
      <w:r>
        <w:rPr>
          <w:b/>
          <w:color w:val="auto"/>
          <w:sz w:val="28"/>
          <w:szCs w:val="28"/>
        </w:rPr>
      </w:r>
    </w:p>
    <w:p>
      <w:pPr>
        <w:pStyle w:val="886"/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6"/>
          <w:szCs w:val="26"/>
        </w:rPr>
        <w:t xml:space="preserve">АО «</w:t>
      </w:r>
      <w:r>
        <w:rPr>
          <w:b/>
          <w:color w:val="auto"/>
          <w:sz w:val="26"/>
          <w:szCs w:val="26"/>
        </w:rPr>
        <w:t xml:space="preserve">Метан</w:t>
      </w:r>
      <w:r>
        <w:rPr>
          <w:b/>
          <w:color w:val="auto"/>
          <w:sz w:val="26"/>
          <w:szCs w:val="26"/>
        </w:rPr>
        <w:t xml:space="preserve">»</w:t>
      </w:r>
      <w:r>
        <w:rPr>
          <w:b/>
          <w:color w:val="auto"/>
          <w:sz w:val="26"/>
          <w:szCs w:val="26"/>
        </w:rPr>
      </w:r>
      <w:r>
        <w:rPr>
          <w:b/>
          <w:color w:val="auto"/>
          <w:sz w:val="28"/>
          <w:szCs w:val="28"/>
        </w:rPr>
      </w:r>
    </w:p>
    <w:p>
      <w:pPr>
        <w:pStyle w:val="886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Полное фирменное наименование: Акционерное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бщество «Метан» (далее – Общество).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Место нахождения Общества: Российская Федерация, город Пенза.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Адрес Общества: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440066, Пензенская область, г. Пенза, ул. Рахманинова, 1а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Вид общего собрания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годовое.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Способ принятия решений общим собранием акционеров: заседание, совмещенное с заочным голосованием, без возможности дистанционного участия в заседании.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определения (фиксации) лиц, имевших право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голоса при принятии решений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общ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им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собрани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ем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акцио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неров: 05 июня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202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проведения годового заседания общего собрания акционеров: </w:t>
        <w:br/>
        <w:t xml:space="preserve">30 июня 2025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Место проведения годового заседания общего собрания акционеров: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br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г. Пен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за, 5-й Виноградный проезд, д. 20а, актовый зал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Почтовый адрес, по которому направлялись (могли направляться) зап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олненные бюллетени для голосования: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440066, Российская Федерация, Пензенская область, город Пенза, улица Рахманинова, д. 1а.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окончания приема бюллетеней для голосования: 27 июня 2025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проведения годового заседания общего собрания акционеров: </w:t>
        <w:br/>
        <w:t xml:space="preserve">16 часов 30 минут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начала регистрации лиц, участвующих в годовом заседании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общего собрания акционеров: 15 часов 30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открытия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годового заседания общего собрания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</w:t>
        <w:br/>
        <w:t xml:space="preserve">16 часов 30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окончания регистрации лиц,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участвующих в годовом заседании общего собрания акционеров: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16 часов 50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нача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ла подсчета голосов: 16 часов 55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я закрытия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годового заседания общего собрания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</w:t>
        <w:br/>
        <w:t xml:space="preserve">17 часов 10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Лицо, проводившее подсчет голосов: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Полное фирменное наименование регистратора, исполняющего функции счетной комиссии: Акционерное общество «Специализированный регистратор - Держатель реестров акционеров газов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ой промышленности»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(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АО «ДРАГА»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)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(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далее - Регистратор).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Место нахождения Регистратора: г. Санкт-Петербург.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Адрес регистратора: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190098, Россия, г. Санкт-Петербург,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вн. тер. г. муниципальный округ Адмиралтейский округ,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Конногвардейский б-р, д. 4 литера А, помещ. 73-Н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  <w:suppressLineNumbers w:val="0"/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  <w:suppressLineNumbers w:val="0"/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Лицо, уполномоченное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Регистратором,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исполняющим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функци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Счетной комиссии: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Лощилова Юлия Эдуардовна.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/>
          <w:sz w:val="26"/>
          <w:szCs w:val="26"/>
        </w:rPr>
        <w:t xml:space="preserve">Приглашен: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 Игорь Николаевич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-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генеральный директор Общества.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Повестка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1.</w:t>
        <w:tab/>
        <w:t xml:space="preserve">Утверждение годового отчета Общества за 2024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2.</w:t>
        <w:tab/>
        <w:t xml:space="preserve">Утверждение годовой бухгалтерской (финансовой) отчетности Общества за 2024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3.</w:t>
        <w:tab/>
        <w:t xml:space="preserve">Распределение прибыли (в том числе выплата (объявление) дивидендов) и убытков Общества по результатам 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4.</w:t>
        <w:tab/>
        <w:t xml:space="preserve">О размере, сроках и форме выплаты дивидендов по результатам </w:t>
        <w:br/>
        <w:t xml:space="preserve">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</w:t>
        <w:tab/>
        <w:t xml:space="preserve">О размере вознаграждений, выплачиваемых членам Совета директоров и членам Ревизионной комиссии Общества по результатам работы в 2024 году.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6.</w:t>
        <w:tab/>
        <w:t xml:space="preserve">Избрание членов Совета директоров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7.</w:t>
        <w:tab/>
        <w:t xml:space="preserve">Избрание членов Ревизионной комиссии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8.</w:t>
        <w:tab/>
        <w:t xml:space="preserve">О назначении аудиторской организации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Общее количество голосов, которыми обладали акционеры - владельцы голосующих акций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Общества по каждому вопросу: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первому вопросу повестки дня: </w:t>
        <w:tab/>
        <w:t xml:space="preserve">1 891 828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13 242 796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седьмому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709" w:leader="none"/>
          <w:tab w:val="left" w:pos="851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Число голосов, приходившихся на голосующие акции общества, определенное с учетом положений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пункта 4.24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Положения Банка России от 16.11.2018 № 660-П «Об общих собраниях акционеров» по каждому вопросу: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первому вопросу повестки дня: </w:t>
        <w:tab/>
        <w:t xml:space="preserve">1 891 828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13 242 796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седьмому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1 891 828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Количество голосов, которыми обладали акционеры,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участвовавшие в заседании, совмещенном с заочным голосованием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по каждому вопросу: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ерво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му вопросу повестки дня: </w:t>
        <w:tab/>
        <w:t xml:space="preserve">1 474 561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10 321 927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седь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1 474 561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jc w:val="both"/>
        <w:tabs>
          <w:tab w:val="left" w:pos="9672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соответствии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 пунктами 18.8, 22.3 Устава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на основании решения Совета директоров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(протокол от 25.06.2025 № 22)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 годовом заседании общего собрания акционеров председательствует член Совета директоров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Осипова Александра Ефимовна.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соответствии с пунктом 11.2 Положения об общем собрании акционеров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секретарем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общего собрания акционеров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 годовом заседании является секретарь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Совета директоров Общества Белянина Татьяна Юрьевна.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jc w:val="both"/>
        <w:tabs>
          <w:tab w:val="left" w:pos="9672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первому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Слушали генерального директора Общества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И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.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Н.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Борисова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, который доложил результаты финансово-хозяйственной деятельности Общества за 2024 год.</w:t>
      </w:r>
      <w:r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Председательствующий на заседании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А.Е. Осипова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предложила утвер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дить годовой отчёт Общества за 2024 год.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ь годовой отчет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за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- 1 432 897 голосов.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против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 голосов.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41 664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ь годовой отчет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второму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Слушали генерального директора Общества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И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.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Н.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,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который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представил основные данные годовой бухгалтерской отчетности Общества </w:t>
        <w:br/>
        <w:t xml:space="preserve">за 2024 год и проинформировал собрание о результатах проверки Общества аудиторской организацией и Ревизионной комиссией.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Председательствующий на заседании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А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.Е. Осипова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предложила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у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твердить годовую бухгалтерскую (финансовую) отчетность Общества за 2024 год.</w:t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Утвердить годовую бухгалтерскую (финансо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вую) отчетность Общества </w:t>
        <w:br/>
        <w:t xml:space="preserve">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за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- 1 474 561 голос.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против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 голосов.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contextualSpacing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Утвердить годовую бухгалтерскую (финансо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вую) отчетность Общества </w:t>
        <w:br/>
        <w:t xml:space="preserve">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contextualSpacing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третьему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 А.Е. Осипову, которая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доложила 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рекомендация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Совета директоров Общест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распределени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ю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приб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ыли Общества по результатам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года.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Чистую прибыль, полученную по результатам 2024 финансового года в размере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408 042 руб. 33 коп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аспределить следующим образом: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– на формирование источника финансирования инвестиционной программы за счет средств, полученных от оказания услуг, связанных с перекладкой газопроводов: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408 042 руб. 33 коп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Дивиденды по акциям не начислять и не выплачивать.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голоса.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28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Чистую прибыль, полученную по результатам 2024 финансового года в размере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408 042 руб. 33 коп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аспределить следующим образом: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– на формирование источника финансирования инвестиционной программы за счет средств, полученных от оказания услуг, связанных с перекладкой газопроводов: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408 042 руб. 33 коп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spacing w:after="0" w:afterAutospacing="0" w:line="240" w:lineRule="auto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Дивиденды по акциям не начислять и не выплачивать.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четвертому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А.Е. Осипову,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доложила о рекомендациях Совета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выплате дивидендов по результатам 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Дивиденды по акциям по результатам 2024 года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num" w:pos="0" w:leader="none"/>
        </w:tabs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- 1 432 897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голоса,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Дивиденды по акциям по результатам 2024 года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пятому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А.Е. Осипову, которая доложила о рекомендациях Совета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вопросу выплаты вознаграждения членам Совета директоров 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членам Ревизионной комиссии Общества в связи с исполнением ими св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оих обязанностей.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5.2. Компенсацию расходов, связанных с исполнением обязанностей членов Совета директоров, членов Ревизионной комиссии, не производить.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- 1 474 561 голос.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8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5.2. Компенсацию расходов, связанных с исполнением обязанностей членов Совета директоров, членов Ревизионной комиссии, не производить.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шестому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А.Е. Осипову,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предложила избрать Совет директоров Общества из числа кандидатур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предложен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ных акционерами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 соответствии со ст. 53 Федерального закона от 26.12.1995 № 208-ФЗ «Об акционерных обществах»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включенных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Совет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бюллетень для голосования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Совет директоров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1.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Пахомовский Юрий Витальевич.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2. Елецкий Алексей Сергеевич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2. Востриков Сергей Анатольевич.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4. Марков Вадим Сергеевич.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5. Осипова Александра Ефимовна.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6. Сироткин Алексей Викторович.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7. Черничкина Наталья Эдуардовна.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8.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 Игорь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9. Шарипова Зульфия Мингалеевна.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количество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кумулятивных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голосов, поданных за каждого кандидата: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Пахомовский Юрий Витальевич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Елецкий Алексей Сергеевич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Востриков Сергей Анатольевич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Марков Вадим Сергеевич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Осипова Александра Ефимовна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– 0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 кумулятивны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Сироткин Алексей Викторович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hanging="11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Черничкина Наталья Эдуардовна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–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 Игорь Николаевич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Шарипова Зульфия Мингалеевна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 по всем кандидатам»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 всех кандидатов»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291 648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кумулятивных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white"/>
        </w:rPr>
        <w:t xml:space="preserve">Решили: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Избрать Совет директоров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1.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Пахомовский Юрий Витальевич.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2. Елецкий Алексей Сергеевич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2. Востриков Сергей Анатольевич.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4. Марков Вадим Сергеевич.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5. Шарипова Зульфия Мингалеевна.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6. Сироткин Алексей Викторович.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7.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Борисов Игорь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седьмому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 А.Е. Осипову,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предложила избрать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Ревизионную комиссию 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 числа кандидатур, предложенных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акционера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 соответствии со ст. 53 Федерального закона от 26.12.1995 № 208-ФЗ «Об акционерных обществах»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включенными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Совет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бюллетень для голосования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евизионную комиссию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 Коханюк Елена Геннадьевна.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2.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3. Михайлов Дмитрий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Коханюк Елена Геннадьевна.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2. 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3.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Михайлов Дмитрий Николаевич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Ревизионную комиссию Общества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в следующем составе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 Коханюк Елена Геннадьевна.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2.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3. Михайлов Дмитрий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восьмому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А.Е. Осипову,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сообщила 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наличи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обязанности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проведению аудита годовой бухгал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терской (финансовой) отчетности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и предложила назначить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ООО «Аудит-НТ» аудиторской организацией по аудиту бухгалтерской (финансовой) отчетности Общества за 2025 год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Назначить ООО «Аудит-НТ» аудиторской организацией по аудиту бухгалтерской (финансовой) отчетности Общества за 2025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1 432 897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- 41 664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86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Назначить ООО «Аудит-НТ» аудиторской организацией по аудиту бухгалтерской (финансовой) отчетности Общества за 2025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left="0" w:right="0"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Принятие общим собранием акционеров решений на годовом заседании и состав акционеров Общества, присутствовавших при их принятии, подтверждаются путем удостоверения лицом, осуществляющим ведение реестра акционеров Общества и выполняющим функции счетной коми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ссии. </w:t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</w:p>
    <w:p>
      <w:pPr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86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Дата составления отчета: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03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июля 2025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jc w:val="both"/>
        <w:rPr>
          <w:rFonts w:ascii="Times New Roman" w:hAnsi="Times New Roman" w:cs="Times New Roman"/>
          <w:color w:val="000000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</w:p>
    <w:tbl>
      <w:tblPr>
        <w:tblStyle w:val="742"/>
        <w:tblW w:w="0" w:type="auto"/>
        <w:tblLayout w:type="fixed"/>
        <w:tblLook w:val="04A0" w:firstRow="1" w:lastRow="0" w:firstColumn="1" w:lastColumn="0" w:noHBand="0" w:noVBand="1"/>
      </w:tblPr>
      <w:tblGrid>
        <w:gridCol w:w="4643"/>
        <w:gridCol w:w="2834"/>
        <w:gridCol w:w="2376"/>
      </w:tblGrid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Председательствующий на годовом заседании общего собрания акционеров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single" w:color="000000" w:sz="4" w:space="0"/>
              <w:right w:val="none" w:color="000000" w:sz="4" w:space="0"/>
            </w:tcBorders>
            <w:tcW w:w="2834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376" w:type="dxa"/>
            <w:vAlign w:val="bottom"/>
            <w:textDirection w:val="lrTb"/>
            <w:noWrap w:val="false"/>
          </w:tcPr>
          <w:p>
            <w:pPr>
              <w:jc w:val="righ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color w:val="000000" w:themeColor="text1"/>
                <w:sz w:val="26"/>
                <w:szCs w:val="26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А.Е. Осипова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Секретарь общего собрания акционеров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single" w:color="000000" w:sz="4" w:space="0"/>
              <w:left w:val="none" w:color="000000" w:sz="4" w:space="0"/>
              <w:bottom w:val="single" w:color="000000" w:sz="4" w:space="0"/>
              <w:right w:val="none" w:color="000000" w:sz="4" w:space="0"/>
            </w:tcBorders>
            <w:tcW w:w="2834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376" w:type="dxa"/>
            <w:vAlign w:val="bottom"/>
            <w:textDirection w:val="lrTb"/>
            <w:noWrap w:val="false"/>
          </w:tcPr>
          <w:p>
            <w:pPr>
              <w:jc w:val="righ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Т.Ю. Белянина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singl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834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376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834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376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</w:tbl>
    <w:p>
      <w:r/>
      <w:r/>
    </w:p>
    <w:sectPr>
      <w:headerReference w:type="default" r:id="rId9"/>
      <w:headerReference w:type="even" r:id="rId10"/>
      <w:footnotePr/>
      <w:endnotePr/>
      <w:type w:val="nextPage"/>
      <w:pgSz w:w="11906" w:h="16838" w:orient="portrait"/>
      <w:pgMar w:top="850" w:right="851" w:bottom="680" w:left="1418" w:header="709" w:footer="709" w:gutter="0"/>
      <w:cols w:num="1" w:sep="0" w:space="708" w:equalWidth="1"/>
      <w:docGrid w:linePitch="36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Tahoma">
    <w:panose1 w:val="020B0604030504040204"/>
  </w:font>
  <w:font w:name="Courier New">
    <w:panose1 w:val="02070309020205020404"/>
  </w:font>
  <w:font w:name="Arial">
    <w:panose1 w:val="020B0604020202020204"/>
  </w:font>
  <w:font w:name="Calibri">
    <w:panose1 w:val="020F0502020204030204"/>
  </w:font>
  <w:font w:name="Cambria">
    <w:panose1 w:val="020408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98"/>
      <w:rPr>
        <w:rStyle w:val="899"/>
      </w:rPr>
      <w:framePr w:wrap="around" w:vAnchor="text" w:hAnchor="margin" w:xAlign="right" w:y="1"/>
    </w:pPr>
    <w:r>
      <w:rPr>
        <w:rStyle w:val="899"/>
      </w:rPr>
      <w:fldChar w:fldCharType="begin"/>
    </w:r>
    <w:r>
      <w:rPr>
        <w:rStyle w:val="899"/>
      </w:rPr>
      <w:instrText xml:space="preserve">PAGE  </w:instrText>
    </w:r>
    <w:r>
      <w:rPr>
        <w:rStyle w:val="899"/>
      </w:rPr>
      <w:fldChar w:fldCharType="separate"/>
    </w:r>
    <w:r>
      <w:rPr>
        <w:rStyle w:val="899"/>
      </w:rPr>
      <w:t xml:space="preserve">9</w:t>
    </w:r>
    <w:r>
      <w:rPr>
        <w:rStyle w:val="899"/>
      </w:rPr>
      <w:fldChar w:fldCharType="end"/>
    </w:r>
    <w:r>
      <w:rPr>
        <w:rStyle w:val="899"/>
      </w:rPr>
    </w:r>
    <w:r>
      <w:rPr>
        <w:rStyle w:val="899"/>
      </w:rPr>
    </w:r>
  </w:p>
  <w:p>
    <w:pPr>
      <w:pStyle w:val="898"/>
      <w:ind w:right="360"/>
    </w:pPr>
    <w:r/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98"/>
      <w:rPr>
        <w:rStyle w:val="899"/>
      </w:rPr>
      <w:framePr w:wrap="around" w:vAnchor="text" w:hAnchor="margin" w:xAlign="right" w:y="1"/>
    </w:pPr>
    <w:r>
      <w:rPr>
        <w:rStyle w:val="899"/>
      </w:rPr>
      <w:fldChar w:fldCharType="begin"/>
    </w:r>
    <w:r>
      <w:rPr>
        <w:rStyle w:val="899"/>
      </w:rPr>
      <w:instrText xml:space="preserve">PAGE  </w:instrText>
    </w:r>
    <w:r>
      <w:rPr>
        <w:rStyle w:val="899"/>
      </w:rPr>
      <w:fldChar w:fldCharType="end"/>
    </w:r>
    <w:r>
      <w:rPr>
        <w:rStyle w:val="899"/>
      </w:rPr>
    </w:r>
    <w:r>
      <w:rPr>
        <w:rStyle w:val="899"/>
      </w:rPr>
    </w:r>
  </w:p>
  <w:p>
    <w:pPr>
      <w:pStyle w:val="898"/>
      <w:ind w:right="360"/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1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2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3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4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5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6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7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ru-RU" w:eastAsia="zh-CN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708">
    <w:name w:val="Heading 1"/>
    <w:basedOn w:val="886"/>
    <w:next w:val="886"/>
    <w:link w:val="709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709">
    <w:name w:val="Heading 1 Char"/>
    <w:link w:val="708"/>
    <w:uiPriority w:val="9"/>
    <w:rPr>
      <w:rFonts w:ascii="Arial" w:hAnsi="Arial" w:eastAsia="Arial" w:cs="Arial"/>
      <w:sz w:val="40"/>
      <w:szCs w:val="40"/>
    </w:rPr>
  </w:style>
  <w:style w:type="paragraph" w:styleId="710">
    <w:name w:val="Heading 2"/>
    <w:basedOn w:val="886"/>
    <w:next w:val="886"/>
    <w:link w:val="711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711">
    <w:name w:val="Heading 2 Char"/>
    <w:link w:val="710"/>
    <w:uiPriority w:val="9"/>
    <w:rPr>
      <w:rFonts w:ascii="Arial" w:hAnsi="Arial" w:eastAsia="Arial" w:cs="Arial"/>
      <w:sz w:val="34"/>
    </w:rPr>
  </w:style>
  <w:style w:type="paragraph" w:styleId="712">
    <w:name w:val="Heading 3"/>
    <w:basedOn w:val="886"/>
    <w:next w:val="886"/>
    <w:link w:val="713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713">
    <w:name w:val="Heading 3 Char"/>
    <w:link w:val="712"/>
    <w:uiPriority w:val="9"/>
    <w:rPr>
      <w:rFonts w:ascii="Arial" w:hAnsi="Arial" w:eastAsia="Arial" w:cs="Arial"/>
      <w:sz w:val="30"/>
      <w:szCs w:val="30"/>
    </w:rPr>
  </w:style>
  <w:style w:type="paragraph" w:styleId="714">
    <w:name w:val="Heading 4"/>
    <w:basedOn w:val="886"/>
    <w:next w:val="886"/>
    <w:link w:val="715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715">
    <w:name w:val="Heading 4 Char"/>
    <w:link w:val="714"/>
    <w:uiPriority w:val="9"/>
    <w:rPr>
      <w:rFonts w:ascii="Arial" w:hAnsi="Arial" w:eastAsia="Arial" w:cs="Arial"/>
      <w:b/>
      <w:bCs/>
      <w:sz w:val="26"/>
      <w:szCs w:val="26"/>
    </w:rPr>
  </w:style>
  <w:style w:type="paragraph" w:styleId="716">
    <w:name w:val="Heading 5"/>
    <w:basedOn w:val="886"/>
    <w:next w:val="886"/>
    <w:link w:val="717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717">
    <w:name w:val="Heading 5 Char"/>
    <w:link w:val="716"/>
    <w:uiPriority w:val="9"/>
    <w:rPr>
      <w:rFonts w:ascii="Arial" w:hAnsi="Arial" w:eastAsia="Arial" w:cs="Arial"/>
      <w:b/>
      <w:bCs/>
      <w:sz w:val="24"/>
      <w:szCs w:val="24"/>
    </w:rPr>
  </w:style>
  <w:style w:type="paragraph" w:styleId="718">
    <w:name w:val="Heading 6"/>
    <w:basedOn w:val="886"/>
    <w:next w:val="886"/>
    <w:link w:val="719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719">
    <w:name w:val="Heading 6 Char"/>
    <w:link w:val="718"/>
    <w:uiPriority w:val="9"/>
    <w:rPr>
      <w:rFonts w:ascii="Arial" w:hAnsi="Arial" w:eastAsia="Arial" w:cs="Arial"/>
      <w:b/>
      <w:bCs/>
      <w:sz w:val="22"/>
      <w:szCs w:val="22"/>
    </w:rPr>
  </w:style>
  <w:style w:type="paragraph" w:styleId="720">
    <w:name w:val="Heading 7"/>
    <w:basedOn w:val="886"/>
    <w:next w:val="886"/>
    <w:link w:val="721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721">
    <w:name w:val="Heading 7 Char"/>
    <w:link w:val="720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722">
    <w:name w:val="Heading 8"/>
    <w:basedOn w:val="886"/>
    <w:next w:val="886"/>
    <w:link w:val="723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723">
    <w:name w:val="Heading 8 Char"/>
    <w:link w:val="722"/>
    <w:uiPriority w:val="9"/>
    <w:rPr>
      <w:rFonts w:ascii="Arial" w:hAnsi="Arial" w:eastAsia="Arial" w:cs="Arial"/>
      <w:i/>
      <w:iCs/>
      <w:sz w:val="22"/>
      <w:szCs w:val="22"/>
    </w:rPr>
  </w:style>
  <w:style w:type="paragraph" w:styleId="724">
    <w:name w:val="Heading 9"/>
    <w:basedOn w:val="886"/>
    <w:next w:val="886"/>
    <w:link w:val="725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725">
    <w:name w:val="Heading 9 Char"/>
    <w:link w:val="724"/>
    <w:uiPriority w:val="9"/>
    <w:rPr>
      <w:rFonts w:ascii="Arial" w:hAnsi="Arial" w:eastAsia="Arial" w:cs="Arial"/>
      <w:i/>
      <w:iCs/>
      <w:sz w:val="21"/>
      <w:szCs w:val="21"/>
    </w:rPr>
  </w:style>
  <w:style w:type="paragraph" w:styleId="726">
    <w:name w:val="List Paragraph"/>
    <w:basedOn w:val="886"/>
    <w:uiPriority w:val="34"/>
    <w:qFormat/>
    <w:pPr>
      <w:contextualSpacing/>
      <w:ind w:left="720"/>
    </w:pPr>
  </w:style>
  <w:style w:type="paragraph" w:styleId="727">
    <w:name w:val="No Spacing"/>
    <w:uiPriority w:val="1"/>
    <w:qFormat/>
    <w:pPr>
      <w:spacing w:before="0" w:after="0" w:line="240" w:lineRule="auto"/>
    </w:pPr>
  </w:style>
  <w:style w:type="paragraph" w:styleId="728">
    <w:name w:val="Title"/>
    <w:basedOn w:val="886"/>
    <w:next w:val="886"/>
    <w:link w:val="729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729">
    <w:name w:val="Title Char"/>
    <w:link w:val="728"/>
    <w:uiPriority w:val="10"/>
    <w:rPr>
      <w:sz w:val="48"/>
      <w:szCs w:val="48"/>
    </w:rPr>
  </w:style>
  <w:style w:type="paragraph" w:styleId="730">
    <w:name w:val="Subtitle"/>
    <w:basedOn w:val="886"/>
    <w:next w:val="886"/>
    <w:link w:val="731"/>
    <w:uiPriority w:val="11"/>
    <w:qFormat/>
    <w:pPr>
      <w:spacing w:before="200" w:after="200"/>
    </w:pPr>
    <w:rPr>
      <w:sz w:val="24"/>
      <w:szCs w:val="24"/>
    </w:rPr>
  </w:style>
  <w:style w:type="character" w:styleId="731">
    <w:name w:val="Subtitle Char"/>
    <w:link w:val="730"/>
    <w:uiPriority w:val="11"/>
    <w:rPr>
      <w:sz w:val="24"/>
      <w:szCs w:val="24"/>
    </w:rPr>
  </w:style>
  <w:style w:type="paragraph" w:styleId="732">
    <w:name w:val="Quote"/>
    <w:basedOn w:val="886"/>
    <w:next w:val="886"/>
    <w:link w:val="733"/>
    <w:uiPriority w:val="29"/>
    <w:qFormat/>
    <w:pPr>
      <w:ind w:left="720" w:right="720"/>
    </w:pPr>
    <w:rPr>
      <w:i/>
    </w:rPr>
  </w:style>
  <w:style w:type="character" w:styleId="733">
    <w:name w:val="Quote Char"/>
    <w:link w:val="732"/>
    <w:uiPriority w:val="29"/>
    <w:rPr>
      <w:i/>
    </w:rPr>
  </w:style>
  <w:style w:type="paragraph" w:styleId="734">
    <w:name w:val="Intense Quote"/>
    <w:basedOn w:val="886"/>
    <w:next w:val="886"/>
    <w:link w:val="735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35">
    <w:name w:val="Intense Quote Char"/>
    <w:link w:val="734"/>
    <w:uiPriority w:val="30"/>
    <w:rPr>
      <w:i/>
    </w:rPr>
  </w:style>
  <w:style w:type="paragraph" w:styleId="736">
    <w:name w:val="Header"/>
    <w:basedOn w:val="886"/>
    <w:link w:val="73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37">
    <w:name w:val="Header Char"/>
    <w:link w:val="736"/>
    <w:uiPriority w:val="99"/>
  </w:style>
  <w:style w:type="paragraph" w:styleId="738">
    <w:name w:val="Footer"/>
    <w:basedOn w:val="886"/>
    <w:link w:val="739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39">
    <w:name w:val="Footer Char"/>
    <w:link w:val="738"/>
    <w:uiPriority w:val="99"/>
  </w:style>
  <w:style w:type="paragraph" w:styleId="740">
    <w:name w:val="Caption"/>
    <w:basedOn w:val="886"/>
    <w:next w:val="886"/>
    <w:link w:val="741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741">
    <w:name w:val="Caption Char"/>
    <w:link w:val="740"/>
    <w:uiPriority w:val="35"/>
    <w:rPr>
      <w:b/>
      <w:bCs/>
      <w:color w:val="4f81bd" w:themeColor="accent1"/>
      <w:sz w:val="18"/>
      <w:szCs w:val="18"/>
    </w:rPr>
  </w:style>
  <w:style w:type="table" w:styleId="742">
    <w:name w:val="Table Grid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43">
    <w:name w:val="Table Grid Light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44">
    <w:name w:val="Plain Table 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45">
    <w:name w:val="Plain Table 2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46">
    <w:name w:val="Plain Table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47">
    <w:name w:val="Plain Table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>
    <w:name w:val="Plain Table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49">
    <w:name w:val="Grid Table 1 Light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>
    <w:name w:val="Grid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1">
    <w:name w:val="Grid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2">
    <w:name w:val="Grid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3">
    <w:name w:val="Grid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4">
    <w:name w:val="Grid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5">
    <w:name w:val="Grid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6">
    <w:name w:val="Grid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>
    <w:name w:val="Grid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>
    <w:name w:val="Grid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9">
    <w:name w:val="Grid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0">
    <w:name w:val="Grid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1">
    <w:name w:val="Grid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2">
    <w:name w:val="Grid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3">
    <w:name w:val="Grid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4">
    <w:name w:val="Grid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5">
    <w:name w:val="Grid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6">
    <w:name w:val="Grid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7">
    <w:name w:val="Grid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8">
    <w:name w:val="Grid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9">
    <w:name w:val="Grid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70">
    <w:name w:val="Grid Table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1">
    <w:name w:val="Grid Table 4 - Accent 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2">
    <w:name w:val="Grid Table 4 - Accent 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73">
    <w:name w:val="Grid Table 4 - Accent 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74">
    <w:name w:val="Grid Table 4 - Accent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75">
    <w:name w:val="Grid Table 4 - Accent 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76">
    <w:name w:val="Grid Table 4 - Accent 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777">
    <w:name w:val="Grid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778">
    <w:name w:val="Grid Table 5 Dark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779">
    <w:name w:val="Grid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780">
    <w:name w:val="Grid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781">
    <w:name w:val="Grid Table 5 Dark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782">
    <w:name w:val="Grid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783">
    <w:name w:val="Grid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784">
    <w:name w:val="Grid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785">
    <w:name w:val="Grid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786">
    <w:name w:val="Grid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787">
    <w:name w:val="Grid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788">
    <w:name w:val="Grid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789">
    <w:name w:val="Grid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90">
    <w:name w:val="Grid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91">
    <w:name w:val="Grid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2">
    <w:name w:val="Grid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3">
    <w:name w:val="Grid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4">
    <w:name w:val="Grid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5">
    <w:name w:val="Grid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6">
    <w:name w:val="Grid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7">
    <w:name w:val="Grid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8">
    <w:name w:val="List Table 1 Light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9">
    <w:name w:val="List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0">
    <w:name w:val="List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1">
    <w:name w:val="List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2">
    <w:name w:val="List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3">
    <w:name w:val="List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4">
    <w:name w:val="List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5">
    <w:name w:val="List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806">
    <w:name w:val="List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807">
    <w:name w:val="List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808">
    <w:name w:val="List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809">
    <w:name w:val="List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810">
    <w:name w:val="List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811">
    <w:name w:val="List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812">
    <w:name w:val="List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3">
    <w:name w:val="List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4">
    <w:name w:val="List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5">
    <w:name w:val="List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6">
    <w:name w:val="List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7">
    <w:name w:val="List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8">
    <w:name w:val="List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9">
    <w:name w:val="List Table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0">
    <w:name w:val="List Table 4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1">
    <w:name w:val="List Table 4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2">
    <w:name w:val="List Table 4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3">
    <w:name w:val="List Table 4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4">
    <w:name w:val="List Table 4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5">
    <w:name w:val="List Table 4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6">
    <w:name w:val="List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27">
    <w:name w:val="List Table 5 Dark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28">
    <w:name w:val="List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29">
    <w:name w:val="List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30">
    <w:name w:val="List Table 5 Dark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31">
    <w:name w:val="List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32">
    <w:name w:val="List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33">
    <w:name w:val="List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834">
    <w:name w:val="List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835">
    <w:name w:val="List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836">
    <w:name w:val="List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837">
    <w:name w:val="List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838">
    <w:name w:val="List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839">
    <w:name w:val="List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840">
    <w:name w:val="List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841">
    <w:name w:val="List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842">
    <w:name w:val="List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843">
    <w:name w:val="List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844">
    <w:name w:val="List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845">
    <w:name w:val="List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846">
    <w:name w:val="List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847">
    <w:name w:val="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48">
    <w:name w:val="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49">
    <w:name w:val="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50">
    <w:name w:val="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51">
    <w:name w:val="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52">
    <w:name w:val="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53">
    <w:name w:val="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54">
    <w:name w:val="Bordered &amp; 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55">
    <w:name w:val="Bordered &amp; 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56">
    <w:name w:val="Bordered &amp; 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57">
    <w:name w:val="Bordered &amp; 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58">
    <w:name w:val="Bordered &amp; 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59">
    <w:name w:val="Bordered &amp; 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60">
    <w:name w:val="Bordered &amp; 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61">
    <w:name w:val="Bordered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862">
    <w:name w:val="Bordered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863">
    <w:name w:val="Bordered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864">
    <w:name w:val="Bordered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865">
    <w:name w:val="Bordered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866">
    <w:name w:val="Bordered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867">
    <w:name w:val="Bordered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868">
    <w:name w:val="Hyperlink"/>
    <w:uiPriority w:val="99"/>
    <w:unhideWhenUsed/>
    <w:rPr>
      <w:color w:val="0000ff" w:themeColor="hyperlink"/>
      <w:u w:val="single"/>
    </w:rPr>
  </w:style>
  <w:style w:type="paragraph" w:styleId="869">
    <w:name w:val="footnote text"/>
    <w:basedOn w:val="886"/>
    <w:link w:val="870"/>
    <w:uiPriority w:val="99"/>
    <w:semiHidden/>
    <w:unhideWhenUsed/>
    <w:pPr>
      <w:spacing w:after="40" w:line="240" w:lineRule="auto"/>
    </w:pPr>
    <w:rPr>
      <w:sz w:val="18"/>
    </w:rPr>
  </w:style>
  <w:style w:type="character" w:styleId="870">
    <w:name w:val="Footnote Text Char"/>
    <w:link w:val="869"/>
    <w:uiPriority w:val="99"/>
    <w:rPr>
      <w:sz w:val="18"/>
    </w:rPr>
  </w:style>
  <w:style w:type="character" w:styleId="871">
    <w:name w:val="footnote reference"/>
    <w:uiPriority w:val="99"/>
    <w:unhideWhenUsed/>
    <w:rPr>
      <w:vertAlign w:val="superscript"/>
    </w:rPr>
  </w:style>
  <w:style w:type="paragraph" w:styleId="872">
    <w:name w:val="endnote text"/>
    <w:basedOn w:val="886"/>
    <w:link w:val="873"/>
    <w:uiPriority w:val="99"/>
    <w:semiHidden/>
    <w:unhideWhenUsed/>
    <w:pPr>
      <w:spacing w:after="0" w:line="240" w:lineRule="auto"/>
    </w:pPr>
    <w:rPr>
      <w:sz w:val="20"/>
    </w:rPr>
  </w:style>
  <w:style w:type="character" w:styleId="873">
    <w:name w:val="Endnote Text Char"/>
    <w:link w:val="872"/>
    <w:uiPriority w:val="99"/>
    <w:rPr>
      <w:sz w:val="20"/>
    </w:rPr>
  </w:style>
  <w:style w:type="character" w:styleId="874">
    <w:name w:val="endnote reference"/>
    <w:uiPriority w:val="99"/>
    <w:semiHidden/>
    <w:unhideWhenUsed/>
    <w:rPr>
      <w:vertAlign w:val="superscript"/>
    </w:rPr>
  </w:style>
  <w:style w:type="paragraph" w:styleId="875">
    <w:name w:val="toc 1"/>
    <w:basedOn w:val="886"/>
    <w:next w:val="886"/>
    <w:uiPriority w:val="39"/>
    <w:unhideWhenUsed/>
    <w:pPr>
      <w:ind w:left="0" w:right="0" w:firstLine="0"/>
      <w:spacing w:after="57"/>
    </w:pPr>
  </w:style>
  <w:style w:type="paragraph" w:styleId="876">
    <w:name w:val="toc 2"/>
    <w:basedOn w:val="886"/>
    <w:next w:val="886"/>
    <w:uiPriority w:val="39"/>
    <w:unhideWhenUsed/>
    <w:pPr>
      <w:ind w:left="283" w:right="0" w:firstLine="0"/>
      <w:spacing w:after="57"/>
    </w:pPr>
  </w:style>
  <w:style w:type="paragraph" w:styleId="877">
    <w:name w:val="toc 3"/>
    <w:basedOn w:val="886"/>
    <w:next w:val="886"/>
    <w:uiPriority w:val="39"/>
    <w:unhideWhenUsed/>
    <w:pPr>
      <w:ind w:left="567" w:right="0" w:firstLine="0"/>
      <w:spacing w:after="57"/>
    </w:pPr>
  </w:style>
  <w:style w:type="paragraph" w:styleId="878">
    <w:name w:val="toc 4"/>
    <w:basedOn w:val="886"/>
    <w:next w:val="886"/>
    <w:uiPriority w:val="39"/>
    <w:unhideWhenUsed/>
    <w:pPr>
      <w:ind w:left="850" w:right="0" w:firstLine="0"/>
      <w:spacing w:after="57"/>
    </w:pPr>
  </w:style>
  <w:style w:type="paragraph" w:styleId="879">
    <w:name w:val="toc 5"/>
    <w:basedOn w:val="886"/>
    <w:next w:val="886"/>
    <w:uiPriority w:val="39"/>
    <w:unhideWhenUsed/>
    <w:pPr>
      <w:ind w:left="1134" w:right="0" w:firstLine="0"/>
      <w:spacing w:after="57"/>
    </w:pPr>
  </w:style>
  <w:style w:type="paragraph" w:styleId="880">
    <w:name w:val="toc 6"/>
    <w:basedOn w:val="886"/>
    <w:next w:val="886"/>
    <w:uiPriority w:val="39"/>
    <w:unhideWhenUsed/>
    <w:pPr>
      <w:ind w:left="1417" w:right="0" w:firstLine="0"/>
      <w:spacing w:after="57"/>
    </w:pPr>
  </w:style>
  <w:style w:type="paragraph" w:styleId="881">
    <w:name w:val="toc 7"/>
    <w:basedOn w:val="886"/>
    <w:next w:val="886"/>
    <w:uiPriority w:val="39"/>
    <w:unhideWhenUsed/>
    <w:pPr>
      <w:ind w:left="1701" w:right="0" w:firstLine="0"/>
      <w:spacing w:after="57"/>
    </w:pPr>
  </w:style>
  <w:style w:type="paragraph" w:styleId="882">
    <w:name w:val="toc 8"/>
    <w:basedOn w:val="886"/>
    <w:next w:val="886"/>
    <w:uiPriority w:val="39"/>
    <w:unhideWhenUsed/>
    <w:pPr>
      <w:ind w:left="1984" w:right="0" w:firstLine="0"/>
      <w:spacing w:after="57"/>
    </w:pPr>
  </w:style>
  <w:style w:type="paragraph" w:styleId="883">
    <w:name w:val="toc 9"/>
    <w:basedOn w:val="886"/>
    <w:next w:val="886"/>
    <w:uiPriority w:val="39"/>
    <w:unhideWhenUsed/>
    <w:pPr>
      <w:ind w:left="2268" w:right="0" w:firstLine="0"/>
      <w:spacing w:after="57"/>
    </w:pPr>
  </w:style>
  <w:style w:type="paragraph" w:styleId="884">
    <w:name w:val="TOC Heading"/>
    <w:uiPriority w:val="39"/>
    <w:unhideWhenUsed/>
  </w:style>
  <w:style w:type="paragraph" w:styleId="885">
    <w:name w:val="table of figures"/>
    <w:basedOn w:val="886"/>
    <w:next w:val="886"/>
    <w:uiPriority w:val="99"/>
    <w:unhideWhenUsed/>
    <w:pPr>
      <w:spacing w:after="0" w:afterAutospacing="0"/>
    </w:pPr>
  </w:style>
  <w:style w:type="paragraph" w:styleId="886" w:default="1">
    <w:name w:val="Normal"/>
    <w:next w:val="886"/>
    <w:link w:val="886"/>
    <w:qFormat/>
    <w:rPr>
      <w:sz w:val="24"/>
      <w:szCs w:val="24"/>
      <w:lang w:val="ru-RU" w:eastAsia="ru-RU" w:bidi="ar-SA"/>
    </w:rPr>
  </w:style>
  <w:style w:type="character" w:styleId="887">
    <w:name w:val="Основной шрифт абзаца"/>
    <w:next w:val="887"/>
    <w:link w:val="886"/>
    <w:uiPriority w:val="1"/>
    <w:unhideWhenUsed/>
  </w:style>
  <w:style w:type="table" w:styleId="888">
    <w:name w:val="Обычная таблица"/>
    <w:next w:val="888"/>
    <w:link w:val="886"/>
    <w:uiPriority w:val="99"/>
    <w:semiHidden/>
    <w:unhideWhenUsed/>
    <w:tblPr/>
  </w:style>
  <w:style w:type="numbering" w:styleId="889">
    <w:name w:val="Нет списка"/>
    <w:next w:val="889"/>
    <w:link w:val="886"/>
    <w:uiPriority w:val="99"/>
    <w:semiHidden/>
    <w:unhideWhenUsed/>
  </w:style>
  <w:style w:type="paragraph" w:styleId="890">
    <w:name w:val="Основной текст 2"/>
    <w:basedOn w:val="886"/>
    <w:next w:val="890"/>
    <w:link w:val="886"/>
    <w:pPr>
      <w:jc w:val="both"/>
      <w:spacing w:before="60" w:after="60"/>
      <w:widowControl w:val="off"/>
      <w:tabs>
        <w:tab w:val="left" w:pos="4820" w:leader="none"/>
        <w:tab w:val="left" w:pos="5670" w:leader="none"/>
      </w:tabs>
    </w:pPr>
    <w:rPr>
      <w:sz w:val="28"/>
      <w:szCs w:val="20"/>
    </w:rPr>
  </w:style>
  <w:style w:type="paragraph" w:styleId="891">
    <w:name w:val="caaieiaie 3"/>
    <w:basedOn w:val="886"/>
    <w:next w:val="886"/>
    <w:link w:val="886"/>
    <w:pPr>
      <w:jc w:val="center"/>
      <w:keepNext/>
      <w:tabs>
        <w:tab w:val="left" w:pos="-3686" w:leader="none"/>
      </w:tabs>
    </w:pPr>
    <w:rPr>
      <w:b/>
      <w:sz w:val="28"/>
      <w:szCs w:val="20"/>
    </w:rPr>
  </w:style>
  <w:style w:type="paragraph" w:styleId="892">
    <w:name w:val="Таблицы (моноширинный)"/>
    <w:basedOn w:val="886"/>
    <w:next w:val="886"/>
    <w:link w:val="886"/>
    <w:pPr>
      <w:jc w:val="both"/>
      <w:widowControl w:val="off"/>
    </w:pPr>
    <w:rPr>
      <w:rFonts w:ascii="Courier New" w:hAnsi="Courier New" w:cs="Courier New"/>
      <w:sz w:val="20"/>
      <w:szCs w:val="20"/>
    </w:rPr>
  </w:style>
  <w:style w:type="character" w:styleId="893">
    <w:name w:val="Знак сноски"/>
    <w:next w:val="893"/>
    <w:link w:val="886"/>
    <w:semiHidden/>
    <w:rPr>
      <w:vertAlign w:val="superscript"/>
    </w:rPr>
  </w:style>
  <w:style w:type="paragraph" w:styleId="894">
    <w:name w:val="Основной текст с отступом 3"/>
    <w:basedOn w:val="886"/>
    <w:next w:val="894"/>
    <w:link w:val="886"/>
    <w:pPr>
      <w:ind w:firstLine="709"/>
      <w:jc w:val="both"/>
    </w:pPr>
    <w:rPr>
      <w:sz w:val="28"/>
    </w:rPr>
  </w:style>
  <w:style w:type="paragraph" w:styleId="895">
    <w:name w:val="Текст сноски"/>
    <w:basedOn w:val="886"/>
    <w:next w:val="895"/>
    <w:link w:val="886"/>
    <w:semiHidden/>
    <w:rPr>
      <w:sz w:val="20"/>
      <w:szCs w:val="20"/>
    </w:rPr>
  </w:style>
  <w:style w:type="paragraph" w:styleId="896">
    <w:name w:val="oaeno niinee"/>
    <w:basedOn w:val="886"/>
    <w:next w:val="896"/>
    <w:link w:val="886"/>
    <w:rPr>
      <w:sz w:val="20"/>
      <w:szCs w:val="20"/>
    </w:rPr>
  </w:style>
  <w:style w:type="paragraph" w:styleId="897">
    <w:name w:val="Текст выноски"/>
    <w:basedOn w:val="886"/>
    <w:next w:val="897"/>
    <w:link w:val="886"/>
    <w:semiHidden/>
    <w:rPr>
      <w:rFonts w:ascii="Tahoma" w:hAnsi="Tahoma" w:cs="Tahoma"/>
      <w:sz w:val="16"/>
      <w:szCs w:val="16"/>
    </w:rPr>
  </w:style>
  <w:style w:type="paragraph" w:styleId="898">
    <w:name w:val="Верхний колонтитул"/>
    <w:basedOn w:val="886"/>
    <w:next w:val="898"/>
    <w:link w:val="886"/>
    <w:pPr>
      <w:tabs>
        <w:tab w:val="center" w:pos="4677" w:leader="none"/>
        <w:tab w:val="right" w:pos="9355" w:leader="none"/>
      </w:tabs>
    </w:pPr>
  </w:style>
  <w:style w:type="character" w:styleId="899">
    <w:name w:val="Номер страницы"/>
    <w:basedOn w:val="887"/>
    <w:next w:val="899"/>
    <w:link w:val="886"/>
  </w:style>
  <w:style w:type="character" w:styleId="900" w:default="1">
    <w:name w:val="Default Paragraph Font"/>
    <w:uiPriority w:val="1"/>
    <w:semiHidden/>
    <w:unhideWhenUsed/>
  </w:style>
  <w:style w:type="numbering" w:styleId="901" w:default="1">
    <w:name w:val="No List"/>
    <w:uiPriority w:val="99"/>
    <w:semiHidden/>
    <w:unhideWhenUsed/>
  </w:style>
  <w:style w:type="table" w:styleId="902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Р7-Офис/2024.4.1.630</Application>
  <Company>mrg</Company>
  <DocSecurity>0</DocSecurity>
  <HyperlinksChanged>false</HyperlinksChanged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Кунаева Маргарита Викторовна</dc:creator>
  <cp:lastModifiedBy>belyanina_tyu</cp:lastModifiedBy>
  <cp:revision>24</cp:revision>
  <dcterms:created xsi:type="dcterms:W3CDTF">2025-06-19T14:46:00Z</dcterms:created>
  <dcterms:modified xsi:type="dcterms:W3CDTF">2025-07-03T11:45:52Z</dcterms:modified>
  <cp:version>1048576</cp:version>
</cp:coreProperties>
</file>