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912" w:rsidRDefault="00233C6E">
      <w:pPr>
        <w:spacing w:after="0" w:line="240" w:lineRule="auto"/>
        <w:jc w:val="center"/>
        <w:rPr>
          <w:rFonts w:ascii="Times New Roman Bold"/>
          <w:lang w:val="ru-RU"/>
        </w:rPr>
      </w:pPr>
      <w:r>
        <w:rPr>
          <w:rFonts w:ascii="Times New Roman Bold"/>
          <w:noProof/>
          <w:lang w:val="ru-RU" w:eastAsia="ru-RU"/>
        </w:rPr>
        <w:drawing>
          <wp:inline distT="0" distB="0" distL="0" distR="0" wp14:anchorId="28CB17D8" wp14:editId="125E8EE4">
            <wp:extent cx="817647" cy="1173490"/>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8">
                      <a:extLst/>
                    </a:blip>
                    <a:srcRect l="14469" t="10052" r="9404" b="11587"/>
                    <a:stretch>
                      <a:fillRect/>
                    </a:stretch>
                  </pic:blipFill>
                  <pic:spPr>
                    <a:xfrm>
                      <a:off x="0" y="0"/>
                      <a:ext cx="817647" cy="1173490"/>
                    </a:xfrm>
                    <a:prstGeom prst="rect">
                      <a:avLst/>
                    </a:prstGeom>
                    <a:ln w="12700" cap="flat">
                      <a:noFill/>
                      <a:miter lim="400000"/>
                    </a:ln>
                    <a:effectLst/>
                  </pic:spPr>
                </pic:pic>
              </a:graphicData>
            </a:graphic>
          </wp:inline>
        </w:drawing>
      </w:r>
    </w:p>
    <w:p w:rsidR="003D3912" w:rsidRDefault="003D3912">
      <w:pPr>
        <w:spacing w:after="0" w:line="240" w:lineRule="auto"/>
        <w:jc w:val="center"/>
        <w:rPr>
          <w:rFonts w:ascii="Times New Roman Bold"/>
        </w:rPr>
      </w:pPr>
    </w:p>
    <w:p w:rsidR="003D3912" w:rsidRPr="004C2998" w:rsidRDefault="00EE3902">
      <w:pPr>
        <w:spacing w:after="0" w:line="240" w:lineRule="auto"/>
        <w:jc w:val="center"/>
        <w:rPr>
          <w:rFonts w:ascii="Times New Roman Bold" w:eastAsia="Times New Roman Bold" w:hAnsi="Times New Roman Bold" w:cs="Times New Roman Bold"/>
          <w:b/>
        </w:rPr>
      </w:pPr>
      <w:r>
        <w:rPr>
          <w:rFonts w:ascii="Times New Roman Bold"/>
          <w:b/>
        </w:rPr>
        <w:t xml:space="preserve">QIWI ANNOUNCES </w:t>
      </w:r>
      <w:r w:rsidR="00C16D8D">
        <w:rPr>
          <w:rFonts w:ascii="Times New Roman Bold"/>
          <w:b/>
        </w:rPr>
        <w:t>SECOND</w:t>
      </w:r>
      <w:r w:rsidR="005A0927" w:rsidRPr="00365F12">
        <w:rPr>
          <w:rFonts w:ascii="Times New Roman Bold"/>
          <w:b/>
        </w:rPr>
        <w:t xml:space="preserve"> </w:t>
      </w:r>
      <w:r w:rsidR="00233C6E" w:rsidRPr="004C2998">
        <w:rPr>
          <w:rFonts w:ascii="Times New Roman Bold"/>
          <w:b/>
        </w:rPr>
        <w:t>QUARTER</w:t>
      </w:r>
      <w:r w:rsidR="00C67352">
        <w:rPr>
          <w:rFonts w:ascii="Times New Roman Bold"/>
          <w:b/>
        </w:rPr>
        <w:t xml:space="preserve"> 2015</w:t>
      </w:r>
      <w:r w:rsidR="00233C6E" w:rsidRPr="004C2998">
        <w:rPr>
          <w:rFonts w:ascii="Times New Roman Bold"/>
          <w:b/>
        </w:rPr>
        <w:t xml:space="preserve"> RESULTS</w:t>
      </w:r>
    </w:p>
    <w:p w:rsidR="003D3912" w:rsidRDefault="003D3912">
      <w:pPr>
        <w:spacing w:after="0" w:line="240" w:lineRule="auto"/>
        <w:jc w:val="center"/>
        <w:rPr>
          <w:rFonts w:ascii="Times New Roman" w:eastAsia="Times New Roman" w:hAnsi="Times New Roman" w:cs="Times New Roman"/>
        </w:rPr>
      </w:pPr>
    </w:p>
    <w:p w:rsidR="00240EDF" w:rsidRDefault="00C16D8D" w:rsidP="00EE3902">
      <w:pPr>
        <w:spacing w:after="0" w:line="240" w:lineRule="auto"/>
        <w:jc w:val="center"/>
        <w:rPr>
          <w:rFonts w:ascii="Times New Roman" w:hAnsi="Times New Roman"/>
          <w:i/>
        </w:rPr>
      </w:pPr>
      <w:r>
        <w:rPr>
          <w:rFonts w:ascii="Times New Roman" w:hAnsi="Times New Roman"/>
          <w:i/>
        </w:rPr>
        <w:t>Second</w:t>
      </w:r>
      <w:r w:rsidR="00240EDF">
        <w:rPr>
          <w:rFonts w:ascii="Times New Roman" w:hAnsi="Times New Roman"/>
          <w:i/>
        </w:rPr>
        <w:t>-</w:t>
      </w:r>
      <w:r w:rsidR="004B6F75">
        <w:rPr>
          <w:rFonts w:ascii="Times New Roman" w:hAnsi="Times New Roman"/>
          <w:i/>
        </w:rPr>
        <w:t xml:space="preserve">Quarter Total </w:t>
      </w:r>
      <w:r w:rsidR="00EE3902">
        <w:rPr>
          <w:rFonts w:ascii="Times New Roman" w:hAnsi="Times New Roman"/>
          <w:i/>
        </w:rPr>
        <w:t>A</w:t>
      </w:r>
      <w:r>
        <w:rPr>
          <w:rFonts w:ascii="Times New Roman" w:hAnsi="Times New Roman"/>
          <w:i/>
        </w:rPr>
        <w:t>djusted Net Revenue Increases 20% to RUB 2,5</w:t>
      </w:r>
      <w:r w:rsidR="009F17AF" w:rsidRPr="009E610D">
        <w:rPr>
          <w:rFonts w:ascii="Times New Roman" w:hAnsi="Times New Roman"/>
          <w:i/>
        </w:rPr>
        <w:t>25</w:t>
      </w:r>
      <w:r w:rsidR="00240EDF">
        <w:rPr>
          <w:rFonts w:ascii="Times New Roman" w:hAnsi="Times New Roman"/>
          <w:i/>
        </w:rPr>
        <w:t xml:space="preserve"> Million</w:t>
      </w:r>
      <w:bookmarkStart w:id="0" w:name="_GoBack"/>
      <w:bookmarkEnd w:id="0"/>
    </w:p>
    <w:p w:rsidR="0064744A" w:rsidRDefault="004B6F75" w:rsidP="00C16D8D">
      <w:pPr>
        <w:spacing w:after="0" w:line="240" w:lineRule="auto"/>
        <w:jc w:val="center"/>
        <w:rPr>
          <w:rFonts w:ascii="Times New Roman" w:hAnsi="Times New Roman"/>
          <w:i/>
        </w:rPr>
      </w:pPr>
      <w:r w:rsidRPr="00B80D03">
        <w:rPr>
          <w:rFonts w:ascii="Times New Roman" w:hAnsi="Times New Roman"/>
          <w:i/>
        </w:rPr>
        <w:t xml:space="preserve">Adjusted Net </w:t>
      </w:r>
      <w:r>
        <w:rPr>
          <w:rFonts w:ascii="Times New Roman" w:hAnsi="Times New Roman"/>
          <w:i/>
        </w:rPr>
        <w:t>Profit</w:t>
      </w:r>
      <w:r w:rsidRPr="00B80D03">
        <w:rPr>
          <w:rFonts w:ascii="Times New Roman" w:hAnsi="Times New Roman"/>
          <w:i/>
        </w:rPr>
        <w:t xml:space="preserve"> Increase</w:t>
      </w:r>
      <w:r>
        <w:rPr>
          <w:rFonts w:ascii="Times New Roman" w:hAnsi="Times New Roman"/>
          <w:i/>
        </w:rPr>
        <w:t>s</w:t>
      </w:r>
      <w:r w:rsidRPr="00B80D03">
        <w:rPr>
          <w:rFonts w:ascii="Times New Roman" w:hAnsi="Times New Roman"/>
          <w:i/>
        </w:rPr>
        <w:t xml:space="preserve"> </w:t>
      </w:r>
      <w:r w:rsidR="009F17AF" w:rsidRPr="009E610D">
        <w:rPr>
          <w:rFonts w:ascii="Times New Roman" w:hAnsi="Times New Roman"/>
          <w:i/>
        </w:rPr>
        <w:t>9</w:t>
      </w:r>
      <w:r>
        <w:rPr>
          <w:rFonts w:ascii="Times New Roman" w:hAnsi="Times New Roman"/>
          <w:i/>
        </w:rPr>
        <w:t>%</w:t>
      </w:r>
      <w:r w:rsidRPr="00B80D03">
        <w:rPr>
          <w:rFonts w:ascii="Times New Roman" w:hAnsi="Times New Roman"/>
          <w:i/>
        </w:rPr>
        <w:t xml:space="preserve"> to </w:t>
      </w:r>
      <w:r>
        <w:rPr>
          <w:rFonts w:ascii="Times New Roman" w:hAnsi="Times New Roman"/>
          <w:i/>
        </w:rPr>
        <w:t xml:space="preserve">RUB </w:t>
      </w:r>
      <w:r w:rsidR="00C16D8D">
        <w:rPr>
          <w:rFonts w:ascii="Times New Roman" w:hAnsi="Times New Roman"/>
          <w:i/>
        </w:rPr>
        <w:t>1,03</w:t>
      </w:r>
      <w:r w:rsidR="009F17AF" w:rsidRPr="009E610D">
        <w:rPr>
          <w:rFonts w:ascii="Times New Roman" w:hAnsi="Times New Roman"/>
          <w:i/>
        </w:rPr>
        <w:t>3</w:t>
      </w:r>
      <w:r>
        <w:rPr>
          <w:rFonts w:ascii="Times New Roman" w:hAnsi="Times New Roman"/>
          <w:i/>
        </w:rPr>
        <w:t xml:space="preserve"> </w:t>
      </w:r>
      <w:r w:rsidRPr="00B80D03">
        <w:rPr>
          <w:rFonts w:ascii="Times New Roman" w:hAnsi="Times New Roman"/>
          <w:i/>
        </w:rPr>
        <w:t>Million</w:t>
      </w:r>
      <w:r w:rsidR="00EE3902">
        <w:rPr>
          <w:rFonts w:ascii="Times New Roman" w:hAnsi="Times New Roman"/>
          <w:i/>
        </w:rPr>
        <w:t xml:space="preserve"> or RUB </w:t>
      </w:r>
      <w:r w:rsidR="004A3821" w:rsidRPr="009E610D">
        <w:rPr>
          <w:rFonts w:ascii="Times New Roman" w:hAnsi="Times New Roman"/>
          <w:i/>
        </w:rPr>
        <w:t>18</w:t>
      </w:r>
      <w:r w:rsidRPr="009E610D">
        <w:rPr>
          <w:rFonts w:ascii="Times New Roman" w:hAnsi="Times New Roman"/>
          <w:i/>
        </w:rPr>
        <w:t>.</w:t>
      </w:r>
      <w:r w:rsidR="004A3821" w:rsidRPr="009E610D">
        <w:rPr>
          <w:rFonts w:ascii="Times New Roman" w:hAnsi="Times New Roman"/>
          <w:i/>
        </w:rPr>
        <w:t>40</w:t>
      </w:r>
      <w:r>
        <w:rPr>
          <w:rFonts w:ascii="Times New Roman" w:hAnsi="Times New Roman"/>
          <w:i/>
        </w:rPr>
        <w:t xml:space="preserve"> per diluted share</w:t>
      </w:r>
    </w:p>
    <w:p w:rsidR="007044BD" w:rsidRPr="007044BD" w:rsidRDefault="004B6F75" w:rsidP="004B6F75">
      <w:pPr>
        <w:spacing w:after="0" w:line="240" w:lineRule="auto"/>
        <w:jc w:val="center"/>
        <w:rPr>
          <w:rFonts w:ascii="Times New Roman"/>
          <w:i/>
          <w:iCs/>
        </w:rPr>
      </w:pPr>
      <w:r w:rsidRPr="004B6F75">
        <w:rPr>
          <w:rFonts w:ascii="Times New Roman"/>
          <w:i/>
          <w:iCs/>
        </w:rPr>
        <w:t xml:space="preserve"> </w:t>
      </w:r>
      <w:r w:rsidR="00EE3902" w:rsidRPr="0021609E">
        <w:rPr>
          <w:rFonts w:ascii="Times New Roman"/>
          <w:i/>
          <w:iCs/>
        </w:rPr>
        <w:t xml:space="preserve">QIWI </w:t>
      </w:r>
      <w:r w:rsidR="002478DF">
        <w:rPr>
          <w:rFonts w:ascii="Times New Roman"/>
          <w:i/>
          <w:iCs/>
        </w:rPr>
        <w:t>reviews</w:t>
      </w:r>
      <w:r w:rsidRPr="0021609E">
        <w:rPr>
          <w:rFonts w:ascii="Times New Roman"/>
          <w:i/>
          <w:iCs/>
        </w:rPr>
        <w:t xml:space="preserve"> 2015 Guidance</w:t>
      </w:r>
    </w:p>
    <w:p w:rsidR="003D3912" w:rsidRDefault="003D3912">
      <w:pPr>
        <w:spacing w:after="0" w:line="240" w:lineRule="auto"/>
        <w:jc w:val="both"/>
        <w:rPr>
          <w:rFonts w:ascii="Times New Roman" w:eastAsia="Times New Roman" w:hAnsi="Times New Roman" w:cs="Times New Roman"/>
        </w:rPr>
      </w:pPr>
    </w:p>
    <w:p w:rsidR="003D3912" w:rsidRDefault="004C532E">
      <w:pPr>
        <w:spacing w:after="0"/>
        <w:jc w:val="both"/>
        <w:rPr>
          <w:rFonts w:ascii="Times New Roman" w:eastAsia="Times New Roman" w:hAnsi="Times New Roman" w:cs="Times New Roman"/>
          <w:lang w:val="es-ES_tradnl"/>
        </w:rPr>
      </w:pPr>
      <w:r>
        <w:rPr>
          <w:rFonts w:ascii="Times New Roman"/>
        </w:rPr>
        <w:t xml:space="preserve">NICOSIA, CYPRUS - </w:t>
      </w:r>
      <w:r w:rsidR="00C16D8D">
        <w:rPr>
          <w:rFonts w:ascii="Times New Roman"/>
          <w:lang w:val="es-ES_tradnl"/>
        </w:rPr>
        <w:t>September</w:t>
      </w:r>
      <w:r w:rsidR="004B6F75">
        <w:rPr>
          <w:rFonts w:ascii="Times New Roman"/>
          <w:lang w:val="es-ES_tradnl"/>
        </w:rPr>
        <w:t xml:space="preserve"> </w:t>
      </w:r>
      <w:r w:rsidR="00BA4E6B" w:rsidRPr="00CB178C">
        <w:rPr>
          <w:rFonts w:ascii="Times New Roman"/>
        </w:rPr>
        <w:t>1</w:t>
      </w:r>
      <w:r w:rsidR="00233C6E">
        <w:rPr>
          <w:rFonts w:ascii="Times New Roman"/>
          <w:lang w:val="es-ES_tradnl"/>
        </w:rPr>
        <w:t>, 201</w:t>
      </w:r>
      <w:r w:rsidR="00855F08">
        <w:rPr>
          <w:rFonts w:ascii="Times New Roman"/>
          <w:lang w:val="es-ES_tradnl"/>
        </w:rPr>
        <w:t>5</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r w:rsidR="00233C6E">
        <w:rPr>
          <w:rFonts w:ascii="Times New Roman"/>
          <w:lang w:val="es-ES_tradnl"/>
        </w:rPr>
        <w:t>QIWI plc, (NASDAQ: QIWI)</w:t>
      </w:r>
      <w:r w:rsidR="00233C6E">
        <w:rPr>
          <w:rFonts w:ascii="Times New Roman"/>
        </w:rPr>
        <w:t xml:space="preserve"> (</w:t>
      </w:r>
      <w:r w:rsidR="00233C6E">
        <w:rPr>
          <w:rFonts w:hAnsi="Times New Roman"/>
        </w:rPr>
        <w:t>“</w:t>
      </w:r>
      <w:r w:rsidR="00233C6E">
        <w:rPr>
          <w:rFonts w:ascii="Times New Roman"/>
        </w:rPr>
        <w:t>QIWI</w:t>
      </w:r>
      <w:r w:rsidR="00233C6E">
        <w:rPr>
          <w:rFonts w:hAnsi="Times New Roman"/>
        </w:rPr>
        <w:t>”</w:t>
      </w:r>
      <w:r w:rsidR="00233C6E">
        <w:rPr>
          <w:rFonts w:ascii="Trebuchet MS"/>
        </w:rPr>
        <w:t xml:space="preserve"> </w:t>
      </w:r>
      <w:r w:rsidR="00233C6E">
        <w:rPr>
          <w:rFonts w:ascii="Times New Roman"/>
        </w:rPr>
        <w:t xml:space="preserve">or the </w:t>
      </w:r>
      <w:r w:rsidR="00233C6E">
        <w:rPr>
          <w:rFonts w:hAnsi="Times New Roman"/>
        </w:rPr>
        <w:t>“</w:t>
      </w:r>
      <w:r w:rsidR="00233C6E">
        <w:rPr>
          <w:rFonts w:ascii="Times New Roman"/>
        </w:rPr>
        <w:t>Company</w:t>
      </w:r>
      <w:r w:rsidR="00233C6E">
        <w:rPr>
          <w:rFonts w:hAnsi="Times New Roman"/>
        </w:rPr>
        <w:t>”</w:t>
      </w:r>
      <w:r w:rsidR="00233C6E">
        <w:rPr>
          <w:rFonts w:ascii="Times New Roman"/>
        </w:rPr>
        <w:t xml:space="preserve">) today announced results </w:t>
      </w:r>
      <w:r w:rsidR="004B6F75" w:rsidRPr="00287E62">
        <w:rPr>
          <w:rFonts w:ascii="Times New Roman" w:hAnsi="Times New Roman"/>
        </w:rPr>
        <w:t xml:space="preserve">for the </w:t>
      </w:r>
      <w:r w:rsidR="007E7080">
        <w:rPr>
          <w:rFonts w:ascii="Times New Roman" w:hAnsi="Times New Roman"/>
        </w:rPr>
        <w:t>second quarter</w:t>
      </w:r>
      <w:r w:rsidR="00C16D8D">
        <w:rPr>
          <w:rFonts w:ascii="Times New Roman" w:hAnsi="Times New Roman"/>
        </w:rPr>
        <w:t xml:space="preserve"> ended June 30</w:t>
      </w:r>
      <w:r w:rsidR="00EE3902">
        <w:rPr>
          <w:rFonts w:ascii="Times New Roman" w:hAnsi="Times New Roman"/>
        </w:rPr>
        <w:t>, 2015</w:t>
      </w:r>
      <w:r w:rsidR="00233C6E">
        <w:rPr>
          <w:rFonts w:ascii="Times New Roman"/>
        </w:rPr>
        <w:t>.</w:t>
      </w:r>
    </w:p>
    <w:p w:rsidR="003D3912" w:rsidRPr="00C67352" w:rsidRDefault="003D3912">
      <w:pPr>
        <w:spacing w:after="0"/>
        <w:jc w:val="both"/>
        <w:rPr>
          <w:rFonts w:ascii="Times New Roman" w:eastAsia="Times New Roman" w:hAnsi="Times New Roman" w:cs="Times New Roman"/>
        </w:rPr>
      </w:pPr>
    </w:p>
    <w:p w:rsidR="003D3912" w:rsidRPr="004C2998" w:rsidRDefault="00C16D8D">
      <w:pPr>
        <w:spacing w:after="0"/>
        <w:jc w:val="both"/>
        <w:rPr>
          <w:rFonts w:ascii="Times New Roman Bold" w:eastAsia="Times New Roman Bold" w:hAnsi="Times New Roman Bold" w:cs="Times New Roman Bold"/>
          <w:b/>
        </w:rPr>
      </w:pPr>
      <w:r>
        <w:rPr>
          <w:rFonts w:ascii="Times New Roman Bold"/>
          <w:b/>
        </w:rPr>
        <w:t>Second</w:t>
      </w:r>
      <w:r w:rsidR="00240EDF">
        <w:rPr>
          <w:rFonts w:ascii="Times New Roman Bold"/>
          <w:b/>
        </w:rPr>
        <w:t>-</w:t>
      </w:r>
      <w:r w:rsidR="00233C6E" w:rsidRPr="004C2998">
        <w:rPr>
          <w:rFonts w:ascii="Times New Roman Bold"/>
          <w:b/>
        </w:rPr>
        <w:t>Quarter 201</w:t>
      </w:r>
      <w:r w:rsidR="00240EDF">
        <w:rPr>
          <w:rFonts w:ascii="Times New Roman Bold"/>
          <w:b/>
        </w:rPr>
        <w:t>5</w:t>
      </w:r>
      <w:r w:rsidR="00233C6E" w:rsidRPr="004C2998">
        <w:rPr>
          <w:rFonts w:ascii="Times New Roman Bold"/>
          <w:b/>
        </w:rPr>
        <w:t xml:space="preserve"> Operating and Financial Highlights</w:t>
      </w:r>
    </w:p>
    <w:p w:rsidR="003D3912" w:rsidRDefault="003D3912">
      <w:pPr>
        <w:spacing w:after="0"/>
        <w:jc w:val="both"/>
        <w:rPr>
          <w:rFonts w:ascii="Times New Roman Bold" w:eastAsia="Times New Roman Bold" w:hAnsi="Times New Roman Bold" w:cs="Times New Roman Bold"/>
        </w:rPr>
      </w:pPr>
    </w:p>
    <w:p w:rsidR="003D3912" w:rsidRDefault="00233C6E" w:rsidP="009E610D">
      <w:pPr>
        <w:numPr>
          <w:ilvl w:val="0"/>
          <w:numId w:val="1"/>
        </w:numPr>
        <w:tabs>
          <w:tab w:val="num" w:pos="720"/>
        </w:tabs>
        <w:spacing w:after="0"/>
        <w:ind w:left="720" w:hanging="360"/>
        <w:jc w:val="both"/>
        <w:rPr>
          <w:rFonts w:ascii="Times New Roman" w:eastAsia="Times New Roman" w:hAnsi="Times New Roman" w:cs="Times New Roman"/>
        </w:rPr>
      </w:pPr>
      <w:r>
        <w:rPr>
          <w:rFonts w:ascii="Times New Roman"/>
        </w:rPr>
        <w:t>Total A</w:t>
      </w:r>
      <w:r w:rsidR="00C16D8D">
        <w:rPr>
          <w:rFonts w:ascii="Times New Roman"/>
        </w:rPr>
        <w:t>djusted Net Revenue increased 20</w:t>
      </w:r>
      <w:r>
        <w:rPr>
          <w:rFonts w:ascii="Times New Roman"/>
        </w:rPr>
        <w:t>% to RUB 2,</w:t>
      </w:r>
      <w:r w:rsidR="00C16D8D">
        <w:rPr>
          <w:rFonts w:ascii="Times New Roman"/>
        </w:rPr>
        <w:t>5</w:t>
      </w:r>
      <w:r w:rsidR="00BA4E6B" w:rsidRPr="009E610D">
        <w:rPr>
          <w:rFonts w:ascii="Times New Roman"/>
        </w:rPr>
        <w:t>25</w:t>
      </w:r>
      <w:r w:rsidR="00C16D8D">
        <w:rPr>
          <w:rFonts w:ascii="Times New Roman"/>
        </w:rPr>
        <w:t xml:space="preserve"> million ($45</w:t>
      </w:r>
      <w:r w:rsidR="00526788">
        <w:rPr>
          <w:rFonts w:ascii="Times New Roman"/>
        </w:rPr>
        <w:t>.</w:t>
      </w:r>
      <w:r w:rsidR="00BA4E6B" w:rsidRPr="009E610D">
        <w:rPr>
          <w:rFonts w:ascii="Times New Roman"/>
        </w:rPr>
        <w:t>5</w:t>
      </w:r>
      <w:r w:rsidR="00BA4E6B">
        <w:rPr>
          <w:rFonts w:ascii="Times New Roman"/>
        </w:rPr>
        <w:t xml:space="preserve"> </w:t>
      </w:r>
      <w:r>
        <w:rPr>
          <w:rFonts w:ascii="Times New Roman"/>
        </w:rPr>
        <w:t>million)</w:t>
      </w:r>
    </w:p>
    <w:p w:rsidR="003D3912" w:rsidRDefault="00C16D8D" w:rsidP="009E610D">
      <w:pPr>
        <w:numPr>
          <w:ilvl w:val="0"/>
          <w:numId w:val="2"/>
        </w:numPr>
        <w:tabs>
          <w:tab w:val="num" w:pos="720"/>
        </w:tabs>
        <w:spacing w:after="0"/>
        <w:ind w:left="720" w:hanging="360"/>
        <w:jc w:val="both"/>
        <w:rPr>
          <w:rFonts w:ascii="Times New Roman" w:eastAsia="Times New Roman" w:hAnsi="Times New Roman" w:cs="Times New Roman"/>
        </w:rPr>
      </w:pPr>
      <w:r>
        <w:rPr>
          <w:rFonts w:ascii="Times New Roman"/>
        </w:rPr>
        <w:t xml:space="preserve">Adjusted EBITDA increased </w:t>
      </w:r>
      <w:r w:rsidR="00F0209A">
        <w:rPr>
          <w:rFonts w:ascii="Times New Roman"/>
        </w:rPr>
        <w:t>13</w:t>
      </w:r>
      <w:r>
        <w:rPr>
          <w:rFonts w:ascii="Times New Roman"/>
        </w:rPr>
        <w:t>% to RUB 1,</w:t>
      </w:r>
      <w:r w:rsidR="00F0209A">
        <w:rPr>
          <w:rFonts w:ascii="Times New Roman"/>
        </w:rPr>
        <w:t>483</w:t>
      </w:r>
      <w:r>
        <w:rPr>
          <w:rFonts w:ascii="Times New Roman"/>
        </w:rPr>
        <w:t xml:space="preserve"> million ($2</w:t>
      </w:r>
      <w:r w:rsidR="00F0209A">
        <w:rPr>
          <w:rFonts w:ascii="Times New Roman"/>
        </w:rPr>
        <w:t>6</w:t>
      </w:r>
      <w:r w:rsidR="00526788">
        <w:rPr>
          <w:rFonts w:ascii="Times New Roman"/>
        </w:rPr>
        <w:t>.</w:t>
      </w:r>
      <w:r w:rsidR="00F0209A">
        <w:rPr>
          <w:rFonts w:ascii="Times New Roman"/>
        </w:rPr>
        <w:t>7</w:t>
      </w:r>
      <w:r w:rsidR="00233C6E">
        <w:rPr>
          <w:rFonts w:ascii="Times New Roman"/>
        </w:rPr>
        <w:t xml:space="preserve"> million)</w:t>
      </w:r>
    </w:p>
    <w:p w:rsidR="003D3912" w:rsidRDefault="00855F08" w:rsidP="009E610D">
      <w:pPr>
        <w:numPr>
          <w:ilvl w:val="0"/>
          <w:numId w:val="3"/>
        </w:numPr>
        <w:tabs>
          <w:tab w:val="num" w:pos="720"/>
        </w:tabs>
        <w:spacing w:after="0"/>
        <w:ind w:left="720" w:hanging="360"/>
        <w:jc w:val="both"/>
        <w:rPr>
          <w:rFonts w:ascii="Times New Roman" w:eastAsia="Times New Roman" w:hAnsi="Times New Roman" w:cs="Times New Roman"/>
        </w:rPr>
      </w:pPr>
      <w:r>
        <w:rPr>
          <w:rFonts w:ascii="Times New Roman"/>
        </w:rPr>
        <w:t xml:space="preserve">Adjusted Net Profit increased </w:t>
      </w:r>
      <w:r w:rsidR="00BA4E6B" w:rsidRPr="009E610D">
        <w:rPr>
          <w:rFonts w:ascii="Times New Roman"/>
        </w:rPr>
        <w:t>9</w:t>
      </w:r>
      <w:r w:rsidR="00526788">
        <w:rPr>
          <w:rFonts w:ascii="Times New Roman"/>
        </w:rPr>
        <w:t xml:space="preserve">% to RUB </w:t>
      </w:r>
      <w:r w:rsidR="00C16D8D">
        <w:rPr>
          <w:rFonts w:ascii="Times New Roman"/>
        </w:rPr>
        <w:t>1,03</w:t>
      </w:r>
      <w:r w:rsidR="00BA4E6B" w:rsidRPr="009E610D">
        <w:rPr>
          <w:rFonts w:ascii="Times New Roman"/>
        </w:rPr>
        <w:t>3</w:t>
      </w:r>
      <w:r w:rsidR="00526788">
        <w:rPr>
          <w:rFonts w:ascii="Times New Roman"/>
        </w:rPr>
        <w:t xml:space="preserve"> million ($1</w:t>
      </w:r>
      <w:r w:rsidR="00C16D8D">
        <w:rPr>
          <w:rFonts w:ascii="Times New Roman"/>
        </w:rPr>
        <w:t>8.</w:t>
      </w:r>
      <w:r w:rsidR="00BA4E6B" w:rsidRPr="009E610D">
        <w:rPr>
          <w:rFonts w:ascii="Times New Roman"/>
        </w:rPr>
        <w:t>6</w:t>
      </w:r>
      <w:r w:rsidR="00233C6E">
        <w:rPr>
          <w:rFonts w:ascii="Times New Roman"/>
        </w:rPr>
        <w:t xml:space="preserve"> million), or RUB </w:t>
      </w:r>
      <w:r w:rsidR="004A3821">
        <w:rPr>
          <w:rFonts w:ascii="Times New Roman"/>
          <w:i/>
          <w:iCs/>
        </w:rPr>
        <w:t>18</w:t>
      </w:r>
      <w:r w:rsidRPr="001F7A82">
        <w:rPr>
          <w:rFonts w:ascii="Times New Roman"/>
          <w:i/>
          <w:iCs/>
        </w:rPr>
        <w:t>.</w:t>
      </w:r>
      <w:r w:rsidR="004A3821">
        <w:rPr>
          <w:rFonts w:ascii="Times New Roman"/>
          <w:i/>
          <w:iCs/>
        </w:rPr>
        <w:t>40</w:t>
      </w:r>
      <w:r w:rsidR="00233C6E">
        <w:rPr>
          <w:rFonts w:ascii="Times New Roman"/>
          <w:i/>
          <w:iCs/>
        </w:rPr>
        <w:t xml:space="preserve"> </w:t>
      </w:r>
      <w:r w:rsidR="00233C6E">
        <w:rPr>
          <w:rFonts w:ascii="Times New Roman"/>
        </w:rPr>
        <w:t>per diluted share</w:t>
      </w:r>
    </w:p>
    <w:p w:rsidR="003D3912" w:rsidRPr="00526788" w:rsidRDefault="00233C6E" w:rsidP="009E610D">
      <w:pPr>
        <w:numPr>
          <w:ilvl w:val="0"/>
          <w:numId w:val="4"/>
        </w:numPr>
        <w:tabs>
          <w:tab w:val="num" w:pos="720"/>
        </w:tabs>
        <w:spacing w:after="0"/>
        <w:ind w:left="720" w:hanging="360"/>
        <w:jc w:val="both"/>
        <w:rPr>
          <w:rFonts w:ascii="Times New Roman" w:eastAsia="Times New Roman" w:hAnsi="Times New Roman" w:cs="Times New Roman"/>
        </w:rPr>
      </w:pPr>
      <w:r>
        <w:rPr>
          <w:rFonts w:ascii="Times New Roman"/>
        </w:rPr>
        <w:t>T</w:t>
      </w:r>
      <w:r w:rsidR="00526788">
        <w:rPr>
          <w:rFonts w:ascii="Times New Roman"/>
        </w:rPr>
        <w:t xml:space="preserve">otal payment volume increased </w:t>
      </w:r>
      <w:r w:rsidR="00C16D8D">
        <w:rPr>
          <w:rFonts w:ascii="Times New Roman"/>
        </w:rPr>
        <w:t>31% to RUB 204</w:t>
      </w:r>
      <w:r w:rsidR="00855F08">
        <w:rPr>
          <w:rFonts w:ascii="Times New Roman"/>
        </w:rPr>
        <w:t>.</w:t>
      </w:r>
      <w:r w:rsidR="00C16D8D">
        <w:rPr>
          <w:rFonts w:ascii="Times New Roman"/>
        </w:rPr>
        <w:t>2 billion ($3</w:t>
      </w:r>
      <w:r w:rsidR="00C42E4A">
        <w:rPr>
          <w:rFonts w:ascii="Times New Roman"/>
        </w:rPr>
        <w:t>.7</w:t>
      </w:r>
      <w:r>
        <w:rPr>
          <w:rFonts w:ascii="Times New Roman"/>
        </w:rPr>
        <w:t xml:space="preserve"> billion)</w:t>
      </w:r>
    </w:p>
    <w:p w:rsidR="003D3912" w:rsidRPr="00526788" w:rsidRDefault="003D3912" w:rsidP="00526788">
      <w:pPr>
        <w:tabs>
          <w:tab w:val="left" w:pos="2990"/>
        </w:tabs>
        <w:spacing w:after="0"/>
        <w:jc w:val="both"/>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rPr>
      </w:pPr>
      <w:r w:rsidRPr="00050C79">
        <w:rPr>
          <w:rFonts w:ascii="Times New Roman"/>
        </w:rPr>
        <w:t>“</w:t>
      </w:r>
      <w:r w:rsidR="00C16D8D" w:rsidRPr="00050C79">
        <w:rPr>
          <w:rFonts w:ascii="Times New Roman"/>
        </w:rPr>
        <w:t>I am very pleased to share these solid results of our consolidated business</w:t>
      </w:r>
      <w:r w:rsidRPr="00050C79">
        <w:rPr>
          <w:rFonts w:ascii="Times New Roman"/>
        </w:rPr>
        <w:t>,</w:t>
      </w:r>
      <w:r w:rsidRPr="00050C79">
        <w:rPr>
          <w:rFonts w:hAnsi="Times New Roman"/>
        </w:rPr>
        <w:t>”</w:t>
      </w:r>
      <w:r w:rsidRPr="00050C79">
        <w:rPr>
          <w:rFonts w:ascii="Trebuchet MS"/>
        </w:rPr>
        <w:t xml:space="preserve"> </w:t>
      </w:r>
      <w:r w:rsidRPr="00050C79">
        <w:rPr>
          <w:rFonts w:ascii="Times New Roman"/>
        </w:rPr>
        <w:t xml:space="preserve">said Sergey </w:t>
      </w:r>
      <w:proofErr w:type="spellStart"/>
      <w:r w:rsidRPr="00050C79">
        <w:rPr>
          <w:rFonts w:ascii="Times New Roman"/>
        </w:rPr>
        <w:t>Solonin</w:t>
      </w:r>
      <w:proofErr w:type="spellEnd"/>
      <w:r w:rsidRPr="00050C79">
        <w:rPr>
          <w:rFonts w:ascii="Times New Roman"/>
        </w:rPr>
        <w:t>, QIWI</w:t>
      </w:r>
      <w:r w:rsidRPr="00050C79">
        <w:rPr>
          <w:rFonts w:hAnsi="Times New Roman"/>
        </w:rPr>
        <w:t>’</w:t>
      </w:r>
      <w:r w:rsidRPr="00050C79">
        <w:rPr>
          <w:rFonts w:ascii="Times New Roman"/>
        </w:rPr>
        <w:t xml:space="preserve">s </w:t>
      </w:r>
      <w:proofErr w:type="gramStart"/>
      <w:r w:rsidRPr="00050C79">
        <w:rPr>
          <w:rFonts w:ascii="Times New Roman"/>
        </w:rPr>
        <w:t>chief</w:t>
      </w:r>
      <w:proofErr w:type="gramEnd"/>
      <w:r w:rsidRPr="00050C79">
        <w:rPr>
          <w:rFonts w:ascii="Times New Roman"/>
        </w:rPr>
        <w:t xml:space="preserve"> executive officer. </w:t>
      </w:r>
      <w:r w:rsidRPr="00050C79">
        <w:rPr>
          <w:rFonts w:hAnsi="Times New Roman"/>
        </w:rPr>
        <w:t>“</w:t>
      </w:r>
      <w:r w:rsidR="00B03607" w:rsidRPr="00050C79">
        <w:rPr>
          <w:rFonts w:ascii="Times New Roman"/>
        </w:rPr>
        <w:t xml:space="preserve">Despite the </w:t>
      </w:r>
      <w:r w:rsidR="0041330E">
        <w:rPr>
          <w:rFonts w:ascii="Times New Roman"/>
        </w:rPr>
        <w:t xml:space="preserve">continuing </w:t>
      </w:r>
      <w:r w:rsidR="0013027F" w:rsidRPr="00050C79">
        <w:rPr>
          <w:rFonts w:ascii="Times New Roman"/>
        </w:rPr>
        <w:t xml:space="preserve">macroeconomic </w:t>
      </w:r>
      <w:r w:rsidR="00B03607" w:rsidRPr="00050C79">
        <w:rPr>
          <w:rFonts w:ascii="Times New Roman"/>
        </w:rPr>
        <w:t xml:space="preserve">slowdown we continued to deliver strong financial and operational results. </w:t>
      </w:r>
      <w:r w:rsidR="004A3DE2" w:rsidRPr="00050C79">
        <w:rPr>
          <w:rFonts w:ascii="Times New Roman"/>
        </w:rPr>
        <w:t xml:space="preserve">I am particularly happy with the addition to the business of Contact and </w:t>
      </w:r>
      <w:proofErr w:type="spellStart"/>
      <w:r w:rsidR="004A3DE2" w:rsidRPr="00050C79">
        <w:rPr>
          <w:rFonts w:ascii="Times New Roman"/>
        </w:rPr>
        <w:t>Rapida</w:t>
      </w:r>
      <w:proofErr w:type="spellEnd"/>
      <w:r w:rsidR="004A3DE2" w:rsidRPr="00050C79">
        <w:rPr>
          <w:rFonts w:ascii="Times New Roman"/>
        </w:rPr>
        <w:t xml:space="preserve">, which are already bringing synergies to the group and strengthening our positions in </w:t>
      </w:r>
      <w:r w:rsidR="008C2903" w:rsidRPr="00050C79">
        <w:rPr>
          <w:rFonts w:ascii="Times New Roman"/>
        </w:rPr>
        <w:t xml:space="preserve">the rapidly changing payments environment. </w:t>
      </w:r>
      <w:r w:rsidRPr="00050C79">
        <w:rPr>
          <w:rFonts w:ascii="Times New Roman"/>
        </w:rPr>
        <w:t xml:space="preserve">We </w:t>
      </w:r>
      <w:r w:rsidR="008C2903" w:rsidRPr="00050C79">
        <w:rPr>
          <w:rFonts w:ascii="Times New Roman"/>
        </w:rPr>
        <w:t xml:space="preserve">continue to </w:t>
      </w:r>
      <w:r w:rsidRPr="00050C79">
        <w:rPr>
          <w:rFonts w:ascii="Times New Roman"/>
        </w:rPr>
        <w:t>see plenty of opportunities ahead</w:t>
      </w:r>
      <w:r w:rsidR="0013027F" w:rsidRPr="00050C79">
        <w:rPr>
          <w:rFonts w:ascii="Times New Roman"/>
        </w:rPr>
        <w:t xml:space="preserve">, especially in gaining market share </w:t>
      </w:r>
      <w:r w:rsidR="004C6989" w:rsidRPr="00050C79">
        <w:rPr>
          <w:rFonts w:ascii="Times New Roman"/>
        </w:rPr>
        <w:t>in</w:t>
      </w:r>
      <w:r w:rsidR="0013027F" w:rsidRPr="00050C79">
        <w:rPr>
          <w:rFonts w:ascii="Times New Roman"/>
        </w:rPr>
        <w:t xml:space="preserve"> </w:t>
      </w:r>
      <w:r w:rsidR="00F32895" w:rsidRPr="00050C79">
        <w:rPr>
          <w:rFonts w:ascii="Times New Roman"/>
        </w:rPr>
        <w:t xml:space="preserve">the </w:t>
      </w:r>
      <w:r w:rsidR="0013027F" w:rsidRPr="00050C79">
        <w:rPr>
          <w:rFonts w:ascii="Times New Roman"/>
        </w:rPr>
        <w:t>key verticals,</w:t>
      </w:r>
      <w:r w:rsidR="00377771">
        <w:rPr>
          <w:rFonts w:ascii="Times New Roman"/>
        </w:rPr>
        <w:t xml:space="preserve"> which</w:t>
      </w:r>
      <w:r w:rsidR="008C2903" w:rsidRPr="00050C79">
        <w:rPr>
          <w:rFonts w:ascii="Times New Roman"/>
        </w:rPr>
        <w:t xml:space="preserve"> </w:t>
      </w:r>
      <w:r w:rsidR="004D5146" w:rsidRPr="00050C79">
        <w:rPr>
          <w:rFonts w:ascii="Times New Roman"/>
        </w:rPr>
        <w:t>will be the key focus for the company in the near term</w:t>
      </w:r>
      <w:r w:rsidRPr="00050C79">
        <w:rPr>
          <w:rFonts w:ascii="Times New Roman"/>
        </w:rPr>
        <w:t>.</w:t>
      </w:r>
      <w:r w:rsidRPr="00050C79">
        <w:rPr>
          <w:rFonts w:hAnsi="Times New Roman"/>
        </w:rPr>
        <w:t>”</w:t>
      </w:r>
    </w:p>
    <w:p w:rsidR="003D3912" w:rsidRDefault="003D3912">
      <w:pPr>
        <w:spacing w:after="0"/>
        <w:jc w:val="both"/>
        <w:rPr>
          <w:rFonts w:ascii="Times New Roman Bold" w:eastAsia="Times New Roman Bold" w:hAnsi="Times New Roman Bold" w:cs="Times New Roman Bold"/>
        </w:rPr>
      </w:pPr>
    </w:p>
    <w:p w:rsidR="003D3912" w:rsidRPr="004C2998" w:rsidRDefault="0041259A">
      <w:pPr>
        <w:spacing w:after="0"/>
        <w:jc w:val="both"/>
        <w:rPr>
          <w:rFonts w:ascii="Times New Roman Bold" w:eastAsia="Times New Roman Bold" w:hAnsi="Times New Roman Bold" w:cs="Times New Roman Bold"/>
          <w:b/>
        </w:rPr>
      </w:pPr>
      <w:r>
        <w:rPr>
          <w:rFonts w:ascii="Times New Roman Bold"/>
          <w:b/>
        </w:rPr>
        <w:t>Second</w:t>
      </w:r>
      <w:r w:rsidR="00C42E4A">
        <w:rPr>
          <w:rFonts w:ascii="Times New Roman Bold"/>
          <w:b/>
        </w:rPr>
        <w:t>-Quarter 2015</w:t>
      </w:r>
      <w:r w:rsidR="00233C6E" w:rsidRPr="004C2998">
        <w:rPr>
          <w:rFonts w:ascii="Times New Roman Bold"/>
          <w:b/>
        </w:rPr>
        <w:t xml:space="preserve"> Results</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Revenues:</w:t>
      </w:r>
      <w:r>
        <w:rPr>
          <w:rFonts w:ascii="Times New Roman"/>
        </w:rPr>
        <w:t xml:space="preserve"> Total Adjusted Net Revenue</w:t>
      </w:r>
      <w:r w:rsidR="00C42E4A">
        <w:rPr>
          <w:rFonts w:ascii="Times New Roman"/>
        </w:rPr>
        <w:t xml:space="preserve"> for the quarter ended </w:t>
      </w:r>
      <w:r w:rsidR="0041259A">
        <w:rPr>
          <w:rFonts w:ascii="Times New Roman"/>
        </w:rPr>
        <w:t>June 30</w:t>
      </w:r>
      <w:r w:rsidR="00C42E4A">
        <w:rPr>
          <w:rFonts w:ascii="Times New Roman"/>
        </w:rPr>
        <w:t>, 2015</w:t>
      </w:r>
      <w:r>
        <w:rPr>
          <w:rFonts w:ascii="Times New Roman"/>
        </w:rPr>
        <w:t xml:space="preserve"> was RUB 2</w:t>
      </w:r>
      <w:r w:rsidR="0041259A">
        <w:rPr>
          <w:rFonts w:ascii="Times New Roman"/>
        </w:rPr>
        <w:t>,5</w:t>
      </w:r>
      <w:r w:rsidR="00BA4E6B" w:rsidRPr="009E610D">
        <w:rPr>
          <w:rFonts w:ascii="Times New Roman"/>
        </w:rPr>
        <w:t>25</w:t>
      </w:r>
      <w:r w:rsidR="0041259A">
        <w:rPr>
          <w:rFonts w:ascii="Times New Roman"/>
        </w:rPr>
        <w:t xml:space="preserve"> million ($45</w:t>
      </w:r>
      <w:r w:rsidR="00356A42">
        <w:rPr>
          <w:rFonts w:ascii="Times New Roman"/>
        </w:rPr>
        <w:t>.</w:t>
      </w:r>
      <w:r w:rsidR="00BA4E6B" w:rsidRPr="009E610D">
        <w:rPr>
          <w:rFonts w:ascii="Times New Roman"/>
        </w:rPr>
        <w:t>5</w:t>
      </w:r>
      <w:r w:rsidR="0041259A">
        <w:rPr>
          <w:rFonts w:ascii="Times New Roman"/>
        </w:rPr>
        <w:t xml:space="preserve"> million), an increase of 20% compared with RUB 2,112</w:t>
      </w:r>
      <w:r>
        <w:rPr>
          <w:rFonts w:ascii="Times New Roman"/>
        </w:rPr>
        <w:t xml:space="preserve"> million in the prior year.</w:t>
      </w:r>
    </w:p>
    <w:p w:rsidR="003D3912" w:rsidRDefault="003D3912">
      <w:pPr>
        <w:spacing w:after="0"/>
        <w:jc w:val="both"/>
        <w:rPr>
          <w:rFonts w:ascii="Times New Roman" w:eastAsia="Times New Roman" w:hAnsi="Times New Roman" w:cs="Times New Roman"/>
        </w:rPr>
      </w:pPr>
    </w:p>
    <w:p w:rsidR="003D3912" w:rsidRDefault="00233C6E" w:rsidP="001F7A82">
      <w:pPr>
        <w:spacing w:after="0"/>
        <w:jc w:val="both"/>
        <w:rPr>
          <w:rFonts w:ascii="Times New Roman" w:eastAsia="Times New Roman" w:hAnsi="Times New Roman" w:cs="Times New Roman"/>
        </w:rPr>
      </w:pPr>
      <w:r>
        <w:rPr>
          <w:rFonts w:ascii="Times New Roman"/>
        </w:rPr>
        <w:t>Payment Ad</w:t>
      </w:r>
      <w:r w:rsidR="00C42E4A">
        <w:rPr>
          <w:rFonts w:ascii="Times New Roman"/>
        </w:rPr>
        <w:t>justed Net Revenue was</w:t>
      </w:r>
      <w:r w:rsidR="0041259A">
        <w:rPr>
          <w:rFonts w:ascii="Times New Roman"/>
        </w:rPr>
        <w:t xml:space="preserve"> RUB 1,8</w:t>
      </w:r>
      <w:r w:rsidR="00BA4E6B">
        <w:rPr>
          <w:rFonts w:ascii="Times New Roman"/>
        </w:rPr>
        <w:t>76</w:t>
      </w:r>
      <w:r w:rsidR="00C42E4A">
        <w:rPr>
          <w:rFonts w:ascii="Times New Roman"/>
        </w:rPr>
        <w:t xml:space="preserve"> million ($3</w:t>
      </w:r>
      <w:r w:rsidR="0041259A">
        <w:rPr>
          <w:rFonts w:ascii="Times New Roman"/>
        </w:rPr>
        <w:t>3</w:t>
      </w:r>
      <w:r w:rsidR="00356A42">
        <w:rPr>
          <w:rFonts w:ascii="Times New Roman"/>
        </w:rPr>
        <w:t>.</w:t>
      </w:r>
      <w:r w:rsidR="00BA4E6B">
        <w:rPr>
          <w:rFonts w:ascii="Times New Roman"/>
        </w:rPr>
        <w:t>8</w:t>
      </w:r>
      <w:r w:rsidR="0041259A">
        <w:rPr>
          <w:rFonts w:ascii="Times New Roman"/>
        </w:rPr>
        <w:t xml:space="preserve"> million), an increase of 2</w:t>
      </w:r>
      <w:r w:rsidR="00BA4E6B">
        <w:rPr>
          <w:rFonts w:ascii="Times New Roman"/>
        </w:rPr>
        <w:t>0</w:t>
      </w:r>
      <w:r>
        <w:rPr>
          <w:rFonts w:ascii="Times New Roman"/>
        </w:rPr>
        <w:t>% compared with</w:t>
      </w:r>
      <w:r w:rsidR="0041259A">
        <w:rPr>
          <w:rFonts w:ascii="Times New Roman"/>
        </w:rPr>
        <w:t xml:space="preserve"> RUB 1,5</w:t>
      </w:r>
      <w:r w:rsidR="00C42E4A">
        <w:rPr>
          <w:rFonts w:ascii="Times New Roman"/>
        </w:rPr>
        <w:t>62</w:t>
      </w:r>
      <w:r>
        <w:rPr>
          <w:rFonts w:ascii="Times New Roman"/>
        </w:rPr>
        <w:t xml:space="preserve"> million in the prior year. Payment Adjusted Net Revenue growth was predominantly driven by an increase in payment volume</w:t>
      </w:r>
      <w:r w:rsidR="00356A42">
        <w:rPr>
          <w:rFonts w:ascii="Times New Roman"/>
        </w:rPr>
        <w:t xml:space="preserve"> </w:t>
      </w:r>
      <w:r w:rsidR="00C52AF9">
        <w:rPr>
          <w:rFonts w:ascii="Times New Roman"/>
        </w:rPr>
        <w:t>across all verticals, especially</w:t>
      </w:r>
      <w:r w:rsidR="00356A42">
        <w:rPr>
          <w:rFonts w:ascii="Times New Roman"/>
        </w:rPr>
        <w:t xml:space="preserve"> the E-commerce and Money Remittances market </w:t>
      </w:r>
      <w:r w:rsidR="00037864">
        <w:rPr>
          <w:rFonts w:ascii="Times New Roman"/>
        </w:rPr>
        <w:t>verticals</w:t>
      </w:r>
      <w:r w:rsidR="00C52AF9">
        <w:rPr>
          <w:rFonts w:ascii="Times New Roman"/>
        </w:rPr>
        <w:t xml:space="preserve">, </w:t>
      </w:r>
      <w:r w:rsidR="0041259A">
        <w:rPr>
          <w:rFonts w:ascii="Times New Roman"/>
        </w:rPr>
        <w:t xml:space="preserve">that was in turn </w:t>
      </w:r>
      <w:r w:rsidR="00C52AF9">
        <w:rPr>
          <w:rFonts w:ascii="Times New Roman"/>
        </w:rPr>
        <w:t xml:space="preserve">partially </w:t>
      </w:r>
      <w:r w:rsidR="0041259A">
        <w:rPr>
          <w:rFonts w:ascii="Times New Roman"/>
        </w:rPr>
        <w:t>offset by the declining</w:t>
      </w:r>
      <w:r>
        <w:rPr>
          <w:rFonts w:ascii="Times New Roman"/>
        </w:rPr>
        <w:t xml:space="preserve"> net revenue yield</w:t>
      </w:r>
      <w:r w:rsidR="0041259A">
        <w:rPr>
          <w:rFonts w:ascii="Times New Roman"/>
        </w:rPr>
        <w:t>s</w:t>
      </w:r>
      <w:r>
        <w:rPr>
          <w:rFonts w:ascii="Times New Roman"/>
        </w:rPr>
        <w:t xml:space="preserve"> </w:t>
      </w:r>
      <w:r w:rsidR="000117CF">
        <w:rPr>
          <w:rFonts w:ascii="Times New Roman"/>
        </w:rPr>
        <w:t xml:space="preserve">primarily </w:t>
      </w:r>
      <w:r w:rsidR="0041259A">
        <w:rPr>
          <w:rFonts w:ascii="Times New Roman"/>
        </w:rPr>
        <w:t xml:space="preserve">as </w:t>
      </w:r>
      <w:r w:rsidR="00934FBE">
        <w:rPr>
          <w:rFonts w:ascii="Times New Roman"/>
        </w:rPr>
        <w:t xml:space="preserve">a </w:t>
      </w:r>
      <w:r w:rsidR="0041259A">
        <w:rPr>
          <w:rFonts w:ascii="Times New Roman"/>
        </w:rPr>
        <w:t xml:space="preserve">result of </w:t>
      </w:r>
      <w:r w:rsidR="00934FBE">
        <w:rPr>
          <w:rFonts w:ascii="Times New Roman"/>
        </w:rPr>
        <w:t xml:space="preserve">the </w:t>
      </w:r>
      <w:r w:rsidR="0041259A">
        <w:rPr>
          <w:rFonts w:ascii="Times New Roman"/>
        </w:rPr>
        <w:t xml:space="preserve">acquisition and consolidation of Contact and </w:t>
      </w:r>
      <w:proofErr w:type="spellStart"/>
      <w:r w:rsidR="0041259A">
        <w:rPr>
          <w:rFonts w:ascii="Times New Roman"/>
        </w:rPr>
        <w:t>Rapida</w:t>
      </w:r>
      <w:proofErr w:type="spellEnd"/>
      <w:r w:rsidR="00FC5F9C">
        <w:rPr>
          <w:rFonts w:ascii="Times New Roman"/>
        </w:rPr>
        <w:t xml:space="preserve"> which operate on significantly lower net revenue yields than QIWI standalone</w:t>
      </w:r>
      <w:r w:rsidR="00286836">
        <w:rPr>
          <w:rFonts w:ascii="Times New Roman"/>
        </w:rPr>
        <w:t>.</w:t>
      </w:r>
      <w:r w:rsidR="006D58DD">
        <w:rPr>
          <w:rFonts w:ascii="Times New Roman"/>
        </w:rPr>
        <w:t xml:space="preserve"> </w:t>
      </w:r>
    </w:p>
    <w:p w:rsidR="003D3912" w:rsidRDefault="003D3912">
      <w:pPr>
        <w:spacing w:after="0"/>
        <w:jc w:val="both"/>
        <w:rPr>
          <w:rFonts w:ascii="Times New Roman" w:eastAsia="Times New Roman" w:hAnsi="Times New Roman" w:cs="Times New Roman"/>
        </w:rPr>
      </w:pPr>
    </w:p>
    <w:p w:rsidR="003D3912" w:rsidRDefault="00233C6E" w:rsidP="006D58DD">
      <w:pPr>
        <w:spacing w:after="0"/>
        <w:jc w:val="both"/>
        <w:rPr>
          <w:rFonts w:ascii="Times New Roman" w:eastAsia="Times New Roman" w:hAnsi="Times New Roman" w:cs="Times New Roman"/>
        </w:rPr>
      </w:pPr>
      <w:r>
        <w:rPr>
          <w:rFonts w:ascii="Times New Roman"/>
        </w:rPr>
        <w:t xml:space="preserve">Other Adjusted Net Revenue, which is principally composed of revenue from inactivity fees, interest revenue and gain from currency swaps and overdrafts provided to agents, </w:t>
      </w:r>
      <w:r w:rsidR="00356A42">
        <w:rPr>
          <w:rFonts w:ascii="Times New Roman"/>
        </w:rPr>
        <w:t xml:space="preserve">revenue from rent of space for kiosks and sale of kiosks, </w:t>
      </w:r>
      <w:r>
        <w:rPr>
          <w:rFonts w:ascii="Times New Roman"/>
        </w:rPr>
        <w:t>cash and settlement services and advertising, was RUB 6</w:t>
      </w:r>
      <w:r w:rsidR="00BA4E6B">
        <w:rPr>
          <w:rFonts w:ascii="Times New Roman"/>
        </w:rPr>
        <w:t>49</w:t>
      </w:r>
      <w:r>
        <w:rPr>
          <w:rFonts w:ascii="Times New Roman"/>
        </w:rPr>
        <w:t xml:space="preserve"> million ($1</w:t>
      </w:r>
      <w:r w:rsidR="00356A42">
        <w:rPr>
          <w:rFonts w:ascii="Times New Roman"/>
        </w:rPr>
        <w:t>1</w:t>
      </w:r>
      <w:r>
        <w:rPr>
          <w:rFonts w:ascii="Times New Roman"/>
        </w:rPr>
        <w:t>.</w:t>
      </w:r>
      <w:r w:rsidR="0041259A">
        <w:rPr>
          <w:rFonts w:ascii="Times New Roman"/>
        </w:rPr>
        <w:t>7</w:t>
      </w:r>
      <w:r>
        <w:rPr>
          <w:rFonts w:ascii="Times New Roman"/>
        </w:rPr>
        <w:t xml:space="preserve"> million), an increase of </w:t>
      </w:r>
      <w:r w:rsidR="0041259A">
        <w:rPr>
          <w:rFonts w:ascii="Times New Roman"/>
        </w:rPr>
        <w:t>18</w:t>
      </w:r>
      <w:r>
        <w:rPr>
          <w:rFonts w:ascii="Times New Roman"/>
        </w:rPr>
        <w:t xml:space="preserve">% compared with RUB </w:t>
      </w:r>
      <w:r w:rsidR="0041259A">
        <w:rPr>
          <w:rFonts w:ascii="Times New Roman"/>
        </w:rPr>
        <w:t>550</w:t>
      </w:r>
      <w:r>
        <w:rPr>
          <w:rFonts w:ascii="Times New Roman"/>
        </w:rPr>
        <w:t xml:space="preserve"> million in the prior year. </w:t>
      </w:r>
      <w:r w:rsidR="0041259A">
        <w:rPr>
          <w:rFonts w:ascii="Times New Roman"/>
        </w:rPr>
        <w:t>The growth in the second</w:t>
      </w:r>
      <w:r w:rsidR="001B4550">
        <w:rPr>
          <w:rFonts w:ascii="Times New Roman"/>
        </w:rPr>
        <w:t>- quarter was mainly due to</w:t>
      </w:r>
      <w:r w:rsidR="003D1C85">
        <w:rPr>
          <w:rFonts w:ascii="Times New Roman"/>
        </w:rPr>
        <w:t xml:space="preserve"> the</w:t>
      </w:r>
      <w:r w:rsidR="001B4550">
        <w:rPr>
          <w:rFonts w:ascii="Times New Roman"/>
        </w:rPr>
        <w:t xml:space="preserve"> increase in interest revenue</w:t>
      </w:r>
      <w:r w:rsidR="001B4550" w:rsidRPr="001B4550">
        <w:rPr>
          <w:rFonts w:ascii="Times New Roman"/>
        </w:rPr>
        <w:t xml:space="preserve"> </w:t>
      </w:r>
      <w:r w:rsidR="001B4550">
        <w:rPr>
          <w:rFonts w:ascii="Times New Roman"/>
        </w:rPr>
        <w:t>from deposits and</w:t>
      </w:r>
      <w:r w:rsidR="001B4550" w:rsidRPr="0010791E">
        <w:rPr>
          <w:rFonts w:ascii="Times New Roman"/>
        </w:rPr>
        <w:t xml:space="preserve"> </w:t>
      </w:r>
      <w:r w:rsidR="001B4550">
        <w:rPr>
          <w:rFonts w:ascii="Times New Roman"/>
        </w:rPr>
        <w:t xml:space="preserve">overdrafts provided to agents, slightly offset by </w:t>
      </w:r>
      <w:r w:rsidR="000117CF">
        <w:rPr>
          <w:rFonts w:ascii="Times New Roman"/>
        </w:rPr>
        <w:t xml:space="preserve">our continuing investment in </w:t>
      </w:r>
      <w:r w:rsidR="001E53FE">
        <w:rPr>
          <w:rFonts w:ascii="Times New Roman"/>
        </w:rPr>
        <w:t>improving clients</w:t>
      </w:r>
      <w:r w:rsidR="001E53FE">
        <w:rPr>
          <w:rFonts w:ascii="Times New Roman"/>
        </w:rPr>
        <w:t>’</w:t>
      </w:r>
      <w:r w:rsidR="001E53FE">
        <w:rPr>
          <w:rFonts w:ascii="Times New Roman"/>
        </w:rPr>
        <w:t xml:space="preserve"> service, such as </w:t>
      </w:r>
      <w:r w:rsidR="000117CF">
        <w:rPr>
          <w:rFonts w:ascii="Times New Roman"/>
        </w:rPr>
        <w:t xml:space="preserve">call center </w:t>
      </w:r>
      <w:r w:rsidR="00377771">
        <w:rPr>
          <w:rFonts w:ascii="Times New Roman"/>
        </w:rPr>
        <w:t>costs</w:t>
      </w:r>
      <w:r w:rsidR="001B4550">
        <w:rPr>
          <w:rFonts w:ascii="Times New Roman"/>
        </w:rPr>
        <w:t>.</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lastRenderedPageBreak/>
        <w:t>Adjusted EBITDA:</w:t>
      </w:r>
      <w:r>
        <w:rPr>
          <w:rFonts w:ascii="Times New Roman"/>
        </w:rPr>
        <w:t xml:space="preserve"> For the quarter ended </w:t>
      </w:r>
      <w:r w:rsidR="0041259A">
        <w:rPr>
          <w:rFonts w:ascii="Times New Roman"/>
        </w:rPr>
        <w:t>June</w:t>
      </w:r>
      <w:r w:rsidR="00F17FDB">
        <w:rPr>
          <w:rFonts w:ascii="Times New Roman"/>
        </w:rPr>
        <w:t xml:space="preserve"> </w:t>
      </w:r>
      <w:r>
        <w:rPr>
          <w:rFonts w:ascii="Times New Roman"/>
        </w:rPr>
        <w:t>3</w:t>
      </w:r>
      <w:r w:rsidR="0041259A">
        <w:rPr>
          <w:rFonts w:ascii="Times New Roman"/>
        </w:rPr>
        <w:t>0</w:t>
      </w:r>
      <w:r w:rsidR="006D58DD">
        <w:rPr>
          <w:rFonts w:ascii="Times New Roman"/>
        </w:rPr>
        <w:t>, 2015</w:t>
      </w:r>
      <w:r>
        <w:rPr>
          <w:rFonts w:ascii="Times New Roman"/>
        </w:rPr>
        <w:t xml:space="preserve">, Adjusted EBITDA was RUB </w:t>
      </w:r>
      <w:r w:rsidR="0041259A">
        <w:rPr>
          <w:rFonts w:ascii="Times New Roman"/>
        </w:rPr>
        <w:t>1,</w:t>
      </w:r>
      <w:r w:rsidR="00F0209A">
        <w:rPr>
          <w:rFonts w:ascii="Times New Roman"/>
        </w:rPr>
        <w:t>483</w:t>
      </w:r>
      <w:r>
        <w:rPr>
          <w:rFonts w:ascii="Times New Roman"/>
        </w:rPr>
        <w:t xml:space="preserve"> million ($</w:t>
      </w:r>
      <w:r w:rsidR="0041259A">
        <w:rPr>
          <w:rFonts w:ascii="Times New Roman"/>
        </w:rPr>
        <w:t>2</w:t>
      </w:r>
      <w:r w:rsidR="00F0209A">
        <w:rPr>
          <w:rFonts w:ascii="Times New Roman"/>
        </w:rPr>
        <w:t>6</w:t>
      </w:r>
      <w:r>
        <w:rPr>
          <w:rFonts w:ascii="Times New Roman"/>
        </w:rPr>
        <w:t>.</w:t>
      </w:r>
      <w:r w:rsidR="00F0209A">
        <w:rPr>
          <w:rFonts w:ascii="Times New Roman"/>
        </w:rPr>
        <w:t>7</w:t>
      </w:r>
      <w:r>
        <w:rPr>
          <w:rFonts w:ascii="Times New Roman"/>
        </w:rPr>
        <w:t xml:space="preserve"> million), an increase of </w:t>
      </w:r>
      <w:r w:rsidR="00F0209A">
        <w:rPr>
          <w:rFonts w:ascii="Times New Roman"/>
        </w:rPr>
        <w:t>13</w:t>
      </w:r>
      <w:r w:rsidR="0041259A">
        <w:rPr>
          <w:rFonts w:ascii="Times New Roman"/>
        </w:rPr>
        <w:t xml:space="preserve">% compared with RUB </w:t>
      </w:r>
      <w:r w:rsidR="0041259A" w:rsidRPr="00F34C29">
        <w:rPr>
          <w:rFonts w:ascii="Times New Roman"/>
        </w:rPr>
        <w:t>1,31</w:t>
      </w:r>
      <w:r w:rsidR="00F34C29">
        <w:rPr>
          <w:rFonts w:ascii="Times New Roman"/>
        </w:rPr>
        <w:t>8</w:t>
      </w:r>
      <w:r>
        <w:rPr>
          <w:rFonts w:ascii="Times New Roman"/>
        </w:rPr>
        <w:t xml:space="preserve"> million in the prior </w:t>
      </w:r>
      <w:r w:rsidRPr="00CF0D8B">
        <w:rPr>
          <w:rFonts w:ascii="Times New Roman"/>
        </w:rPr>
        <w:t xml:space="preserve">year. </w:t>
      </w:r>
      <w:r w:rsidR="006D58DD" w:rsidRPr="00E72E79">
        <w:rPr>
          <w:rFonts w:ascii="Times New Roman"/>
        </w:rPr>
        <w:t xml:space="preserve">Adjusted EBITDA growth was mainly driven by revenue growth </w:t>
      </w:r>
      <w:r w:rsidR="00E21398">
        <w:rPr>
          <w:rFonts w:ascii="Times New Roman"/>
        </w:rPr>
        <w:t>partially offset by the 26% growth of SG&amp;A cost</w:t>
      </w:r>
      <w:r w:rsidR="00257E83">
        <w:rPr>
          <w:rFonts w:ascii="Times New Roman"/>
        </w:rPr>
        <w:t xml:space="preserve"> including: </w:t>
      </w:r>
      <w:r w:rsidR="009A3600">
        <w:rPr>
          <w:rFonts w:ascii="Times New Roman"/>
        </w:rPr>
        <w:t xml:space="preserve">advertising and </w:t>
      </w:r>
      <w:r w:rsidR="00257E83">
        <w:rPr>
          <w:rFonts w:ascii="Times New Roman"/>
        </w:rPr>
        <w:t>marketing, bad debt expense,</w:t>
      </w:r>
      <w:r w:rsidR="003C6C94">
        <w:rPr>
          <w:rFonts w:ascii="Times New Roman"/>
        </w:rPr>
        <w:t xml:space="preserve"> </w:t>
      </w:r>
      <w:r w:rsidR="009A3600">
        <w:rPr>
          <w:rFonts w:ascii="Times New Roman"/>
        </w:rPr>
        <w:t xml:space="preserve">payroll, </w:t>
      </w:r>
      <w:r w:rsidR="00257E83">
        <w:rPr>
          <w:rFonts w:ascii="Times New Roman"/>
        </w:rPr>
        <w:t xml:space="preserve">office maintenance costs </w:t>
      </w:r>
      <w:r w:rsidR="00F0173C">
        <w:rPr>
          <w:rFonts w:ascii="Times New Roman"/>
        </w:rPr>
        <w:t>(</w:t>
      </w:r>
      <w:r w:rsidR="00257E83">
        <w:rPr>
          <w:rFonts w:ascii="Times New Roman"/>
        </w:rPr>
        <w:t xml:space="preserve">mainly driven by </w:t>
      </w:r>
      <w:r w:rsidR="00257E83" w:rsidRPr="00257E83">
        <w:rPr>
          <w:rFonts w:ascii="Times New Roman"/>
        </w:rPr>
        <w:t xml:space="preserve">increase </w:t>
      </w:r>
      <w:r w:rsidR="00F0173C">
        <w:rPr>
          <w:rFonts w:ascii="Times New Roman"/>
        </w:rPr>
        <w:t>in</w:t>
      </w:r>
      <w:r w:rsidR="00257E83" w:rsidRPr="00257E83">
        <w:rPr>
          <w:rFonts w:ascii="Times New Roman"/>
        </w:rPr>
        <w:t xml:space="preserve"> automation expenses, </w:t>
      </w:r>
      <w:r w:rsidR="00F0173C">
        <w:rPr>
          <w:rFonts w:ascii="Times New Roman"/>
        </w:rPr>
        <w:t xml:space="preserve">and </w:t>
      </w:r>
      <w:r w:rsidR="00257E83" w:rsidRPr="00257E83">
        <w:rPr>
          <w:rFonts w:ascii="Times New Roman"/>
        </w:rPr>
        <w:t>old equipment replacement</w:t>
      </w:r>
      <w:r w:rsidR="00F0173C">
        <w:rPr>
          <w:rFonts w:ascii="Times New Roman"/>
        </w:rPr>
        <w:t>)</w:t>
      </w:r>
      <w:r w:rsidR="00257E83">
        <w:rPr>
          <w:rFonts w:ascii="Times New Roman"/>
        </w:rPr>
        <w:t xml:space="preserve"> and other </w:t>
      </w:r>
      <w:r w:rsidR="006A3775">
        <w:rPr>
          <w:rFonts w:ascii="Times New Roman"/>
        </w:rPr>
        <w:t xml:space="preserve">consulting </w:t>
      </w:r>
      <w:r w:rsidR="00257E83">
        <w:rPr>
          <w:rFonts w:ascii="Times New Roman"/>
        </w:rPr>
        <w:t>and legal fees resulting from the o</w:t>
      </w:r>
      <w:r w:rsidR="00BB0032">
        <w:rPr>
          <w:rFonts w:ascii="Times New Roman"/>
        </w:rPr>
        <w:t xml:space="preserve">ngoing </w:t>
      </w:r>
      <w:r w:rsidR="00334687">
        <w:rPr>
          <w:rFonts w:ascii="Times New Roman"/>
        </w:rPr>
        <w:t xml:space="preserve">internal controls improvements together with </w:t>
      </w:r>
      <w:r w:rsidR="00F0173C">
        <w:rPr>
          <w:rFonts w:ascii="Times New Roman"/>
        </w:rPr>
        <w:t>M&amp;A</w:t>
      </w:r>
      <w:r w:rsidR="00BB0032">
        <w:rPr>
          <w:rFonts w:ascii="Times New Roman"/>
        </w:rPr>
        <w:t xml:space="preserve"> activities</w:t>
      </w:r>
      <w:r w:rsidR="006A3775">
        <w:rPr>
          <w:rFonts w:ascii="Times New Roman"/>
        </w:rPr>
        <w:t xml:space="preserve">, in particular the recent </w:t>
      </w:r>
      <w:r w:rsidR="00BB0032">
        <w:rPr>
          <w:rFonts w:ascii="Times New Roman"/>
        </w:rPr>
        <w:t xml:space="preserve">acquisition of Contact and </w:t>
      </w:r>
      <w:proofErr w:type="spellStart"/>
      <w:r w:rsidR="00BB0032">
        <w:rPr>
          <w:rFonts w:ascii="Times New Roman"/>
        </w:rPr>
        <w:t>Rapida</w:t>
      </w:r>
      <w:proofErr w:type="spellEnd"/>
      <w:r w:rsidR="006D58DD" w:rsidRPr="00E72E79">
        <w:rPr>
          <w:rFonts w:ascii="Times New Roman"/>
        </w:rPr>
        <w:t>.</w:t>
      </w:r>
      <w:r w:rsidR="006D58DD" w:rsidRPr="006D58DD">
        <w:rPr>
          <w:rFonts w:ascii="Times New Roman"/>
        </w:rPr>
        <w:t xml:space="preserve"> </w:t>
      </w:r>
      <w:r w:rsidRPr="00CF0D8B">
        <w:rPr>
          <w:rFonts w:ascii="Times New Roman"/>
        </w:rPr>
        <w:t>Adjusted</w:t>
      </w:r>
      <w:r>
        <w:rPr>
          <w:rFonts w:ascii="Times New Roman"/>
        </w:rPr>
        <w:t xml:space="preserve"> EBITDA margin (Adjusted EBITDA as a percentage of Total Adjusted Net Revenue) was </w:t>
      </w:r>
      <w:r w:rsidR="00F0209A">
        <w:rPr>
          <w:rFonts w:ascii="Times New Roman"/>
        </w:rPr>
        <w:t>58</w:t>
      </w:r>
      <w:r>
        <w:rPr>
          <w:rFonts w:ascii="Times New Roman"/>
        </w:rPr>
        <w:t>.</w:t>
      </w:r>
      <w:r w:rsidR="00F0209A">
        <w:rPr>
          <w:rFonts w:ascii="Times New Roman"/>
        </w:rPr>
        <w:t>7</w:t>
      </w:r>
      <w:r w:rsidR="00241B71">
        <w:rPr>
          <w:rFonts w:ascii="Times New Roman"/>
        </w:rPr>
        <w:t>% compared with 62</w:t>
      </w:r>
      <w:r>
        <w:rPr>
          <w:rFonts w:ascii="Times New Roman"/>
        </w:rPr>
        <w:t>.</w:t>
      </w:r>
      <w:r w:rsidR="00377771">
        <w:rPr>
          <w:rFonts w:ascii="Times New Roman"/>
        </w:rPr>
        <w:t>4</w:t>
      </w:r>
      <w:r w:rsidR="001F7A82">
        <w:rPr>
          <w:rFonts w:ascii="Times New Roman"/>
        </w:rPr>
        <w:t>% in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quarter ended </w:t>
      </w:r>
      <w:r w:rsidR="00241B71">
        <w:rPr>
          <w:rFonts w:ascii="Times New Roman"/>
        </w:rPr>
        <w:t>June</w:t>
      </w:r>
      <w:r w:rsidR="006D58DD">
        <w:rPr>
          <w:rFonts w:ascii="Times New Roman"/>
        </w:rPr>
        <w:t xml:space="preserve"> </w:t>
      </w:r>
      <w:r>
        <w:rPr>
          <w:rFonts w:ascii="Times New Roman"/>
        </w:rPr>
        <w:t>3</w:t>
      </w:r>
      <w:r w:rsidR="00241B71">
        <w:rPr>
          <w:rFonts w:ascii="Times New Roman"/>
        </w:rPr>
        <w:t>0</w:t>
      </w:r>
      <w:r w:rsidR="006D58DD">
        <w:rPr>
          <w:rFonts w:ascii="Times New Roman"/>
        </w:rPr>
        <w:t>, 2015</w:t>
      </w:r>
      <w:r>
        <w:rPr>
          <w:rFonts w:ascii="Times New Roman"/>
        </w:rPr>
        <w:t xml:space="preserve">, Adjusted Net Profit was RUB </w:t>
      </w:r>
      <w:r w:rsidR="00241B71">
        <w:rPr>
          <w:rFonts w:ascii="Times New Roman"/>
        </w:rPr>
        <w:t>1,03</w:t>
      </w:r>
      <w:r w:rsidR="009E5BEB">
        <w:rPr>
          <w:rFonts w:ascii="Times New Roman"/>
        </w:rPr>
        <w:t>3</w:t>
      </w:r>
      <w:r>
        <w:rPr>
          <w:rFonts w:ascii="Times New Roman"/>
        </w:rPr>
        <w:t xml:space="preserve"> million ($</w:t>
      </w:r>
      <w:r w:rsidR="00F17FDB">
        <w:rPr>
          <w:rFonts w:ascii="Times New Roman"/>
        </w:rPr>
        <w:t>1</w:t>
      </w:r>
      <w:r w:rsidR="00241B71">
        <w:rPr>
          <w:rFonts w:ascii="Times New Roman"/>
        </w:rPr>
        <w:t>8</w:t>
      </w:r>
      <w:r>
        <w:rPr>
          <w:rFonts w:ascii="Times New Roman"/>
        </w:rPr>
        <w:t>.</w:t>
      </w:r>
      <w:r w:rsidR="009E5BEB">
        <w:rPr>
          <w:rFonts w:ascii="Times New Roman"/>
        </w:rPr>
        <w:t>6</w:t>
      </w:r>
      <w:r>
        <w:rPr>
          <w:rFonts w:ascii="Times New Roman"/>
        </w:rPr>
        <w:t xml:space="preserve"> million), an increase </w:t>
      </w:r>
      <w:r w:rsidRPr="00BB0032">
        <w:rPr>
          <w:rFonts w:ascii="Times New Roman"/>
        </w:rPr>
        <w:t xml:space="preserve">of </w:t>
      </w:r>
      <w:r w:rsidR="009E5BEB" w:rsidRPr="00BB0032">
        <w:rPr>
          <w:rFonts w:ascii="Times New Roman"/>
        </w:rPr>
        <w:t>9</w:t>
      </w:r>
      <w:r w:rsidRPr="00BB0032">
        <w:rPr>
          <w:rFonts w:ascii="Times New Roman"/>
        </w:rPr>
        <w:t xml:space="preserve">% compared with RUB </w:t>
      </w:r>
      <w:r w:rsidR="009E5BEB" w:rsidRPr="00D8027D">
        <w:rPr>
          <w:rFonts w:ascii="Times New Roman"/>
        </w:rPr>
        <w:t>951</w:t>
      </w:r>
      <w:r>
        <w:rPr>
          <w:rFonts w:ascii="Times New Roman"/>
        </w:rPr>
        <w:t xml:space="preserve"> million in the prior year. The increase in Adjusted Net Profit was primarily driven by the same factors impacting Adjusted EBITDA</w:t>
      </w:r>
      <w:r w:rsidR="00764043">
        <w:rPr>
          <w:rFonts w:ascii="Times New Roman"/>
        </w:rPr>
        <w:t xml:space="preserve">, though pressured </w:t>
      </w:r>
      <w:r w:rsidR="00BB0032">
        <w:rPr>
          <w:rFonts w:ascii="Times New Roman"/>
        </w:rPr>
        <w:t xml:space="preserve">by the increase in </w:t>
      </w:r>
      <w:r w:rsidR="00D8027D">
        <w:rPr>
          <w:rFonts w:ascii="Times New Roman"/>
        </w:rPr>
        <w:t>d</w:t>
      </w:r>
      <w:r w:rsidR="00BB0032">
        <w:rPr>
          <w:rFonts w:ascii="Times New Roman"/>
        </w:rPr>
        <w:t xml:space="preserve">epreciation and amortization expenses by RUB </w:t>
      </w:r>
      <w:r w:rsidR="00310ED0">
        <w:rPr>
          <w:rFonts w:ascii="Times New Roman"/>
        </w:rPr>
        <w:t>76</w:t>
      </w:r>
      <w:r w:rsidR="00BB0032">
        <w:rPr>
          <w:rFonts w:ascii="Times New Roman"/>
        </w:rPr>
        <w:t xml:space="preserve"> million as compared to the second quarter 2014 to RUB 1</w:t>
      </w:r>
      <w:r w:rsidR="00310ED0">
        <w:rPr>
          <w:rFonts w:ascii="Times New Roman"/>
        </w:rPr>
        <w:t>57</w:t>
      </w:r>
      <w:r w:rsidR="00BB0032">
        <w:rPr>
          <w:rFonts w:ascii="Times New Roman"/>
        </w:rPr>
        <w:t xml:space="preserve"> million as a result of </w:t>
      </w:r>
      <w:r w:rsidR="00E21398">
        <w:rPr>
          <w:rFonts w:ascii="Times New Roman"/>
        </w:rPr>
        <w:t xml:space="preserve">purchase of additional </w:t>
      </w:r>
      <w:r w:rsidR="00BB0032" w:rsidRPr="00BB0032">
        <w:rPr>
          <w:rFonts w:ascii="Times New Roman"/>
        </w:rPr>
        <w:t xml:space="preserve">fixed assets (mostly processing servers and engineering equipment) and intangible assets (mostly licenses </w:t>
      </w:r>
      <w:r w:rsidR="00BB0032">
        <w:rPr>
          <w:rFonts w:ascii="Times New Roman"/>
        </w:rPr>
        <w:t>and computer software) for security and business development purposes in the fourth quarter 2014</w:t>
      </w:r>
      <w:r w:rsidR="001F7A82">
        <w:rPr>
          <w:rFonts w:ascii="Times New Roman"/>
        </w:rPr>
        <w:t>.</w:t>
      </w:r>
    </w:p>
    <w:p w:rsidR="003D3912" w:rsidRDefault="003D3912">
      <w:pPr>
        <w:spacing w:after="0"/>
        <w:jc w:val="both"/>
        <w:rPr>
          <w:rFonts w:ascii="Times New Roman" w:eastAsia="Times New Roman" w:hAnsi="Times New Roman" w:cs="Times New Roman"/>
        </w:rPr>
      </w:pPr>
    </w:p>
    <w:p w:rsidR="003D3912" w:rsidRPr="00CF24B5" w:rsidRDefault="00233C6E">
      <w:pPr>
        <w:spacing w:after="0"/>
        <w:jc w:val="both"/>
        <w:rPr>
          <w:rFonts w:ascii="Times New Roman" w:eastAsia="Times New Roman" w:hAnsi="Times New Roman" w:cs="Times New Roman"/>
        </w:rPr>
      </w:pPr>
      <w:r>
        <w:rPr>
          <w:rFonts w:ascii="Times New Roman"/>
          <w:i/>
          <w:iCs/>
        </w:rPr>
        <w:t xml:space="preserve">Other Operating Data: </w:t>
      </w:r>
      <w:r>
        <w:rPr>
          <w:rFonts w:ascii="Times New Roman"/>
        </w:rPr>
        <w:t xml:space="preserve">For the quarter ended </w:t>
      </w:r>
      <w:r w:rsidR="00241B71">
        <w:rPr>
          <w:rFonts w:ascii="Times New Roman"/>
        </w:rPr>
        <w:t>June</w:t>
      </w:r>
      <w:r w:rsidR="00633CBB">
        <w:rPr>
          <w:rFonts w:ascii="Times New Roman"/>
        </w:rPr>
        <w:t xml:space="preserve"> </w:t>
      </w:r>
      <w:r>
        <w:rPr>
          <w:rFonts w:ascii="Times New Roman"/>
        </w:rPr>
        <w:t>3</w:t>
      </w:r>
      <w:r w:rsidR="00241B71">
        <w:rPr>
          <w:rFonts w:ascii="Times New Roman"/>
        </w:rPr>
        <w:t>0</w:t>
      </w:r>
      <w:r w:rsidR="006D58DD">
        <w:rPr>
          <w:rFonts w:ascii="Times New Roman"/>
        </w:rPr>
        <w:t>, 2015</w:t>
      </w:r>
      <w:r w:rsidR="00241B71">
        <w:rPr>
          <w:rFonts w:ascii="Times New Roman"/>
        </w:rPr>
        <w:t>, total payment volume was RUB 204</w:t>
      </w:r>
      <w:r>
        <w:rPr>
          <w:rFonts w:ascii="Times New Roman"/>
        </w:rPr>
        <w:t>.</w:t>
      </w:r>
      <w:r w:rsidR="00241B71">
        <w:rPr>
          <w:rFonts w:ascii="Times New Roman"/>
        </w:rPr>
        <w:t>2</w:t>
      </w:r>
      <w:r>
        <w:rPr>
          <w:rFonts w:ascii="Times New Roman"/>
        </w:rPr>
        <w:t xml:space="preserve"> billion ($</w:t>
      </w:r>
      <w:r w:rsidR="00241B71">
        <w:rPr>
          <w:rFonts w:ascii="Times New Roman"/>
        </w:rPr>
        <w:t>3</w:t>
      </w:r>
      <w:r>
        <w:rPr>
          <w:rFonts w:ascii="Times New Roman"/>
        </w:rPr>
        <w:t>.</w:t>
      </w:r>
      <w:r w:rsidR="006D58DD">
        <w:rPr>
          <w:rFonts w:ascii="Times New Roman"/>
        </w:rPr>
        <w:t>7</w:t>
      </w:r>
      <w:r>
        <w:rPr>
          <w:rFonts w:ascii="Times New Roman"/>
        </w:rPr>
        <w:t xml:space="preserve"> billion), an increase of </w:t>
      </w:r>
      <w:r w:rsidR="00241B71">
        <w:rPr>
          <w:rFonts w:ascii="Times New Roman"/>
        </w:rPr>
        <w:t>31</w:t>
      </w:r>
      <w:r>
        <w:rPr>
          <w:rFonts w:ascii="Times New Roman"/>
        </w:rPr>
        <w:t>% compared with RUB 1</w:t>
      </w:r>
      <w:r w:rsidR="00241B71">
        <w:rPr>
          <w:rFonts w:ascii="Times New Roman"/>
        </w:rPr>
        <w:t>56</w:t>
      </w:r>
      <w:r>
        <w:rPr>
          <w:rFonts w:ascii="Times New Roman"/>
        </w:rPr>
        <w:t>.</w:t>
      </w:r>
      <w:r w:rsidR="00310ED0" w:rsidRPr="00310ED0">
        <w:rPr>
          <w:rFonts w:ascii="Times New Roman"/>
        </w:rPr>
        <w:t>3</w:t>
      </w:r>
      <w:r>
        <w:rPr>
          <w:rFonts w:ascii="Times New Roman"/>
        </w:rPr>
        <w:t xml:space="preserve"> billion in the prior year. </w:t>
      </w:r>
      <w:r w:rsidR="00D12212">
        <w:rPr>
          <w:rFonts w:ascii="Times New Roman"/>
        </w:rPr>
        <w:t xml:space="preserve">Payment volume increased across all verticals </w:t>
      </w:r>
      <w:r w:rsidR="00241B71">
        <w:rPr>
          <w:rFonts w:ascii="Times New Roman"/>
        </w:rPr>
        <w:t xml:space="preserve">partially driven by acquisition and consolidation of Contact and </w:t>
      </w:r>
      <w:proofErr w:type="spellStart"/>
      <w:r w:rsidR="00241B71">
        <w:rPr>
          <w:rFonts w:ascii="Times New Roman"/>
        </w:rPr>
        <w:t>Rapida</w:t>
      </w:r>
      <w:proofErr w:type="spellEnd"/>
      <w:r w:rsidR="00241B71">
        <w:rPr>
          <w:rFonts w:ascii="Times New Roman"/>
        </w:rPr>
        <w:t xml:space="preserve"> businesses</w:t>
      </w:r>
      <w:r w:rsidR="009E5BEB">
        <w:rPr>
          <w:rFonts w:ascii="Times New Roman"/>
        </w:rPr>
        <w:t xml:space="preserve"> as well as organic growth in </w:t>
      </w:r>
      <w:r w:rsidR="009A3600">
        <w:rPr>
          <w:rFonts w:ascii="Times New Roman"/>
        </w:rPr>
        <w:t>E</w:t>
      </w:r>
      <w:r w:rsidR="00D24C94">
        <w:rPr>
          <w:rFonts w:ascii="Times New Roman"/>
        </w:rPr>
        <w:t xml:space="preserve">-commerce and </w:t>
      </w:r>
      <w:r w:rsidR="009A3600">
        <w:rPr>
          <w:rFonts w:ascii="Times New Roman"/>
        </w:rPr>
        <w:t>M</w:t>
      </w:r>
      <w:r w:rsidR="00D24C94">
        <w:rPr>
          <w:rFonts w:ascii="Times New Roman"/>
        </w:rPr>
        <w:t xml:space="preserve">oney </w:t>
      </w:r>
      <w:r w:rsidR="009A3600">
        <w:rPr>
          <w:rFonts w:ascii="Times New Roman"/>
        </w:rPr>
        <w:t>R</w:t>
      </w:r>
      <w:r w:rsidR="00D24C94">
        <w:rPr>
          <w:rFonts w:ascii="Times New Roman"/>
        </w:rPr>
        <w:t xml:space="preserve">emittance </w:t>
      </w:r>
      <w:r w:rsidR="009E5BEB">
        <w:rPr>
          <w:rFonts w:ascii="Times New Roman"/>
        </w:rPr>
        <w:t>market verticals</w:t>
      </w:r>
      <w:r w:rsidR="00D12212">
        <w:rPr>
          <w:rFonts w:ascii="Times New Roman"/>
        </w:rPr>
        <w:t xml:space="preserve">. </w:t>
      </w:r>
      <w:r>
        <w:rPr>
          <w:rFonts w:ascii="Times New Roman"/>
        </w:rPr>
        <w:t>Average</w:t>
      </w:r>
      <w:r w:rsidR="00241B71">
        <w:rPr>
          <w:rFonts w:ascii="Times New Roman"/>
        </w:rPr>
        <w:t xml:space="preserve"> payment net revenue yield was 0</w:t>
      </w:r>
      <w:r>
        <w:rPr>
          <w:rFonts w:ascii="Times New Roman"/>
        </w:rPr>
        <w:t>.</w:t>
      </w:r>
      <w:r w:rsidR="00241B71">
        <w:rPr>
          <w:rFonts w:ascii="Times New Roman"/>
        </w:rPr>
        <w:t>92</w:t>
      </w:r>
      <w:r w:rsidR="001A72AF">
        <w:rPr>
          <w:rFonts w:ascii="Times New Roman"/>
        </w:rPr>
        <w:t>%, a decrease</w:t>
      </w:r>
      <w:r>
        <w:rPr>
          <w:rFonts w:ascii="Times New Roman"/>
        </w:rPr>
        <w:t xml:space="preserve"> of </w:t>
      </w:r>
      <w:r w:rsidR="001A72AF">
        <w:rPr>
          <w:rFonts w:ascii="Times New Roman"/>
        </w:rPr>
        <w:t>8</w:t>
      </w:r>
      <w:r>
        <w:rPr>
          <w:rFonts w:ascii="Times New Roman"/>
        </w:rPr>
        <w:t xml:space="preserve"> bps compared with </w:t>
      </w:r>
      <w:r w:rsidR="001A72AF">
        <w:rPr>
          <w:rFonts w:ascii="Times New Roman"/>
        </w:rPr>
        <w:t>1.00</w:t>
      </w:r>
      <w:r>
        <w:rPr>
          <w:rFonts w:ascii="Times New Roman"/>
        </w:rPr>
        <w:t xml:space="preserve">% in the prior </w:t>
      </w:r>
      <w:r w:rsidR="00D1558F">
        <w:rPr>
          <w:rFonts w:ascii="Times New Roman"/>
        </w:rPr>
        <w:t xml:space="preserve">period </w:t>
      </w:r>
      <w:r w:rsidR="00D24C94">
        <w:rPr>
          <w:rFonts w:ascii="Times New Roman"/>
        </w:rPr>
        <w:t xml:space="preserve">primarily due to </w:t>
      </w:r>
      <w:r w:rsidR="00B076CC">
        <w:rPr>
          <w:rFonts w:ascii="Times New Roman"/>
        </w:rPr>
        <w:t xml:space="preserve">the consolidation of lower yielding Contact and </w:t>
      </w:r>
      <w:proofErr w:type="spellStart"/>
      <w:r w:rsidR="00B076CC">
        <w:rPr>
          <w:rFonts w:ascii="Times New Roman"/>
        </w:rPr>
        <w:t>Rapida</w:t>
      </w:r>
      <w:proofErr w:type="spellEnd"/>
      <w:r w:rsidR="00D24C94">
        <w:rPr>
          <w:rFonts w:ascii="Times New Roman"/>
        </w:rPr>
        <w:t xml:space="preserve"> businesses</w:t>
      </w:r>
      <w:r w:rsidR="00F0173C">
        <w:rPr>
          <w:rFonts w:ascii="Times New Roman"/>
        </w:rPr>
        <w:t>.</w:t>
      </w:r>
    </w:p>
    <w:p w:rsidR="003D3912" w:rsidRDefault="00233C6E">
      <w:pPr>
        <w:spacing w:after="0"/>
        <w:jc w:val="both"/>
        <w:rPr>
          <w:rFonts w:ascii="Times New Roman"/>
        </w:rPr>
      </w:pPr>
      <w:r>
        <w:rPr>
          <w:rFonts w:ascii="Times New Roman"/>
        </w:rPr>
        <w:t>The total a</w:t>
      </w:r>
      <w:r w:rsidR="006D58DD">
        <w:rPr>
          <w:rFonts w:ascii="Times New Roman"/>
        </w:rPr>
        <w:t>v</w:t>
      </w:r>
      <w:r w:rsidR="001A72AF">
        <w:rPr>
          <w:rFonts w:ascii="Times New Roman"/>
        </w:rPr>
        <w:t>erage Net Revenue Yield was 1.24%, a decrease of 11</w:t>
      </w:r>
      <w:r>
        <w:rPr>
          <w:rFonts w:ascii="Times New Roman"/>
        </w:rPr>
        <w:t xml:space="preserve"> bps as compared with 1.</w:t>
      </w:r>
      <w:r w:rsidR="001A72AF">
        <w:rPr>
          <w:rFonts w:ascii="Times New Roman"/>
        </w:rPr>
        <w:t>35</w:t>
      </w:r>
      <w:r>
        <w:rPr>
          <w:rFonts w:ascii="Times New Roman"/>
        </w:rPr>
        <w:t xml:space="preserve">% in the prior year. </w:t>
      </w:r>
    </w:p>
    <w:p w:rsidR="0067127E" w:rsidRDefault="0067127E">
      <w:pPr>
        <w:spacing w:after="0"/>
        <w:jc w:val="both"/>
        <w:rPr>
          <w:rFonts w:ascii="Times New Roman"/>
        </w:rPr>
      </w:pPr>
    </w:p>
    <w:p w:rsidR="0067127E" w:rsidRDefault="0067127E">
      <w:pPr>
        <w:spacing w:after="0"/>
        <w:jc w:val="both"/>
        <w:rPr>
          <w:rFonts w:ascii="Times New Roman"/>
        </w:rPr>
      </w:pPr>
      <w:r w:rsidRPr="0067127E">
        <w:rPr>
          <w:rFonts w:ascii="Times New Roman"/>
        </w:rPr>
        <w:t>The number of act</w:t>
      </w:r>
      <w:r>
        <w:rPr>
          <w:rFonts w:ascii="Times New Roman"/>
        </w:rPr>
        <w:t xml:space="preserve">ive kiosks and terminals was </w:t>
      </w:r>
      <w:r w:rsidR="001A72AF" w:rsidRPr="001A72AF">
        <w:rPr>
          <w:rFonts w:ascii="Times New Roman"/>
        </w:rPr>
        <w:t>176,831</w:t>
      </w:r>
      <w:r>
        <w:rPr>
          <w:rFonts w:ascii="Times New Roman"/>
        </w:rPr>
        <w:t>,</w:t>
      </w:r>
      <w:r w:rsidR="001A72AF">
        <w:rPr>
          <w:rFonts w:ascii="Times New Roman"/>
        </w:rPr>
        <w:t xml:space="preserve"> an increase of 3</w:t>
      </w:r>
      <w:r w:rsidRPr="0067127E">
        <w:rPr>
          <w:rFonts w:ascii="Times New Roman"/>
        </w:rPr>
        <w:t xml:space="preserve">% compared with the prior year. The number of active </w:t>
      </w:r>
      <w:r>
        <w:rPr>
          <w:rFonts w:ascii="Times New Roman"/>
        </w:rPr>
        <w:t>Vi</w:t>
      </w:r>
      <w:r w:rsidR="001A72AF">
        <w:rPr>
          <w:rFonts w:ascii="Times New Roman"/>
        </w:rPr>
        <w:t xml:space="preserve">sa </w:t>
      </w:r>
      <w:proofErr w:type="spellStart"/>
      <w:r w:rsidR="001A72AF">
        <w:rPr>
          <w:rFonts w:ascii="Times New Roman"/>
        </w:rPr>
        <w:t>Qiwi</w:t>
      </w:r>
      <w:proofErr w:type="spellEnd"/>
      <w:r w:rsidR="001A72AF">
        <w:rPr>
          <w:rFonts w:ascii="Times New Roman"/>
        </w:rPr>
        <w:t xml:space="preserve"> Wallet accounts was 17.0</w:t>
      </w:r>
      <w:r w:rsidRPr="0067127E">
        <w:rPr>
          <w:rFonts w:ascii="Times New Roman"/>
        </w:rPr>
        <w:t xml:space="preserve"> m</w:t>
      </w:r>
      <w:r w:rsidR="001A72AF">
        <w:rPr>
          <w:rFonts w:ascii="Times New Roman"/>
        </w:rPr>
        <w:t>illion in the second</w:t>
      </w:r>
      <w:r>
        <w:rPr>
          <w:rFonts w:ascii="Times New Roman"/>
        </w:rPr>
        <w:t>-</w:t>
      </w:r>
      <w:r w:rsidR="001A72AF">
        <w:rPr>
          <w:rFonts w:ascii="Times New Roman"/>
        </w:rPr>
        <w:t>quarter 2015, an increase of 1.2 million, or 7%, as compared with 15.8 million in the second</w:t>
      </w:r>
      <w:r>
        <w:rPr>
          <w:rFonts w:ascii="Times New Roman"/>
        </w:rPr>
        <w:t>-quarter 2014</w:t>
      </w:r>
      <w:r w:rsidRPr="0067127E">
        <w:rPr>
          <w:rFonts w:ascii="Times New Roman"/>
        </w:rPr>
        <w:t>.</w:t>
      </w:r>
    </w:p>
    <w:p w:rsidR="004235DB" w:rsidRDefault="004235DB">
      <w:pPr>
        <w:spacing w:after="0" w:line="240" w:lineRule="auto"/>
        <w:rPr>
          <w:rFonts w:ascii="Times New Roman Bold"/>
          <w:b/>
        </w:rPr>
      </w:pPr>
    </w:p>
    <w:p w:rsidR="00F32895" w:rsidRPr="004C2998" w:rsidRDefault="00F32895" w:rsidP="004235DB">
      <w:pPr>
        <w:keepNext/>
        <w:spacing w:after="0"/>
        <w:rPr>
          <w:rFonts w:ascii="Times New Roman Bold" w:eastAsia="Times New Roman Bold" w:hAnsi="Times New Roman Bold" w:cs="Times New Roman Bold"/>
          <w:b/>
        </w:rPr>
      </w:pPr>
      <w:r w:rsidRPr="004C2998">
        <w:rPr>
          <w:rFonts w:ascii="Times New Roman Bold"/>
          <w:b/>
        </w:rPr>
        <w:t>Recent Developments</w:t>
      </w:r>
    </w:p>
    <w:p w:rsidR="00F32895" w:rsidRDefault="00F32895" w:rsidP="004235DB">
      <w:pPr>
        <w:keepNext/>
        <w:spacing w:after="0"/>
        <w:jc w:val="both"/>
        <w:rPr>
          <w:rFonts w:ascii="Times New Roman" w:eastAsia="Times New Roman" w:hAnsi="Times New Roman" w:cs="Times New Roman"/>
          <w:i/>
          <w:iCs/>
        </w:rPr>
      </w:pPr>
    </w:p>
    <w:p w:rsidR="00E21398" w:rsidRDefault="00F32895" w:rsidP="004235DB">
      <w:pPr>
        <w:keepNext/>
        <w:spacing w:after="0"/>
        <w:jc w:val="both"/>
        <w:rPr>
          <w:rFonts w:ascii="Times New Roman"/>
        </w:rPr>
      </w:pPr>
      <w:r w:rsidRPr="00E0774B">
        <w:rPr>
          <w:rFonts w:ascii="Times New Roman"/>
          <w:i/>
          <w:iCs/>
        </w:rPr>
        <w:t>Dividend:</w:t>
      </w:r>
      <w:r w:rsidRPr="00E0774B">
        <w:rPr>
          <w:rFonts w:ascii="Times New Roman" w:eastAsia="Times New Roman" w:hAnsi="Times New Roman" w:cs="Times New Roman"/>
        </w:rPr>
        <w:t xml:space="preserve"> </w:t>
      </w:r>
      <w:r w:rsidR="007044BD" w:rsidRPr="00E0774B">
        <w:rPr>
          <w:rFonts w:ascii="Times New Roman"/>
        </w:rPr>
        <w:t xml:space="preserve">QIWI </w:t>
      </w:r>
      <w:r w:rsidR="00E21398">
        <w:rPr>
          <w:rFonts w:ascii="Times New Roman"/>
        </w:rPr>
        <w:t xml:space="preserve">continues to pursue different M&amp;A opportunities and considers the timing and current market conditions to favor this strategy. We plan to refrain from paying dividends for the next few quarters with the objective to return to our </w:t>
      </w:r>
      <w:r w:rsidR="00E0774B">
        <w:rPr>
          <w:rFonts w:ascii="Times New Roman"/>
        </w:rPr>
        <w:t xml:space="preserve">historical </w:t>
      </w:r>
      <w:r w:rsidR="00E21398">
        <w:rPr>
          <w:rFonts w:ascii="Times New Roman"/>
        </w:rPr>
        <w:t xml:space="preserve">dividend distribution practice </w:t>
      </w:r>
      <w:r w:rsidR="00E0774B">
        <w:rPr>
          <w:rFonts w:ascii="Times New Roman"/>
        </w:rPr>
        <w:t>once this window closes</w:t>
      </w:r>
      <w:r w:rsidR="00E21398">
        <w:rPr>
          <w:rFonts w:ascii="Times New Roman"/>
        </w:rPr>
        <w:t xml:space="preserve">. </w:t>
      </w:r>
    </w:p>
    <w:p w:rsidR="000E18D7" w:rsidRPr="00E0774B" w:rsidRDefault="000E18D7" w:rsidP="004235DB">
      <w:pPr>
        <w:keepNext/>
        <w:spacing w:after="0"/>
        <w:jc w:val="both"/>
        <w:rPr>
          <w:rFonts w:ascii="Times New Roman"/>
        </w:rPr>
      </w:pPr>
    </w:p>
    <w:p w:rsidR="004E2D18" w:rsidRPr="00E0774B" w:rsidRDefault="00413EA7" w:rsidP="004235DB">
      <w:pPr>
        <w:keepNext/>
        <w:spacing w:after="0"/>
        <w:jc w:val="both"/>
        <w:rPr>
          <w:rFonts w:ascii="Times New Roman"/>
        </w:rPr>
      </w:pPr>
      <w:r w:rsidRPr="00E0774B">
        <w:rPr>
          <w:rFonts w:ascii="Times New Roman"/>
        </w:rPr>
        <w:t xml:space="preserve">Acquisition of Contact and </w:t>
      </w:r>
      <w:proofErr w:type="spellStart"/>
      <w:r w:rsidRPr="00E0774B">
        <w:rPr>
          <w:rFonts w:ascii="Times New Roman"/>
        </w:rPr>
        <w:t>Rapida</w:t>
      </w:r>
      <w:proofErr w:type="spellEnd"/>
      <w:r w:rsidRPr="00E0774B">
        <w:rPr>
          <w:rFonts w:ascii="Times New Roman"/>
        </w:rPr>
        <w:t xml:space="preserve">: </w:t>
      </w:r>
      <w:r w:rsidR="009A036D" w:rsidRPr="00E0774B">
        <w:rPr>
          <w:rFonts w:ascii="Times New Roman"/>
        </w:rPr>
        <w:t xml:space="preserve">On May 14th, 2015 we announced the acquisition of 100% ownership in the Contact money transfer system and the </w:t>
      </w:r>
      <w:proofErr w:type="spellStart"/>
      <w:r w:rsidR="009A036D" w:rsidRPr="00E0774B">
        <w:rPr>
          <w:rFonts w:ascii="Times New Roman"/>
        </w:rPr>
        <w:t>Rapida</w:t>
      </w:r>
      <w:proofErr w:type="spellEnd"/>
      <w:r w:rsidR="009A036D" w:rsidRPr="00E0774B">
        <w:rPr>
          <w:rFonts w:ascii="Times New Roman"/>
        </w:rPr>
        <w:t xml:space="preserve"> payment processing system from </w:t>
      </w:r>
      <w:proofErr w:type="spellStart"/>
      <w:r w:rsidR="009A036D" w:rsidRPr="00E0774B">
        <w:rPr>
          <w:rFonts w:ascii="Times New Roman"/>
        </w:rPr>
        <w:t>Otkritie</w:t>
      </w:r>
      <w:proofErr w:type="spellEnd"/>
      <w:r w:rsidR="009A036D" w:rsidRPr="00E0774B">
        <w:rPr>
          <w:rFonts w:ascii="Times New Roman"/>
        </w:rPr>
        <w:t xml:space="preserve"> financial corporation</w:t>
      </w:r>
      <w:r w:rsidR="00D43769" w:rsidRPr="00E0774B">
        <w:rPr>
          <w:rFonts w:ascii="Times New Roman"/>
        </w:rPr>
        <w:t xml:space="preserve">. The deal was structured as a two-stage process within which we acquired 70% of interest in </w:t>
      </w:r>
      <w:r w:rsidR="00F0173C">
        <w:rPr>
          <w:rFonts w:ascii="Times New Roman"/>
        </w:rPr>
        <w:t xml:space="preserve">Contact and </w:t>
      </w:r>
      <w:proofErr w:type="spellStart"/>
      <w:r w:rsidR="00F0173C">
        <w:rPr>
          <w:rFonts w:ascii="Times New Roman"/>
        </w:rPr>
        <w:t>Rapida</w:t>
      </w:r>
      <w:proofErr w:type="spellEnd"/>
      <w:r w:rsidR="00D43769" w:rsidRPr="00E0774B">
        <w:rPr>
          <w:rFonts w:ascii="Times New Roman"/>
        </w:rPr>
        <w:t xml:space="preserve"> on June 2nd, 2015 with the deal on the remaining 30% closed on June 30th, 2015</w:t>
      </w:r>
      <w:r w:rsidR="00310ED0" w:rsidRPr="00310ED0">
        <w:t xml:space="preserve"> </w:t>
      </w:r>
      <w:r w:rsidR="00310ED0" w:rsidRPr="00310ED0">
        <w:rPr>
          <w:rFonts w:ascii="Times New Roman"/>
        </w:rPr>
        <w:t>Starting June 1st 2015 we consolidate financial results of the above mentioned companies in our financial statements which are presented in the Annex below</w:t>
      </w:r>
      <w:r w:rsidR="00E21398">
        <w:rPr>
          <w:rFonts w:ascii="Times New Roman"/>
        </w:rPr>
        <w:t>.</w:t>
      </w:r>
    </w:p>
    <w:p w:rsidR="003D3912" w:rsidRPr="007C45F3" w:rsidRDefault="003D3912" w:rsidP="004235DB">
      <w:pPr>
        <w:spacing w:after="0"/>
        <w:jc w:val="both"/>
        <w:rPr>
          <w:rFonts w:ascii="Times New Roman" w:eastAsia="Times New Roman" w:hAnsi="Times New Roman" w:cs="Times New Roman"/>
          <w:highlight w:val="yellow"/>
        </w:rPr>
      </w:pPr>
    </w:p>
    <w:p w:rsidR="003D3912" w:rsidRPr="00E0774B" w:rsidRDefault="00233C6E" w:rsidP="004235DB">
      <w:pPr>
        <w:spacing w:after="0"/>
        <w:rPr>
          <w:rFonts w:ascii="Times New Roman Bold" w:eastAsia="Times New Roman Bold" w:hAnsi="Times New Roman Bold" w:cs="Times New Roman Bold"/>
          <w:b/>
        </w:rPr>
      </w:pPr>
      <w:r w:rsidRPr="00E0774B">
        <w:rPr>
          <w:rFonts w:ascii="Times New Roman Bold"/>
          <w:b/>
        </w:rPr>
        <w:t>201</w:t>
      </w:r>
      <w:r w:rsidR="00CF4758" w:rsidRPr="00E0774B">
        <w:rPr>
          <w:rFonts w:ascii="Times New Roman Bold"/>
          <w:b/>
        </w:rPr>
        <w:t>5</w:t>
      </w:r>
      <w:r w:rsidRPr="00E0774B">
        <w:rPr>
          <w:rFonts w:ascii="Times New Roman Bold"/>
          <w:b/>
        </w:rPr>
        <w:t xml:space="preserve"> Guidance</w:t>
      </w:r>
      <w:r w:rsidR="004235DB" w:rsidRPr="00E0774B">
        <w:rPr>
          <w:rStyle w:val="af"/>
          <w:rFonts w:ascii="Times New Roman Bold"/>
          <w:b/>
        </w:rPr>
        <w:footnoteReference w:id="1"/>
      </w:r>
    </w:p>
    <w:p w:rsidR="003D3912" w:rsidRPr="00E0774B" w:rsidRDefault="003D3912" w:rsidP="004235DB">
      <w:pPr>
        <w:spacing w:after="0"/>
        <w:jc w:val="both"/>
        <w:rPr>
          <w:rFonts w:ascii="Times New Roman" w:eastAsia="Times New Roman" w:hAnsi="Times New Roman" w:cs="Times New Roman"/>
        </w:rPr>
      </w:pPr>
    </w:p>
    <w:p w:rsidR="003D3912" w:rsidRPr="00E0774B" w:rsidRDefault="00233C6E" w:rsidP="004235DB">
      <w:pPr>
        <w:spacing w:after="0"/>
        <w:jc w:val="both"/>
        <w:rPr>
          <w:rFonts w:ascii="Times New Roman" w:eastAsia="Times New Roman" w:hAnsi="Times New Roman" w:cs="Times New Roman"/>
        </w:rPr>
      </w:pPr>
      <w:r w:rsidRPr="00E0774B">
        <w:rPr>
          <w:rFonts w:ascii="Times New Roman"/>
        </w:rPr>
        <w:t xml:space="preserve">QIWI </w:t>
      </w:r>
      <w:r w:rsidR="00931539" w:rsidRPr="00E0774B">
        <w:rPr>
          <w:rFonts w:ascii="Times New Roman"/>
        </w:rPr>
        <w:t xml:space="preserve">reviews </w:t>
      </w:r>
      <w:r w:rsidR="00CB2EC3" w:rsidRPr="00E0774B">
        <w:rPr>
          <w:rFonts w:ascii="Times New Roman"/>
        </w:rPr>
        <w:t xml:space="preserve">its guidance in respect of </w:t>
      </w:r>
      <w:r w:rsidRPr="00E0774B">
        <w:rPr>
          <w:rFonts w:ascii="Times New Roman"/>
        </w:rPr>
        <w:t>201</w:t>
      </w:r>
      <w:r w:rsidR="00CB2EC3" w:rsidRPr="00E0774B">
        <w:rPr>
          <w:rFonts w:ascii="Times New Roman"/>
        </w:rPr>
        <w:t>5</w:t>
      </w:r>
      <w:r w:rsidRPr="00E0774B">
        <w:rPr>
          <w:rFonts w:ascii="Times New Roman"/>
        </w:rPr>
        <w:t xml:space="preserve"> outlook:</w:t>
      </w:r>
    </w:p>
    <w:p w:rsidR="003D3912" w:rsidRPr="00E0774B" w:rsidRDefault="003D3912" w:rsidP="004235DB">
      <w:pPr>
        <w:spacing w:after="0"/>
        <w:jc w:val="both"/>
        <w:rPr>
          <w:rFonts w:ascii="Times New Roman" w:eastAsia="Times New Roman" w:hAnsi="Times New Roman" w:cs="Times New Roman"/>
        </w:rPr>
      </w:pPr>
    </w:p>
    <w:p w:rsidR="003D3912" w:rsidRPr="00E0774B" w:rsidRDefault="00233C6E" w:rsidP="00E0774B">
      <w:pPr>
        <w:numPr>
          <w:ilvl w:val="0"/>
          <w:numId w:val="5"/>
        </w:numPr>
        <w:tabs>
          <w:tab w:val="num" w:pos="720"/>
        </w:tabs>
        <w:spacing w:after="0"/>
        <w:ind w:left="720" w:hanging="360"/>
        <w:jc w:val="both"/>
        <w:rPr>
          <w:rFonts w:ascii="Times New Roman" w:eastAsia="Times New Roman" w:hAnsi="Times New Roman" w:cs="Times New Roman"/>
        </w:rPr>
      </w:pPr>
      <w:r w:rsidRPr="00E0774B">
        <w:rPr>
          <w:rFonts w:ascii="Times New Roman"/>
        </w:rPr>
        <w:lastRenderedPageBreak/>
        <w:t xml:space="preserve">Total Adjusted Net Revenue is expected to increase by </w:t>
      </w:r>
      <w:r w:rsidR="00CC0ACE" w:rsidRPr="00E0774B">
        <w:rPr>
          <w:rFonts w:ascii="Times New Roman"/>
        </w:rPr>
        <w:t>18</w:t>
      </w:r>
      <w:r w:rsidRPr="00E0774B">
        <w:rPr>
          <w:rFonts w:ascii="Times New Roman"/>
        </w:rPr>
        <w:t xml:space="preserve">% to </w:t>
      </w:r>
      <w:r w:rsidR="00CC0ACE" w:rsidRPr="00E0774B">
        <w:rPr>
          <w:rFonts w:ascii="Times New Roman"/>
        </w:rPr>
        <w:t>22</w:t>
      </w:r>
      <w:r w:rsidRPr="00E0774B">
        <w:rPr>
          <w:rFonts w:ascii="Times New Roman"/>
        </w:rPr>
        <w:t>% over 201</w:t>
      </w:r>
      <w:r w:rsidR="00CB2EC3" w:rsidRPr="00E0774B">
        <w:rPr>
          <w:rFonts w:ascii="Times New Roman"/>
        </w:rPr>
        <w:t>4</w:t>
      </w:r>
    </w:p>
    <w:p w:rsidR="003D3912" w:rsidRPr="00E0774B" w:rsidRDefault="00233C6E" w:rsidP="00E0774B">
      <w:pPr>
        <w:numPr>
          <w:ilvl w:val="0"/>
          <w:numId w:val="6"/>
        </w:numPr>
        <w:tabs>
          <w:tab w:val="num" w:pos="720"/>
        </w:tabs>
        <w:spacing w:after="0"/>
        <w:ind w:left="720" w:hanging="360"/>
        <w:jc w:val="both"/>
        <w:rPr>
          <w:rFonts w:ascii="Times New Roman" w:eastAsia="Times New Roman" w:hAnsi="Times New Roman" w:cs="Times New Roman"/>
        </w:rPr>
      </w:pPr>
      <w:r w:rsidRPr="00E0774B">
        <w:rPr>
          <w:rFonts w:ascii="Times New Roman"/>
        </w:rPr>
        <w:t xml:space="preserve">Adjusted Net Profit is expected to increase by </w:t>
      </w:r>
      <w:r w:rsidR="00E27EAB" w:rsidRPr="00E0774B">
        <w:rPr>
          <w:rFonts w:ascii="Times New Roman"/>
        </w:rPr>
        <w:t>1</w:t>
      </w:r>
      <w:r w:rsidR="00CC0ACE" w:rsidRPr="00E0774B">
        <w:rPr>
          <w:rFonts w:ascii="Times New Roman"/>
        </w:rPr>
        <w:t>8</w:t>
      </w:r>
      <w:r w:rsidRPr="00E0774B">
        <w:rPr>
          <w:rFonts w:ascii="Times New Roman"/>
        </w:rPr>
        <w:t xml:space="preserve">% to </w:t>
      </w:r>
      <w:r w:rsidR="00CC0ACE" w:rsidRPr="00E0774B">
        <w:rPr>
          <w:rFonts w:ascii="Times New Roman"/>
        </w:rPr>
        <w:t>22</w:t>
      </w:r>
      <w:r w:rsidRPr="00E0774B">
        <w:rPr>
          <w:rFonts w:ascii="Times New Roman"/>
        </w:rPr>
        <w:t>% over 201</w:t>
      </w:r>
      <w:r w:rsidR="00CB2EC3" w:rsidRPr="00E0774B">
        <w:rPr>
          <w:rFonts w:ascii="Times New Roman"/>
        </w:rPr>
        <w:t>4</w:t>
      </w:r>
    </w:p>
    <w:p w:rsidR="003D3912" w:rsidRPr="00DB627E" w:rsidRDefault="003D3912">
      <w:pPr>
        <w:spacing w:after="0"/>
        <w:jc w:val="both"/>
        <w:rPr>
          <w:rFonts w:ascii="Times New Roman" w:eastAsia="Times New Roman" w:hAnsi="Times New Roman" w:cs="Times New Roman"/>
        </w:rPr>
      </w:pPr>
    </w:p>
    <w:p w:rsidR="00B076CC" w:rsidRPr="00E0774B" w:rsidRDefault="00233C6E">
      <w:pPr>
        <w:rPr>
          <w:rFonts w:ascii="Times New Roman"/>
        </w:rPr>
      </w:pPr>
      <w:r w:rsidRPr="00E0774B">
        <w:rPr>
          <w:rFonts w:ascii="Times New Roman"/>
        </w:rPr>
        <w:t>We have</w:t>
      </w:r>
      <w:r w:rsidR="004E2D18" w:rsidRPr="00E0774B">
        <w:rPr>
          <w:rFonts w:ascii="Times New Roman"/>
        </w:rPr>
        <w:t xml:space="preserve"> started to note </w:t>
      </w:r>
      <w:r w:rsidRPr="00E0774B">
        <w:rPr>
          <w:rFonts w:ascii="Times New Roman"/>
        </w:rPr>
        <w:t xml:space="preserve">the effects of the macroeconomic slowdown in Russia in </w:t>
      </w:r>
      <w:r w:rsidR="00CF4758" w:rsidRPr="00E0774B">
        <w:rPr>
          <w:rFonts w:ascii="Times New Roman"/>
        </w:rPr>
        <w:t xml:space="preserve">the second half of 2014 </w:t>
      </w:r>
      <w:r w:rsidRPr="00E0774B">
        <w:rPr>
          <w:rFonts w:ascii="Times New Roman"/>
        </w:rPr>
        <w:t>and especially in Q</w:t>
      </w:r>
      <w:r w:rsidR="00CF4758" w:rsidRPr="00E0774B">
        <w:rPr>
          <w:rFonts w:ascii="Times New Roman"/>
        </w:rPr>
        <w:t>4</w:t>
      </w:r>
      <w:r w:rsidRPr="00E0774B">
        <w:rPr>
          <w:rFonts w:ascii="Times New Roman"/>
        </w:rPr>
        <w:t xml:space="preserve">, which we believe can be long lasting and could have a significant negative effect on </w:t>
      </w:r>
      <w:r w:rsidR="00CF4758" w:rsidRPr="00E0774B">
        <w:rPr>
          <w:rFonts w:ascii="Times New Roman"/>
        </w:rPr>
        <w:t xml:space="preserve">both </w:t>
      </w:r>
      <w:r w:rsidRPr="00E0774B">
        <w:rPr>
          <w:rFonts w:ascii="Times New Roman"/>
        </w:rPr>
        <w:t>consumer spending</w:t>
      </w:r>
      <w:r w:rsidR="00CF4758" w:rsidRPr="00E0774B">
        <w:rPr>
          <w:rFonts w:ascii="Times New Roman"/>
        </w:rPr>
        <w:t xml:space="preserve"> and the banking system</w:t>
      </w:r>
      <w:r w:rsidRPr="00E0774B">
        <w:rPr>
          <w:rFonts w:ascii="Times New Roman"/>
        </w:rPr>
        <w:t xml:space="preserve"> in Russia and, accordingly, on our business. The extent of the slowdown, and if that were to result in a full scale banking crisis</w:t>
      </w:r>
      <w:r w:rsidR="00F0661B" w:rsidRPr="00E0774B">
        <w:rPr>
          <w:rFonts w:ascii="Times New Roman"/>
        </w:rPr>
        <w:t xml:space="preserve"> and long-term deterioration of consumer confidence</w:t>
      </w:r>
      <w:r w:rsidRPr="00E0774B">
        <w:rPr>
          <w:rFonts w:ascii="Times New Roman"/>
        </w:rPr>
        <w:t xml:space="preserve">, is yet to be assessed.  </w:t>
      </w:r>
    </w:p>
    <w:p w:rsidR="00B076CC" w:rsidRPr="00DB627E" w:rsidRDefault="00B076CC" w:rsidP="00B076CC">
      <w:pPr>
        <w:rPr>
          <w:rFonts w:ascii="Times New Roman"/>
        </w:rPr>
      </w:pPr>
      <w:r w:rsidRPr="00DB627E">
        <w:rPr>
          <w:rFonts w:ascii="Times New Roman"/>
        </w:rPr>
        <w:t>Further, we see several risks that can affect the stability and profitability of our offline distribution business. Firstly, the overall macroeconomic conditions adversely affect the purchasing power of Russian population as high inflation combined with decreasing real wage put pressure on the disposable income</w:t>
      </w:r>
      <w:r w:rsidR="00AC35CB">
        <w:rPr>
          <w:rFonts w:ascii="Times New Roman"/>
        </w:rPr>
        <w:t>,</w:t>
      </w:r>
      <w:r w:rsidRPr="00DB627E">
        <w:rPr>
          <w:rFonts w:ascii="Times New Roman"/>
        </w:rPr>
        <w:t xml:space="preserve"> thus leading to the overall decrease in consumer spending and in turn </w:t>
      </w:r>
      <w:r w:rsidR="00C335AC">
        <w:rPr>
          <w:rFonts w:ascii="Times New Roman"/>
        </w:rPr>
        <w:t xml:space="preserve">our </w:t>
      </w:r>
      <w:r w:rsidRPr="00DB627E">
        <w:rPr>
          <w:rFonts w:ascii="Times New Roman"/>
        </w:rPr>
        <w:t xml:space="preserve">payment volumes. Secondly, the </w:t>
      </w:r>
      <w:r w:rsidR="00900A99">
        <w:rPr>
          <w:rFonts w:ascii="Times New Roman"/>
        </w:rPr>
        <w:t>A</w:t>
      </w:r>
      <w:r w:rsidRPr="00DB627E">
        <w:rPr>
          <w:rFonts w:ascii="Times New Roman"/>
        </w:rPr>
        <w:t>gents</w:t>
      </w:r>
      <w:r w:rsidR="00FB5735">
        <w:rPr>
          <w:rFonts w:ascii="Times New Roman"/>
        </w:rPr>
        <w:t>’</w:t>
      </w:r>
      <w:r w:rsidRPr="00DB627E">
        <w:rPr>
          <w:rFonts w:ascii="Times New Roman"/>
        </w:rPr>
        <w:t xml:space="preserve"> economics is being pressured by decreasing commissions (including and most significantly MNOs) and higher customer commission sensitivity combined with high rental and other costs.</w:t>
      </w:r>
    </w:p>
    <w:p w:rsidR="00931539" w:rsidRPr="00DB627E" w:rsidRDefault="00B076CC" w:rsidP="00B076CC">
      <w:pPr>
        <w:rPr>
          <w:rFonts w:ascii="Times New Roman"/>
        </w:rPr>
      </w:pPr>
      <w:r w:rsidRPr="00DB627E">
        <w:rPr>
          <w:rFonts w:ascii="Times New Roman"/>
        </w:rPr>
        <w:t xml:space="preserve">Moreover, </w:t>
      </w:r>
      <w:r w:rsidR="00FB5735">
        <w:rPr>
          <w:rFonts w:ascii="Times New Roman"/>
        </w:rPr>
        <w:t xml:space="preserve">the Central Bank of Russia </w:t>
      </w:r>
      <w:r w:rsidRPr="00DB627E">
        <w:rPr>
          <w:rFonts w:ascii="Times New Roman"/>
        </w:rPr>
        <w:t>has been recently taking steps to secure the quality and transparency of agents industry, thus imposing some additional controls and monitoring requirements on agents through the banks. As agents have to comply with more requirements and handle significantly increasing numbers of inquiries from the banks that they work with</w:t>
      </w:r>
      <w:r w:rsidR="00856B1A">
        <w:rPr>
          <w:rFonts w:ascii="Times New Roman"/>
        </w:rPr>
        <w:t>,</w:t>
      </w:r>
      <w:r w:rsidRPr="00DB627E">
        <w:rPr>
          <w:rFonts w:ascii="Times New Roman"/>
        </w:rPr>
        <w:t xml:space="preserve"> additional pressure is put on the agents</w:t>
      </w:r>
      <w:r w:rsidRPr="00DB627E">
        <w:rPr>
          <w:rFonts w:ascii="Times New Roman"/>
        </w:rPr>
        <w:t>’</w:t>
      </w:r>
      <w:r w:rsidRPr="00DB627E">
        <w:rPr>
          <w:rFonts w:ascii="Times New Roman"/>
        </w:rPr>
        <w:t xml:space="preserve"> business model especially for smaller players. Our network of agents is well diversified and we are committed to </w:t>
      </w:r>
      <w:r w:rsidR="005045FD">
        <w:rPr>
          <w:rFonts w:ascii="Times New Roman"/>
        </w:rPr>
        <w:t>making our best effort to support our agents and mitigate potential negative effects of the abovementioned market conditions on</w:t>
      </w:r>
      <w:r w:rsidRPr="00DB627E">
        <w:rPr>
          <w:rFonts w:ascii="Times New Roman"/>
        </w:rPr>
        <w:t xml:space="preserve"> </w:t>
      </w:r>
      <w:r w:rsidR="005045FD">
        <w:rPr>
          <w:rFonts w:ascii="Times New Roman"/>
        </w:rPr>
        <w:t xml:space="preserve">their </w:t>
      </w:r>
      <w:r w:rsidRPr="00DB627E">
        <w:rPr>
          <w:rFonts w:ascii="Times New Roman"/>
        </w:rPr>
        <w:t>economic stability however, at the moment we don</w:t>
      </w:r>
      <w:r w:rsidRPr="00DB627E">
        <w:rPr>
          <w:rFonts w:ascii="Times New Roman"/>
        </w:rPr>
        <w:t>’</w:t>
      </w:r>
      <w:r w:rsidRPr="00DB627E">
        <w:rPr>
          <w:rFonts w:ascii="Times New Roman"/>
        </w:rPr>
        <w:t>t have the visibility to estimate the potential negative impact of these changes</w:t>
      </w:r>
      <w:r w:rsidR="00AC35CB">
        <w:rPr>
          <w:rFonts w:ascii="Times New Roman"/>
        </w:rPr>
        <w:t xml:space="preserve"> in the mid-term</w:t>
      </w:r>
      <w:r w:rsidRPr="00DB627E">
        <w:rPr>
          <w:rFonts w:ascii="Times New Roman"/>
        </w:rPr>
        <w:t xml:space="preserve">. </w:t>
      </w:r>
    </w:p>
    <w:p w:rsidR="00B076CC" w:rsidRPr="00E0774B" w:rsidRDefault="00233C6E" w:rsidP="00B076CC">
      <w:pPr>
        <w:rPr>
          <w:rFonts w:ascii="Times New Roman"/>
        </w:rPr>
      </w:pPr>
      <w:r w:rsidRPr="00E0774B">
        <w:rPr>
          <w:rFonts w:ascii="Times New Roman"/>
        </w:rPr>
        <w:t xml:space="preserve">We </w:t>
      </w:r>
      <w:r w:rsidR="00D1558F" w:rsidRPr="00E0774B">
        <w:rPr>
          <w:rFonts w:ascii="Times New Roman"/>
        </w:rPr>
        <w:t xml:space="preserve">provide </w:t>
      </w:r>
      <w:r w:rsidRPr="00E0774B">
        <w:rPr>
          <w:rFonts w:ascii="Times New Roman"/>
        </w:rPr>
        <w:t>the 201</w:t>
      </w:r>
      <w:r w:rsidR="00CF4758" w:rsidRPr="00E0774B">
        <w:rPr>
          <w:rFonts w:ascii="Times New Roman"/>
        </w:rPr>
        <w:t>5</w:t>
      </w:r>
      <w:r w:rsidRPr="00E0774B">
        <w:rPr>
          <w:rFonts w:ascii="Times New Roman"/>
        </w:rPr>
        <w:t xml:space="preserve"> guidance</w:t>
      </w:r>
      <w:r w:rsidR="00485092" w:rsidRPr="00E0774B">
        <w:rPr>
          <w:rFonts w:ascii="Times New Roman"/>
        </w:rPr>
        <w:t xml:space="preserve"> based on our current understanding of the</w:t>
      </w:r>
      <w:r w:rsidR="00B076CC" w:rsidRPr="00E0774B">
        <w:rPr>
          <w:rFonts w:ascii="Times New Roman"/>
        </w:rPr>
        <w:t xml:space="preserve"> overall</w:t>
      </w:r>
      <w:r w:rsidR="00485092" w:rsidRPr="00E0774B">
        <w:rPr>
          <w:rFonts w:ascii="Times New Roman"/>
        </w:rPr>
        <w:t xml:space="preserve"> situation, which is subject to change</w:t>
      </w:r>
      <w:r w:rsidRPr="00E0774B">
        <w:rPr>
          <w:rFonts w:ascii="Times New Roman"/>
        </w:rPr>
        <w:t xml:space="preserve">. We reserve the right to revisit our </w:t>
      </w:r>
      <w:r w:rsidR="00A5672D" w:rsidRPr="00E0774B">
        <w:rPr>
          <w:rFonts w:ascii="Times New Roman"/>
        </w:rPr>
        <w:t xml:space="preserve">2015 </w:t>
      </w:r>
      <w:r w:rsidRPr="00E0774B">
        <w:rPr>
          <w:rFonts w:ascii="Times New Roman"/>
        </w:rPr>
        <w:t xml:space="preserve">guidance in case we see the situation changing </w:t>
      </w:r>
      <w:r w:rsidR="00A5672D" w:rsidRPr="00E0774B">
        <w:rPr>
          <w:rFonts w:ascii="Times New Roman"/>
        </w:rPr>
        <w:t>throughout the year</w:t>
      </w:r>
      <w:r w:rsidRPr="00E0774B">
        <w:rPr>
          <w:rFonts w:ascii="Times New Roman"/>
        </w:rPr>
        <w:t>.</w:t>
      </w:r>
    </w:p>
    <w:p w:rsidR="003D3912" w:rsidRDefault="00675668" w:rsidP="00B076CC">
      <w:pPr>
        <w:rPr>
          <w:rFonts w:ascii="Times New Roman" w:eastAsia="Times New Roman" w:hAnsi="Times New Roman" w:cs="Times New Roman"/>
        </w:rPr>
      </w:pPr>
      <w:r w:rsidRPr="00E0774B">
        <w:rPr>
          <w:rFonts w:ascii="Times New Roman"/>
        </w:rPr>
        <w:t xml:space="preserve">Expected growth of Adjusted Net Profit equals to the expected growth of Adjusted Net Revenue as a consequence of our desire and commitment to invest into new products and </w:t>
      </w:r>
      <w:r w:rsidR="004E2D18" w:rsidRPr="00E0774B">
        <w:rPr>
          <w:rFonts w:ascii="Times New Roman"/>
        </w:rPr>
        <w:t xml:space="preserve">gain </w:t>
      </w:r>
      <w:r w:rsidRPr="00E0774B">
        <w:rPr>
          <w:rFonts w:ascii="Times New Roman"/>
        </w:rPr>
        <w:t>market share in 2015.</w:t>
      </w:r>
    </w:p>
    <w:p w:rsidR="00DE2AAC" w:rsidRDefault="00DE2AAC">
      <w:pPr>
        <w:spacing w:after="0"/>
        <w:jc w:val="both"/>
        <w:rPr>
          <w:rFonts w:ascii="Times New Roman" w:eastAsia="Times New Roman" w:hAnsi="Times New Roman" w:cs="Times New Roman"/>
        </w:rPr>
      </w:pPr>
    </w:p>
    <w:p w:rsidR="003D3912" w:rsidRPr="004C2998" w:rsidRDefault="00233C6E">
      <w:pPr>
        <w:keepNext/>
        <w:spacing w:after="0"/>
        <w:rPr>
          <w:rFonts w:ascii="Times New Roman Bold" w:eastAsia="Times New Roman Bold" w:hAnsi="Times New Roman Bold" w:cs="Times New Roman Bold"/>
          <w:b/>
        </w:rPr>
      </w:pPr>
      <w:r w:rsidRPr="004C2998">
        <w:rPr>
          <w:rFonts w:ascii="Times New Roman Bold"/>
          <w:b/>
        </w:rPr>
        <w:t>Earnings Conference Call and Audio Webcast</w:t>
      </w:r>
    </w:p>
    <w:p w:rsidR="003D3912" w:rsidRDefault="003D3912">
      <w:pPr>
        <w:keepNext/>
        <w:spacing w:after="0"/>
        <w:rPr>
          <w:rFonts w:ascii="Times New Roman Bold" w:eastAsia="Times New Roman Bold" w:hAnsi="Times New Roman Bold" w:cs="Times New Roman Bold"/>
          <w:u w:val="single"/>
        </w:rPr>
      </w:pPr>
    </w:p>
    <w:p w:rsidR="003D3912" w:rsidRDefault="00233C6E">
      <w:pPr>
        <w:keepNext/>
        <w:spacing w:after="0"/>
        <w:jc w:val="both"/>
        <w:rPr>
          <w:rFonts w:ascii="Times New Roman" w:eastAsia="Times New Roman" w:hAnsi="Times New Roman" w:cs="Times New Roman"/>
        </w:rPr>
      </w:pPr>
      <w:r>
        <w:rPr>
          <w:rFonts w:ascii="Times New Roman"/>
        </w:rPr>
        <w:t xml:space="preserve">QIWI will host a conference call to discuss </w:t>
      </w:r>
      <w:r w:rsidR="00F0661B">
        <w:rPr>
          <w:rFonts w:ascii="Times New Roman"/>
        </w:rPr>
        <w:t>second</w:t>
      </w:r>
      <w:r w:rsidR="0067127E">
        <w:rPr>
          <w:rFonts w:ascii="Times New Roman"/>
        </w:rPr>
        <w:t>-</w:t>
      </w:r>
      <w:r>
        <w:rPr>
          <w:rFonts w:ascii="Times New Roman"/>
        </w:rPr>
        <w:t>quarter</w:t>
      </w:r>
      <w:r w:rsidR="0067127E">
        <w:rPr>
          <w:rFonts w:ascii="Times New Roman"/>
        </w:rPr>
        <w:t xml:space="preserve"> 2015</w:t>
      </w:r>
      <w:r>
        <w:rPr>
          <w:rFonts w:ascii="Times New Roman"/>
        </w:rPr>
        <w:t xml:space="preserve"> financial results today at 8:30 a.m. ET. Hosting the call will be Sergey </w:t>
      </w:r>
      <w:proofErr w:type="spellStart"/>
      <w:r>
        <w:rPr>
          <w:rFonts w:ascii="Times New Roman"/>
        </w:rPr>
        <w:t>Solonin</w:t>
      </w:r>
      <w:proofErr w:type="spellEnd"/>
      <w:r>
        <w:rPr>
          <w:rFonts w:ascii="Times New Roman"/>
        </w:rPr>
        <w:t xml:space="preserve">, chief executive officer, and Alexander Karavaev, chief financial officer. The conference call can be accessed live over the phone by dialing +1 (877) 407-3982 or for international callers by dialing +1 (201) 493-6780. A replay will be available at 11:30 a.m. ET and can be accessed by dialing +1 (877) 870-5176 or +1 (858) 384-5517 for international callers; the pin number is </w:t>
      </w:r>
      <w:r w:rsidR="00F0173C" w:rsidRPr="00F0173C">
        <w:rPr>
          <w:rFonts w:ascii="Times New Roman"/>
        </w:rPr>
        <w:t>13618218</w:t>
      </w:r>
      <w:r>
        <w:rPr>
          <w:rFonts w:ascii="Times New Roman"/>
        </w:rPr>
        <w:t xml:space="preserve">. The replay will be available until </w:t>
      </w:r>
      <w:r w:rsidRPr="00DB627E">
        <w:rPr>
          <w:rFonts w:ascii="Times New Roman"/>
        </w:rPr>
        <w:t>T</w:t>
      </w:r>
      <w:r w:rsidR="00DB627E" w:rsidRPr="00E0774B">
        <w:rPr>
          <w:rFonts w:ascii="Times New Roman"/>
        </w:rPr>
        <w:t>uesday</w:t>
      </w:r>
      <w:r w:rsidR="00F0661B" w:rsidRPr="00DB627E">
        <w:rPr>
          <w:rFonts w:ascii="Times New Roman"/>
        </w:rPr>
        <w:t xml:space="preserve">, </w:t>
      </w:r>
      <w:r w:rsidR="00DB627E" w:rsidRPr="00E0774B">
        <w:rPr>
          <w:rFonts w:ascii="Times New Roman"/>
        </w:rPr>
        <w:t>September 8</w:t>
      </w:r>
      <w:r w:rsidR="00CF4758" w:rsidRPr="00DB627E">
        <w:rPr>
          <w:rFonts w:ascii="Times New Roman"/>
        </w:rPr>
        <w:t>, 2015</w:t>
      </w:r>
      <w:r w:rsidRPr="00DB627E">
        <w:rPr>
          <w:rFonts w:ascii="Times New Roman"/>
        </w:rPr>
        <w:t>.</w:t>
      </w:r>
      <w:r>
        <w:rPr>
          <w:rFonts w:ascii="Times New Roman"/>
        </w:rPr>
        <w:t xml:space="preserve"> The call will be webcast live from the Company</w:t>
      </w:r>
      <w:r>
        <w:rPr>
          <w:rFonts w:hAnsi="Times New Roman"/>
        </w:rPr>
        <w:t>’</w:t>
      </w:r>
      <w:r>
        <w:rPr>
          <w:rFonts w:ascii="Times New Roman"/>
        </w:rPr>
        <w:t>s website at https://www.qiwi.ru under the Corporate Investor Relations section or directly at http://investor.qiwi.com/.</w:t>
      </w:r>
    </w:p>
    <w:p w:rsidR="003D3912" w:rsidRDefault="003D3912">
      <w:pPr>
        <w:spacing w:after="0"/>
        <w:jc w:val="both"/>
        <w:rPr>
          <w:rFonts w:ascii="Times New Roman Bold" w:eastAsia="Times New Roman Bold" w:hAnsi="Times New Roman Bold" w:cs="Times New Roman Bold"/>
          <w:u w:val="single"/>
        </w:rPr>
      </w:pPr>
    </w:p>
    <w:p w:rsidR="004235DB" w:rsidRDefault="004235DB">
      <w:pPr>
        <w:spacing w:after="0" w:line="240" w:lineRule="auto"/>
        <w:rPr>
          <w:rFonts w:ascii="Times New Roman Bold"/>
          <w:b/>
        </w:rPr>
      </w:pPr>
      <w:r>
        <w:rPr>
          <w:rFonts w:ascii="Times New Roman Bold"/>
          <w:b/>
        </w:rPr>
        <w:br w:type="page"/>
      </w:r>
    </w:p>
    <w:p w:rsidR="003D3912" w:rsidRPr="004C2998" w:rsidRDefault="00233C6E" w:rsidP="004235DB">
      <w:pPr>
        <w:keepNext/>
        <w:spacing w:after="0"/>
        <w:jc w:val="both"/>
        <w:rPr>
          <w:rFonts w:ascii="Times New Roman Bold" w:eastAsia="Times New Roman Bold" w:hAnsi="Times New Roman Bold" w:cs="Times New Roman Bold"/>
          <w:b/>
        </w:rPr>
      </w:pPr>
      <w:r w:rsidRPr="004C2998">
        <w:rPr>
          <w:rFonts w:ascii="Times New Roman Bold"/>
          <w:b/>
        </w:rPr>
        <w:lastRenderedPageBreak/>
        <w:t>About QIWI plc.</w:t>
      </w:r>
    </w:p>
    <w:p w:rsidR="003D3912" w:rsidRDefault="003D3912" w:rsidP="004235DB">
      <w:pPr>
        <w:keepNext/>
        <w:spacing w:after="0"/>
        <w:jc w:val="both"/>
        <w:rPr>
          <w:rFonts w:ascii="Times New Roman Bold" w:eastAsia="Times New Roman Bold" w:hAnsi="Times New Roman Bold" w:cs="Times New Roman Bold"/>
          <w:u w:val="single"/>
        </w:rPr>
      </w:pPr>
    </w:p>
    <w:p w:rsidR="003D3912" w:rsidRDefault="00233C6E" w:rsidP="004235DB">
      <w:pPr>
        <w:keepNext/>
        <w:spacing w:after="0"/>
        <w:jc w:val="both"/>
        <w:rPr>
          <w:rFonts w:ascii="Times New Roman" w:eastAsia="Times New Roman" w:hAnsi="Times New Roman" w:cs="Times New Roman"/>
        </w:rPr>
      </w:pPr>
      <w:r>
        <w:rPr>
          <w:rFonts w:ascii="Times New Roman"/>
        </w:rPr>
        <w:t>QIWI is a leading provider of next generation payment services in Russia and the CIS. It has an integrated proprietary network that enables payment services across physical, online and mobile channels. It has deployed over 1</w:t>
      </w:r>
      <w:r w:rsidR="00CF4758">
        <w:rPr>
          <w:rFonts w:ascii="Times New Roman"/>
        </w:rPr>
        <w:t>7</w:t>
      </w:r>
      <w:r>
        <w:rPr>
          <w:rFonts w:ascii="Times New Roman"/>
        </w:rPr>
        <w:t>.</w:t>
      </w:r>
      <w:r w:rsidR="00F0661B">
        <w:rPr>
          <w:rFonts w:ascii="Times New Roman"/>
        </w:rPr>
        <w:t>0</w:t>
      </w:r>
      <w:r>
        <w:rPr>
          <w:rFonts w:ascii="Times New Roman"/>
        </w:rPr>
        <w:t xml:space="preserve"> million virtual wallets, over 1</w:t>
      </w:r>
      <w:r w:rsidR="00F0661B">
        <w:rPr>
          <w:rFonts w:ascii="Times New Roman"/>
        </w:rPr>
        <w:t>76</w:t>
      </w:r>
      <w:r>
        <w:rPr>
          <w:rFonts w:ascii="Times New Roman"/>
        </w:rPr>
        <w:t xml:space="preserve">,000 kiosks and terminals, and enabled merchants to accept over RUB 50 billion cash and electronic payments monthly from </w:t>
      </w:r>
      <w:r w:rsidR="00BA3DEF">
        <w:rPr>
          <w:rFonts w:ascii="Times New Roman"/>
        </w:rPr>
        <w:t xml:space="preserve">c. </w:t>
      </w:r>
      <w:r>
        <w:rPr>
          <w:rFonts w:ascii="Times New Roman"/>
        </w:rPr>
        <w:t>70 million consumers using its network at least once a month. QIWI</w:t>
      </w:r>
      <w:r>
        <w:rPr>
          <w:rFonts w:hAnsi="Times New Roman"/>
        </w:rPr>
        <w:t>’</w:t>
      </w:r>
      <w:r>
        <w:rPr>
          <w:rFonts w:ascii="Times New Roman"/>
        </w:rPr>
        <w:t>s consumers can use cash, stored value and other electronic payment methods to order and pay for goods and services across physical or online environments interchangeably.</w:t>
      </w:r>
    </w:p>
    <w:p w:rsidR="003D3912" w:rsidRDefault="003D3912">
      <w:pPr>
        <w:spacing w:after="0"/>
        <w:jc w:val="both"/>
        <w:rPr>
          <w:rFonts w:ascii="Times New Roman Bold" w:eastAsia="Times New Roman Bold" w:hAnsi="Times New Roman Bold" w:cs="Times New Roman Bold"/>
        </w:rPr>
      </w:pPr>
    </w:p>
    <w:p w:rsidR="003D3912" w:rsidRPr="00C16D8D" w:rsidRDefault="00233C6E">
      <w:pPr>
        <w:spacing w:after="0"/>
        <w:jc w:val="both"/>
        <w:rPr>
          <w:rFonts w:asciiTheme="minorHAnsi" w:hAnsiTheme="minorHAnsi"/>
        </w:rPr>
      </w:pPr>
      <w:r>
        <w:rPr>
          <w:rFonts w:ascii="Times New Roman Bold" w:eastAsia="Times New Roman Bold" w:hAnsi="Times New Roman Bold" w:cs="Times New Roman Bold"/>
        </w:rPr>
        <w:br w:type="page"/>
      </w:r>
    </w:p>
    <w:p w:rsidR="003D3912" w:rsidRDefault="003D3912">
      <w:pPr>
        <w:spacing w:after="0"/>
        <w:jc w:val="both"/>
        <w:rPr>
          <w:rFonts w:ascii="Times New Roman Bold" w:eastAsia="Times New Roman Bold" w:hAnsi="Times New Roman Bold" w:cs="Times New Roman Bold"/>
        </w:rPr>
      </w:pPr>
    </w:p>
    <w:p w:rsidR="003D3912" w:rsidRPr="004C2998" w:rsidRDefault="00233C6E">
      <w:pPr>
        <w:spacing w:after="0"/>
        <w:jc w:val="both"/>
        <w:rPr>
          <w:rFonts w:ascii="Times New Roman" w:eastAsia="Times New Roman" w:hAnsi="Times New Roman" w:cs="Times New Roman"/>
          <w:b/>
        </w:rPr>
      </w:pPr>
      <w:r w:rsidRPr="004C2998">
        <w:rPr>
          <w:rFonts w:ascii="Times New Roman Bold"/>
          <w:b/>
        </w:rPr>
        <w:t xml:space="preserve">Forward-Looking Statements </w:t>
      </w:r>
    </w:p>
    <w:p w:rsidR="003D3912" w:rsidRDefault="003D3912">
      <w:pPr>
        <w:spacing w:after="0"/>
        <w:jc w:val="both"/>
        <w:rPr>
          <w:rFonts w:ascii="Times New Roman" w:eastAsia="Times New Roman" w:hAnsi="Times New Roman" w:cs="Times New Roman"/>
          <w:u w:val="single"/>
        </w:rPr>
      </w:pPr>
    </w:p>
    <w:p w:rsidR="003D3912" w:rsidRPr="003D7326" w:rsidRDefault="00F0173C">
      <w:pPr>
        <w:spacing w:after="0"/>
        <w:jc w:val="both"/>
        <w:rPr>
          <w:rFonts w:ascii="Times New Roman" w:eastAsia="Times New Roman" w:hAnsi="Times New Roman" w:cs="Times New Roman"/>
        </w:rPr>
      </w:pPr>
      <w:r w:rsidRPr="00F0173C">
        <w:rPr>
          <w:rFonts w:ascii="Times New Roman"/>
        </w:rPr>
        <w:t xml:space="preserve">This press release includes </w:t>
      </w:r>
      <w:r w:rsidRPr="00F0173C">
        <w:rPr>
          <w:rFonts w:ascii="Times New Roman"/>
        </w:rPr>
        <w:t>“</w:t>
      </w:r>
      <w:r w:rsidRPr="00F0173C">
        <w:rPr>
          <w:rFonts w:ascii="Times New Roman"/>
        </w:rPr>
        <w:t>forward-looking statements</w:t>
      </w:r>
      <w:r w:rsidRPr="00F0173C">
        <w:rPr>
          <w:rFonts w:ascii="Times New Roman"/>
        </w:rPr>
        <w:t>”</w:t>
      </w:r>
      <w:r w:rsidRPr="00F0173C">
        <w:rPr>
          <w:rFonts w:ascii="Times New Roman"/>
        </w:rPr>
        <w:t xml:space="preserve"> within the meaning of, and subject to the protection of, the Private Securities Litigation Reform Act of 1995, including, without limitation, expected total adjusted net revenue, adjusted net profit and net revenue yield, dividend payments, payment volume growth, and growth of physical and virtual distribution channels. Such forward-looking statements involve known and unknown risks, uncertainties, and other factors that may cause the actual results, performance or achievements of QIWI plc. </w:t>
      </w:r>
      <w:proofErr w:type="gramStart"/>
      <w:r w:rsidRPr="00F0173C">
        <w:rPr>
          <w:rFonts w:ascii="Times New Roman"/>
        </w:rPr>
        <w:t>to</w:t>
      </w:r>
      <w:proofErr w:type="gramEnd"/>
      <w:r w:rsidRPr="00F0173C">
        <w:rPr>
          <w:rFonts w:ascii="Times New Roman"/>
        </w:rPr>
        <w:t xml:space="preserve"> be materially different from future results, performance or achievements expressed or implied by such forward-looking statements. Various factors that could cause actual future results and other future events to differ materially from those estimated by management include, but are not limited to, the achievement of the expected benefits of the acquisition of Contact and </w:t>
      </w:r>
      <w:proofErr w:type="spellStart"/>
      <w:r w:rsidRPr="00F0173C">
        <w:rPr>
          <w:rFonts w:ascii="Times New Roman"/>
        </w:rPr>
        <w:t>Rapida</w:t>
      </w:r>
      <w:proofErr w:type="spellEnd"/>
      <w:r w:rsidRPr="00F0173C">
        <w:rPr>
          <w:rFonts w:ascii="Times New Roman"/>
        </w:rPr>
        <w:t xml:space="preserve">, risks associated with the integration of Contact and </w:t>
      </w:r>
      <w:proofErr w:type="spellStart"/>
      <w:r w:rsidRPr="00F0173C">
        <w:rPr>
          <w:rFonts w:ascii="Times New Roman"/>
        </w:rPr>
        <w:t>Rapida</w:t>
      </w:r>
      <w:proofErr w:type="spellEnd"/>
      <w:r w:rsidRPr="00F0173C">
        <w:rPr>
          <w:rFonts w:ascii="Times New Roman"/>
        </w:rPr>
        <w:t>, a decline in average net revenue yield, fees levied on QIWI</w:t>
      </w:r>
      <w:r w:rsidRPr="00F0173C">
        <w:rPr>
          <w:rFonts w:ascii="Times New Roman"/>
        </w:rPr>
        <w:t>’</w:t>
      </w:r>
      <w:r w:rsidRPr="00F0173C">
        <w:rPr>
          <w:rFonts w:ascii="Times New Roman"/>
        </w:rPr>
        <w:t>s consumers, regulation, QIWI</w:t>
      </w:r>
      <w:r w:rsidRPr="00F0173C">
        <w:rPr>
          <w:rFonts w:ascii="Times New Roman"/>
        </w:rPr>
        <w:t>’</w:t>
      </w:r>
      <w:r w:rsidRPr="00F0173C">
        <w:rPr>
          <w:rFonts w:ascii="Times New Roman"/>
        </w:rPr>
        <w:t>s ability to grow physical and virtual distribution channels, QIWI</w:t>
      </w:r>
      <w:r w:rsidRPr="00F0173C">
        <w:rPr>
          <w:rFonts w:ascii="Times New Roman"/>
        </w:rPr>
        <w:t>’</w:t>
      </w:r>
      <w:r w:rsidRPr="00F0173C">
        <w:rPr>
          <w:rFonts w:ascii="Times New Roman"/>
        </w:rPr>
        <w:t xml:space="preserve">s ability to expand geographically and other risks identified under the Caption </w:t>
      </w:r>
      <w:r w:rsidRPr="00F0173C">
        <w:rPr>
          <w:rFonts w:ascii="Times New Roman"/>
        </w:rPr>
        <w:t>“</w:t>
      </w:r>
      <w:r w:rsidRPr="00F0173C">
        <w:rPr>
          <w:rFonts w:ascii="Times New Roman"/>
        </w:rPr>
        <w:t>Risk Factors</w:t>
      </w:r>
      <w:r w:rsidRPr="00F0173C">
        <w:rPr>
          <w:rFonts w:ascii="Times New Roman"/>
        </w:rPr>
        <w:t>”</w:t>
      </w:r>
      <w:r w:rsidRPr="00F0173C">
        <w:rPr>
          <w:rFonts w:ascii="Times New Roman"/>
        </w:rPr>
        <w:t xml:space="preserve"> in QIWI</w:t>
      </w:r>
      <w:r w:rsidRPr="00F0173C">
        <w:rPr>
          <w:rFonts w:ascii="Times New Roman"/>
        </w:rPr>
        <w:t>’</w:t>
      </w:r>
      <w:r w:rsidRPr="00F0173C">
        <w:rPr>
          <w:rFonts w:ascii="Times New Roman"/>
        </w:rPr>
        <w:t>s Annual Report on Form 20-F and in other reports QIWI files with the U.S. Securities and Exchange Commission. QIWI undertakes no obligation to revise any forward-looking statements or to report future events that may affect such forward-looking statements unless QIWI is required to do so by law.</w:t>
      </w:r>
    </w:p>
    <w:p w:rsidR="004C2998" w:rsidRPr="003D7326" w:rsidRDefault="004C2998">
      <w:pPr>
        <w:spacing w:after="0"/>
        <w:jc w:val="both"/>
        <w:rPr>
          <w:rFonts w:ascii="Times New Roman" w:eastAsia="Times New Roman" w:hAnsi="Times New Roman" w:cs="Times New Roman"/>
        </w:rPr>
      </w:pPr>
    </w:p>
    <w:p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Contact</w:t>
      </w:r>
    </w:p>
    <w:p w:rsidR="003D3912" w:rsidRPr="004C2998" w:rsidRDefault="003D3912">
      <w:pPr>
        <w:spacing w:after="0"/>
        <w:rPr>
          <w:rFonts w:ascii="Times New Roman" w:eastAsia="Times New Roman" w:hAnsi="Times New Roman" w:cs="Times New Roman"/>
          <w:b/>
        </w:rPr>
      </w:pPr>
    </w:p>
    <w:tbl>
      <w:tblPr>
        <w:tblStyle w:val="TableNormal1"/>
        <w:tblW w:w="1294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003"/>
        <w:gridCol w:w="2735"/>
        <w:gridCol w:w="6207"/>
      </w:tblGrid>
      <w:tr w:rsidR="00037864" w:rsidTr="00CF24B5">
        <w:trPr>
          <w:trHeight w:val="1604"/>
        </w:trPr>
        <w:tc>
          <w:tcPr>
            <w:tcW w:w="4003" w:type="dxa"/>
            <w:tcBorders>
              <w:top w:val="nil"/>
              <w:left w:val="nil"/>
              <w:bottom w:val="nil"/>
              <w:right w:val="nil"/>
            </w:tcBorders>
          </w:tcPr>
          <w:p w:rsidR="00037864" w:rsidRDefault="00037864" w:rsidP="004D5BFA">
            <w:pPr>
              <w:spacing w:after="0"/>
              <w:rPr>
                <w:rFonts w:ascii="Times New Roman"/>
              </w:rPr>
            </w:pPr>
            <w:proofErr w:type="spellStart"/>
            <w:r>
              <w:rPr>
                <w:rFonts w:ascii="Times New Roman"/>
              </w:rPr>
              <w:t>Yakov</w:t>
            </w:r>
            <w:proofErr w:type="spellEnd"/>
            <w:r>
              <w:rPr>
                <w:rFonts w:ascii="Times New Roman"/>
              </w:rPr>
              <w:t xml:space="preserve"> </w:t>
            </w:r>
            <w:proofErr w:type="spellStart"/>
            <w:r>
              <w:rPr>
                <w:rFonts w:ascii="Times New Roman"/>
              </w:rPr>
              <w:t>Barinskiy</w:t>
            </w:r>
            <w:proofErr w:type="spellEnd"/>
          </w:p>
          <w:p w:rsidR="00037864" w:rsidRDefault="00BF2781" w:rsidP="004D5BFA">
            <w:pPr>
              <w:spacing w:after="0"/>
              <w:rPr>
                <w:rFonts w:ascii="Times New Roman"/>
              </w:rPr>
            </w:pPr>
            <w:r>
              <w:rPr>
                <w:rFonts w:ascii="Times New Roman"/>
              </w:rPr>
              <w:t>Head of</w:t>
            </w:r>
            <w:r w:rsidRPr="00CF24B5">
              <w:rPr>
                <w:rFonts w:ascii="Times New Roman"/>
              </w:rPr>
              <w:t xml:space="preserve"> </w:t>
            </w:r>
            <w:r>
              <w:rPr>
                <w:rFonts w:ascii="Times New Roman"/>
              </w:rPr>
              <w:t xml:space="preserve">M&amp;A and </w:t>
            </w:r>
            <w:r w:rsidR="00037864">
              <w:rPr>
                <w:rFonts w:ascii="Times New Roman"/>
              </w:rPr>
              <w:t>Investor Relations</w:t>
            </w:r>
          </w:p>
          <w:p w:rsidR="00037864" w:rsidRDefault="00037864" w:rsidP="004D5BFA">
            <w:pPr>
              <w:spacing w:after="0"/>
              <w:rPr>
                <w:rFonts w:ascii="Times New Roman" w:eastAsia="Times New Roman" w:hAnsi="Times New Roman" w:cs="Times New Roman"/>
              </w:rPr>
            </w:pPr>
            <w:r>
              <w:rPr>
                <w:rFonts w:ascii="Times New Roman"/>
              </w:rPr>
              <w:t>+7.499.709.0192</w:t>
            </w:r>
          </w:p>
          <w:p w:rsidR="00037864" w:rsidRDefault="00634B45" w:rsidP="004D5BFA">
            <w:pPr>
              <w:spacing w:after="0"/>
              <w:rPr>
                <w:rFonts w:ascii="Times New Roman"/>
              </w:rPr>
            </w:pPr>
            <w:hyperlink r:id="rId9" w:history="1">
              <w:r w:rsidR="00037864" w:rsidRPr="00413F68">
                <w:rPr>
                  <w:rStyle w:val="a3"/>
                  <w:rFonts w:ascii="Times New Roman"/>
                </w:rPr>
                <w:t>ir@qiwi.com</w:t>
              </w:r>
            </w:hyperlink>
          </w:p>
        </w:tc>
        <w:tc>
          <w:tcPr>
            <w:tcW w:w="2735" w:type="dxa"/>
            <w:tcBorders>
              <w:top w:val="nil"/>
              <w:left w:val="nil"/>
              <w:bottom w:val="nil"/>
              <w:right w:val="nil"/>
            </w:tcBorders>
            <w:shd w:val="clear" w:color="auto" w:fill="auto"/>
            <w:tcMar>
              <w:top w:w="80" w:type="dxa"/>
              <w:left w:w="80" w:type="dxa"/>
              <w:bottom w:w="80" w:type="dxa"/>
              <w:right w:w="80" w:type="dxa"/>
            </w:tcMar>
          </w:tcPr>
          <w:p w:rsidR="00037864" w:rsidRDefault="00037864" w:rsidP="004D5BFA">
            <w:pPr>
              <w:spacing w:after="0"/>
              <w:rPr>
                <w:rFonts w:ascii="Times New Roman" w:eastAsia="Times New Roman" w:hAnsi="Times New Roman" w:cs="Times New Roman"/>
              </w:rPr>
            </w:pPr>
            <w:r>
              <w:rPr>
                <w:rFonts w:ascii="Times New Roman"/>
              </w:rPr>
              <w:t xml:space="preserve">Varvara </w:t>
            </w:r>
            <w:proofErr w:type="spellStart"/>
            <w:r>
              <w:rPr>
                <w:rFonts w:ascii="Times New Roman"/>
              </w:rPr>
              <w:t>Kiseleva</w:t>
            </w:r>
            <w:proofErr w:type="spellEnd"/>
          </w:p>
          <w:p w:rsidR="00037864" w:rsidRDefault="00037864" w:rsidP="004D5BFA">
            <w:pPr>
              <w:spacing w:after="0"/>
              <w:rPr>
                <w:rFonts w:ascii="Times New Roman" w:eastAsia="Times New Roman" w:hAnsi="Times New Roman" w:cs="Times New Roman"/>
              </w:rPr>
            </w:pPr>
            <w:r>
              <w:rPr>
                <w:rFonts w:ascii="Times New Roman"/>
              </w:rPr>
              <w:t>Investor Relations</w:t>
            </w:r>
          </w:p>
          <w:p w:rsidR="00037864" w:rsidRDefault="00037864" w:rsidP="004D5BFA">
            <w:pPr>
              <w:spacing w:after="0"/>
              <w:rPr>
                <w:rFonts w:ascii="Times New Roman" w:eastAsia="Times New Roman" w:hAnsi="Times New Roman" w:cs="Times New Roman"/>
              </w:rPr>
            </w:pPr>
            <w:r>
              <w:rPr>
                <w:rFonts w:ascii="Times New Roman"/>
              </w:rPr>
              <w:t>+7.499.709.0192</w:t>
            </w:r>
          </w:p>
          <w:p w:rsidR="00037864" w:rsidRDefault="00634B45" w:rsidP="004D5BFA">
            <w:pPr>
              <w:spacing w:after="0"/>
            </w:pPr>
            <w:hyperlink r:id="rId10" w:history="1">
              <w:r w:rsidR="00037864" w:rsidRPr="00413F68">
                <w:rPr>
                  <w:rStyle w:val="a3"/>
                  <w:rFonts w:ascii="Times New Roman"/>
                </w:rPr>
                <w:t>ir@qiwi.com</w:t>
              </w:r>
            </w:hyperlink>
          </w:p>
        </w:tc>
        <w:tc>
          <w:tcPr>
            <w:tcW w:w="6207" w:type="dxa"/>
            <w:tcBorders>
              <w:top w:val="nil"/>
              <w:left w:val="nil"/>
              <w:bottom w:val="nil"/>
              <w:right w:val="nil"/>
            </w:tcBorders>
            <w:shd w:val="clear" w:color="auto" w:fill="auto"/>
            <w:tcMar>
              <w:top w:w="80" w:type="dxa"/>
              <w:left w:w="80" w:type="dxa"/>
              <w:bottom w:w="80" w:type="dxa"/>
              <w:right w:w="80" w:type="dxa"/>
            </w:tcMar>
          </w:tcPr>
          <w:p w:rsidR="00037864" w:rsidRDefault="00037864" w:rsidP="004D5BFA">
            <w:pPr>
              <w:spacing w:after="0"/>
            </w:pPr>
          </w:p>
        </w:tc>
      </w:tr>
    </w:tbl>
    <w:p w:rsidR="003D3912" w:rsidRDefault="003D3912">
      <w:pPr>
        <w:spacing w:after="0" w:line="240" w:lineRule="auto"/>
        <w:rPr>
          <w:rFonts w:ascii="Times New Roman" w:eastAsia="Times New Roman" w:hAnsi="Times New Roman" w:cs="Times New Roman"/>
        </w:rPr>
      </w:pPr>
    </w:p>
    <w:p w:rsidR="003D3912" w:rsidRDefault="003D3912">
      <w:pPr>
        <w:spacing w:after="0" w:line="240" w:lineRule="auto"/>
        <w:rPr>
          <w:rFonts w:ascii="Times New Roman" w:eastAsia="Times New Roman" w:hAnsi="Times New Roman" w:cs="Times New Roman"/>
        </w:rPr>
      </w:pPr>
    </w:p>
    <w:p w:rsidR="003D3912" w:rsidRDefault="003D3912">
      <w:pPr>
        <w:spacing w:after="0"/>
        <w:rPr>
          <w:rFonts w:ascii="Times New Roman" w:eastAsia="Times New Roman" w:hAnsi="Times New Roman" w:cs="Times New Roman"/>
        </w:rPr>
      </w:pPr>
    </w:p>
    <w:p w:rsidR="003D3912" w:rsidRDefault="003D3912">
      <w:pPr>
        <w:spacing w:after="0"/>
        <w:rPr>
          <w:rFonts w:ascii="Times New Roman" w:eastAsia="Times New Roman" w:hAnsi="Times New Roman" w:cs="Times New Roman"/>
        </w:rPr>
      </w:pPr>
    </w:p>
    <w:p w:rsidR="003D3912" w:rsidRDefault="00233C6E">
      <w:pPr>
        <w:spacing w:after="0"/>
        <w:jc w:val="center"/>
      </w:pPr>
      <w:r>
        <w:rPr>
          <w:rFonts w:ascii="Times New Roman" w:eastAsia="Times New Roman" w:hAnsi="Times New Roman" w:cs="Times New Roman"/>
          <w:u w:val="single"/>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Financial Position</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504AE6">
        <w:rPr>
          <w:rFonts w:ascii="Times New Roman"/>
          <w:b/>
          <w:bCs/>
          <w:i/>
          <w:iCs/>
          <w:sz w:val="20"/>
          <w:szCs w:val="20"/>
        </w:rPr>
        <w:t>thousands</w:t>
      </w:r>
      <w:r>
        <w:rPr>
          <w:rFonts w:ascii="Times New Roman"/>
          <w:b/>
          <w:bCs/>
          <w:i/>
          <w:iCs/>
          <w:sz w:val="20"/>
          <w:szCs w:val="20"/>
        </w:rPr>
        <w:t>)</w:t>
      </w:r>
    </w:p>
    <w:p w:rsidR="003D3912" w:rsidRDefault="00233C6E">
      <w:pPr>
        <w:spacing w:after="0"/>
        <w:rPr>
          <w:rFonts w:ascii="Times New Roman Bold" w:eastAsia="Times New Roman Bold" w:hAnsi="Times New Roman Bold" w:cs="Times New Roman Bold"/>
          <w:sz w:val="20"/>
          <w:szCs w:val="20"/>
        </w:rPr>
      </w:pPr>
      <w:r>
        <w:rPr>
          <w:rFonts w:ascii="Times New Roman Bold"/>
          <w:sz w:val="20"/>
          <w:szCs w:val="20"/>
        </w:rPr>
        <w:t xml:space="preserve"> </w:t>
      </w:r>
      <w:r>
        <w:rPr>
          <w:rFonts w:ascii="Trebuchet MS"/>
        </w:rPr>
        <w:t xml:space="preserve"> </w:t>
      </w:r>
      <w:r w:rsidR="008C4C77" w:rsidRPr="008C4C77">
        <w:rPr>
          <w:rFonts w:ascii="Trebuchet MS"/>
        </w:rPr>
        <w:t xml:space="preserve"> </w:t>
      </w:r>
      <w:r w:rsidR="008C4C77" w:rsidRPr="008C4C77">
        <w:rPr>
          <w:noProof/>
          <w:lang w:val="ru-RU" w:eastAsia="ru-RU"/>
        </w:rPr>
        <w:drawing>
          <wp:inline distT="0" distB="0" distL="0" distR="0" wp14:anchorId="4DDC0CF8" wp14:editId="0DEA760A">
            <wp:extent cx="5943600" cy="740528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7405285"/>
                    </a:xfrm>
                    <a:prstGeom prst="rect">
                      <a:avLst/>
                    </a:prstGeom>
                    <a:noFill/>
                    <a:ln>
                      <a:noFill/>
                    </a:ln>
                  </pic:spPr>
                </pic:pic>
              </a:graphicData>
            </a:graphic>
          </wp:inline>
        </w:drawing>
      </w:r>
    </w:p>
    <w:p w:rsidR="003D3912" w:rsidRPr="00363523" w:rsidRDefault="003D3912">
      <w:pPr>
        <w:spacing w:after="0"/>
        <w:rPr>
          <w:rFonts w:ascii="Times New Roman" w:eastAsia="Times New Roman" w:hAnsi="Times New Roman" w:cs="Times New Roman"/>
          <w:sz w:val="20"/>
          <w:szCs w:val="20"/>
        </w:rPr>
      </w:pPr>
    </w:p>
    <w:p w:rsidR="003D3912" w:rsidRDefault="00233C6E">
      <w:pPr>
        <w:spacing w:after="0"/>
        <w:rPr>
          <w:rFonts w:ascii="Times New Roman" w:eastAsia="Times New Roman" w:hAnsi="Times New Roman" w:cs="Times New Roman"/>
          <w:sz w:val="16"/>
          <w:szCs w:val="16"/>
        </w:rPr>
      </w:pPr>
      <w:r>
        <w:rPr>
          <w:rFonts w:ascii="Times New Roman" w:eastAsia="Times New Roman" w:hAnsi="Times New Roman" w:cs="Times New Roman"/>
          <w:noProof/>
          <w:lang w:val="ru-RU" w:eastAsia="ru-RU"/>
        </w:rPr>
        <mc:AlternateContent>
          <mc:Choice Requires="wps">
            <w:drawing>
              <wp:anchor distT="0" distB="0" distL="0" distR="0" simplePos="0" relativeHeight="251654144" behindDoc="0" locked="0" layoutInCell="1" allowOverlap="1" wp14:anchorId="60357AAD" wp14:editId="7EB033CF">
                <wp:simplePos x="0" y="0"/>
                <wp:positionH relativeFrom="column">
                  <wp:posOffset>14600</wp:posOffset>
                </wp:positionH>
                <wp:positionV relativeFrom="line">
                  <wp:posOffset>50164</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42FEF492" id="officeArt object" o:spid="_x0000_s1026" style="position:absolute;z-index:251654144;visibility:visible;mso-wrap-style:square;mso-wrap-distance-left:0;mso-wrap-distance-top:0;mso-wrap-distance-right:0;mso-wrap-distance-bottom:0;mso-position-horizontal:absolute;mso-position-horizontal-relative:text;mso-position-vertical:absolute;mso-position-vertical-relative:line" from="1.15pt,3.95pt" to="11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DJKPBNsAAAAFAQAADwAAAGRycy9kb3ducmV2&#10;LnhtbEyPwU7DMBBE70j8g7VIXCrq1JWghGwqBOTGhQLi6sZLEhGv09htA1/PcirH0Yxm3hTryffq&#10;QGPsAiMs5hko4jq4jhuEt9fqagUqJsvO9oEJ4ZsirMvzs8LmLhz5hQ6b1Cgp4ZhbhDalIdc61i15&#10;G+dhIBbvM4zeJpFjo91oj1Lue22y7Fp727EstHagh5bqr83eI8TqnXbVz6yeZR/LJpDZPT4/WcTL&#10;i+n+DlSiKZ3C8Icv6FAK0zbs2UXVI5ilBBFubkGJa8xCnm0RVhnostD/6ctfAAAA//8DAFBLAQIt&#10;ABQABgAIAAAAIQC2gziS/gAAAOEBAAATAAAAAAAAAAAAAAAAAAAAAABbQ29udGVudF9UeXBlc10u&#10;eG1sUEsBAi0AFAAGAAgAAAAhADj9If/WAAAAlAEAAAsAAAAAAAAAAAAAAAAALwEAAF9yZWxzLy5y&#10;ZWxzUEsBAi0AFAAGAAgAAAAhAImkjm24AQAAWAMAAA4AAAAAAAAAAAAAAAAALgIAAGRycy9lMm9E&#10;b2MueG1sUEsBAi0AFAAGAAgAAAAhAAySjwTbAAAABQEAAA8AAAAAAAAAAAAAAAAAEgQAAGRycy9k&#10;b3ducmV2LnhtbFBLBQYAAAAABAAEAPMAAAAaBQAAAAA=&#10;">
                <w10:wrap anchory="line"/>
              </v:line>
            </w:pict>
          </mc:Fallback>
        </mc:AlternateContent>
      </w:r>
    </w:p>
    <w:p w:rsidR="003D3912" w:rsidRDefault="00233C6E" w:rsidP="00E0774B">
      <w:pPr>
        <w:pStyle w:val="a4"/>
        <w:keepNext/>
        <w:numPr>
          <w:ilvl w:val="0"/>
          <w:numId w:val="7"/>
        </w:numPr>
        <w:spacing w:after="0"/>
        <w:rPr>
          <w:sz w:val="16"/>
          <w:szCs w:val="16"/>
        </w:rPr>
      </w:pPr>
      <w:r>
        <w:rPr>
          <w:sz w:val="16"/>
          <w:szCs w:val="16"/>
        </w:rPr>
        <w:t xml:space="preserve">Calculated using a ruble to U.S. dollar exchange rate of RUB </w:t>
      </w:r>
      <w:r w:rsidR="00F0661B" w:rsidRPr="00F0661B">
        <w:rPr>
          <w:sz w:val="16"/>
          <w:szCs w:val="16"/>
        </w:rPr>
        <w:t>55</w:t>
      </w:r>
      <w:r w:rsidR="00624CE2" w:rsidRPr="00050C79">
        <w:rPr>
          <w:sz w:val="16"/>
          <w:szCs w:val="16"/>
        </w:rPr>
        <w:t>.</w:t>
      </w:r>
      <w:r w:rsidR="00F0661B" w:rsidRPr="00F0661B">
        <w:rPr>
          <w:sz w:val="16"/>
          <w:szCs w:val="16"/>
        </w:rPr>
        <w:t>524</w:t>
      </w:r>
      <w:r w:rsidR="007E3AE6" w:rsidRPr="007E3AE6">
        <w:rPr>
          <w:sz w:val="16"/>
          <w:szCs w:val="16"/>
        </w:rPr>
        <w:t xml:space="preserve"> </w:t>
      </w:r>
      <w:r>
        <w:rPr>
          <w:sz w:val="16"/>
          <w:szCs w:val="16"/>
        </w:rPr>
        <w:t>to U.S</w:t>
      </w:r>
      <w:r w:rsidR="00CF4758">
        <w:rPr>
          <w:sz w:val="16"/>
          <w:szCs w:val="16"/>
        </w:rPr>
        <w:t>. $</w:t>
      </w:r>
      <w:r>
        <w:rPr>
          <w:sz w:val="16"/>
          <w:szCs w:val="16"/>
        </w:rPr>
        <w:t xml:space="preserve">1.00, which </w:t>
      </w:r>
      <w:r w:rsidR="00CF4758">
        <w:rPr>
          <w:sz w:val="16"/>
          <w:szCs w:val="16"/>
        </w:rPr>
        <w:t>the official exchange rate was</w:t>
      </w:r>
      <w:r>
        <w:rPr>
          <w:sz w:val="16"/>
          <w:szCs w:val="16"/>
        </w:rPr>
        <w:t xml:space="preserve"> quoted by the Central Bank of the Russian Federation as of </w:t>
      </w:r>
      <w:r w:rsidR="00F0661B">
        <w:rPr>
          <w:sz w:val="16"/>
          <w:szCs w:val="16"/>
        </w:rPr>
        <w:t>June 30</w:t>
      </w:r>
      <w:r w:rsidR="007E3AE6">
        <w:rPr>
          <w:sz w:val="16"/>
          <w:szCs w:val="16"/>
        </w:rPr>
        <w:t>, 2015</w:t>
      </w:r>
      <w:r>
        <w:rPr>
          <w:sz w:val="16"/>
          <w:szCs w:val="16"/>
        </w:rPr>
        <w:t>.</w:t>
      </w:r>
    </w:p>
    <w:p w:rsidR="003D3912" w:rsidRDefault="00233C6E">
      <w:pPr>
        <w:spacing w:after="0"/>
        <w:jc w:val="center"/>
      </w:pPr>
      <w:r>
        <w:rPr>
          <w:rFonts w:ascii="Times New Roman" w:eastAsia="Times New Roman" w:hAnsi="Times New Roman" w:cs="Times New Roman"/>
          <w:u w:val="single"/>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rsidR="003D3912" w:rsidRDefault="003D3912">
      <w:pPr>
        <w:spacing w:after="0"/>
        <w:jc w:val="center"/>
        <w:rPr>
          <w:rFonts w:ascii="Times New Roman" w:eastAsia="Times New Roman" w:hAnsi="Times New Roman" w:cs="Times New Roman"/>
          <w:b/>
          <w:bCs/>
          <w:i/>
          <w:iCs/>
          <w:sz w:val="20"/>
          <w:szCs w:val="20"/>
        </w:rPr>
      </w:pPr>
    </w:p>
    <w:p w:rsidR="003D3912" w:rsidRDefault="00D8370B">
      <w:pPr>
        <w:spacing w:after="0"/>
        <w:jc w:val="center"/>
        <w:rPr>
          <w:rFonts w:ascii="Times New Roman" w:eastAsia="Times New Roman" w:hAnsi="Times New Roman" w:cs="Times New Roman"/>
          <w:b/>
          <w:bCs/>
          <w:i/>
          <w:iCs/>
          <w:sz w:val="20"/>
          <w:szCs w:val="20"/>
        </w:rPr>
      </w:pPr>
      <w:r w:rsidRPr="00D8370B">
        <w:rPr>
          <w:rFonts w:ascii="Times New Roman" w:eastAsia="Times New Roman" w:hAnsi="Times New Roman" w:cs="Times New Roman"/>
          <w:b/>
          <w:bCs/>
          <w:i/>
          <w:iCs/>
          <w:sz w:val="20"/>
          <w:szCs w:val="20"/>
        </w:rPr>
        <w:t xml:space="preserve"> </w:t>
      </w:r>
      <w:r w:rsidR="00752D06" w:rsidRPr="00752D06">
        <w:rPr>
          <w:noProof/>
          <w:lang w:val="ru-RU" w:eastAsia="ru-RU"/>
        </w:rPr>
        <w:drawing>
          <wp:inline distT="0" distB="0" distL="0" distR="0">
            <wp:extent cx="5943600" cy="5820798"/>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820798"/>
                    </a:xfrm>
                    <a:prstGeom prst="rect">
                      <a:avLst/>
                    </a:prstGeom>
                    <a:noFill/>
                    <a:ln>
                      <a:noFill/>
                    </a:ln>
                  </pic:spPr>
                </pic:pic>
              </a:graphicData>
            </a:graphic>
          </wp:inline>
        </w:drawing>
      </w:r>
      <w:r w:rsidR="007E7080" w:rsidRPr="007E7080" w:rsidDel="00900A99">
        <w:t xml:space="preserve"> </w:t>
      </w:r>
    </w:p>
    <w:p w:rsidR="003D3912" w:rsidRDefault="003D3912">
      <w:pPr>
        <w:spacing w:after="0"/>
        <w:rPr>
          <w:sz w:val="16"/>
          <w:szCs w:val="16"/>
        </w:rPr>
      </w:pPr>
    </w:p>
    <w:p w:rsidR="003D3912" w:rsidRPr="00CF4758" w:rsidRDefault="003D3912">
      <w:pPr>
        <w:spacing w:after="0"/>
        <w:rPr>
          <w:rFonts w:ascii="Times New Roman" w:eastAsia="Times New Roman" w:hAnsi="Times New Roman" w:cs="Times New Roman"/>
          <w:b/>
          <w:bCs/>
          <w:i/>
          <w:iCs/>
          <w:sz w:val="20"/>
          <w:szCs w:val="20"/>
        </w:rPr>
      </w:pPr>
    </w:p>
    <w:p w:rsidR="003D3912" w:rsidRDefault="003D3912">
      <w:pPr>
        <w:spacing w:after="0"/>
        <w:jc w:val="both"/>
        <w:rPr>
          <w:rFonts w:ascii="Times New Roman" w:eastAsia="Times New Roman" w:hAnsi="Times New Roman" w:cs="Times New Roman"/>
          <w:sz w:val="20"/>
          <w:szCs w:val="20"/>
        </w:rPr>
      </w:pPr>
    </w:p>
    <w:p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57216" behindDoc="0" locked="0" layoutInCell="1" allowOverlap="1" wp14:anchorId="06D19D03" wp14:editId="32813FE7">
                <wp:simplePos x="0" y="0"/>
                <wp:positionH relativeFrom="column">
                  <wp:posOffset>14600</wp:posOffset>
                </wp:positionH>
                <wp:positionV relativeFrom="line">
                  <wp:posOffset>57784</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141A6737" id="officeArt object" o:spid="_x0000_s1026" style="position:absolute;z-index:25165721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Ap1AgluAEAAFgDAAAOAAAAAAAAAAAAAAAAAC4CAABkcnMvZTJvRG9j&#10;LnhtbFBLAQItABQABgAIAAAAIQBsSHlm2QAAAAUBAAAPAAAAAAAAAAAAAAAAABIEAABkcnMvZG93&#10;bnJldi54bWxQSwUGAAAAAAQABADzAAAAGAUAAAAA&#10;">
                <w10:wrap anchory="line"/>
              </v:line>
            </w:pict>
          </mc:Fallback>
        </mc:AlternateContent>
      </w:r>
    </w:p>
    <w:p w:rsidR="00CA0DAB" w:rsidRPr="00F0661B" w:rsidRDefault="00CA0DAB" w:rsidP="00E0774B">
      <w:pPr>
        <w:pStyle w:val="a4"/>
        <w:keepNext/>
        <w:numPr>
          <w:ilvl w:val="0"/>
          <w:numId w:val="9"/>
        </w:numPr>
        <w:tabs>
          <w:tab w:val="clear" w:pos="540"/>
          <w:tab w:val="num" w:pos="709"/>
        </w:tabs>
        <w:spacing w:after="0"/>
        <w:ind w:left="709" w:hanging="709"/>
      </w:pPr>
      <w:r w:rsidRPr="00190582">
        <w:rPr>
          <w:sz w:val="16"/>
          <w:szCs w:val="16"/>
        </w:rPr>
        <w:t xml:space="preserve">Calculated using a ruble to U.S. dollar exchange rate of </w:t>
      </w:r>
      <w:r w:rsidR="007E3AE6">
        <w:rPr>
          <w:sz w:val="16"/>
          <w:szCs w:val="16"/>
        </w:rPr>
        <w:t xml:space="preserve">RUB </w:t>
      </w:r>
      <w:r w:rsidR="00F0661B" w:rsidRPr="00F0661B">
        <w:rPr>
          <w:sz w:val="16"/>
          <w:szCs w:val="16"/>
        </w:rPr>
        <w:t>55</w:t>
      </w:r>
      <w:r w:rsidR="00624CE2" w:rsidRPr="00050C79">
        <w:rPr>
          <w:sz w:val="16"/>
          <w:szCs w:val="16"/>
        </w:rPr>
        <w:t>.</w:t>
      </w:r>
      <w:r w:rsidR="00F0661B" w:rsidRPr="00F0661B">
        <w:rPr>
          <w:sz w:val="16"/>
          <w:szCs w:val="16"/>
        </w:rPr>
        <w:t>524</w:t>
      </w:r>
      <w:r w:rsidR="00F0661B" w:rsidRPr="007E3AE6">
        <w:rPr>
          <w:sz w:val="16"/>
          <w:szCs w:val="16"/>
        </w:rPr>
        <w:t xml:space="preserve"> </w:t>
      </w:r>
      <w:r w:rsidR="00F0661B">
        <w:rPr>
          <w:sz w:val="16"/>
          <w:szCs w:val="16"/>
        </w:rPr>
        <w:t>to U.S. $1.00, which the official exchange rate was quoted by the Central Bank of the Russian Federation as of June 30, 2015</w:t>
      </w:r>
      <w:r w:rsidR="007E3AE6">
        <w:rPr>
          <w:sz w:val="16"/>
          <w:szCs w:val="16"/>
        </w:rPr>
        <w:t>.</w:t>
      </w:r>
    </w:p>
    <w:p w:rsidR="00F0661B" w:rsidRPr="00190582" w:rsidRDefault="00F0661B" w:rsidP="00F0661B">
      <w:pPr>
        <w:pStyle w:val="a4"/>
        <w:keepNext/>
        <w:spacing w:after="0"/>
      </w:pPr>
    </w:p>
    <w:p w:rsidR="00F0661B" w:rsidRDefault="00233C6E">
      <w:pPr>
        <w:spacing w:after="0" w:line="240" w:lineRule="auto"/>
        <w:rPr>
          <w:rFonts w:ascii="Times New Roman" w:eastAsia="Arial Unicode MS" w:hAnsi="Arial Unicode MS" w:cs="Arial Unicode MS"/>
          <w:sz w:val="16"/>
          <w:szCs w:val="16"/>
          <w:lang w:eastAsia="ru-RU"/>
        </w:rPr>
      </w:pPr>
      <w:r w:rsidRPr="008A7EF4">
        <w:rPr>
          <w:sz w:val="16"/>
          <w:szCs w:val="16"/>
        </w:rPr>
        <w:br w:type="page"/>
      </w:r>
    </w:p>
    <w:p w:rsidR="00F0661B" w:rsidRPr="004C2998" w:rsidRDefault="00F0661B" w:rsidP="00F0661B">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rsidR="00F0661B" w:rsidRPr="004C2998" w:rsidRDefault="00F0661B" w:rsidP="00F0661B">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rsidR="00F0661B" w:rsidRDefault="00F0661B" w:rsidP="00F0661B">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rsidR="003D3912" w:rsidRPr="008A7EF4" w:rsidRDefault="003D3912" w:rsidP="00BC57E7">
      <w:pPr>
        <w:pStyle w:val="a4"/>
        <w:keepNext/>
        <w:spacing w:after="0"/>
        <w:jc w:val="both"/>
        <w:rPr>
          <w:sz w:val="16"/>
          <w:szCs w:val="16"/>
        </w:rPr>
      </w:pPr>
    </w:p>
    <w:p w:rsidR="00BC57E7" w:rsidRPr="00670358" w:rsidRDefault="008C4C77" w:rsidP="00BC57E7">
      <w:pPr>
        <w:spacing w:after="0"/>
        <w:jc w:val="both"/>
        <w:rPr>
          <w:rFonts w:ascii="Times New Roman" w:eastAsia="Times New Roman" w:hAnsi="Times New Roman" w:cs="Times New Roman"/>
          <w:b/>
          <w:sz w:val="16"/>
          <w:szCs w:val="16"/>
        </w:rPr>
      </w:pPr>
      <w:r w:rsidRPr="008C4C77">
        <w:rPr>
          <w:rFonts w:ascii="Times New Roman" w:eastAsia="Times New Roman" w:hAnsi="Times New Roman" w:cs="Times New Roman"/>
          <w:sz w:val="16"/>
          <w:szCs w:val="16"/>
        </w:rPr>
        <w:t xml:space="preserve"> </w:t>
      </w:r>
      <w:r w:rsidR="00752D06" w:rsidRPr="00752D06">
        <w:rPr>
          <w:noProof/>
          <w:lang w:val="ru-RU" w:eastAsia="ru-RU"/>
        </w:rPr>
        <w:drawing>
          <wp:inline distT="0" distB="0" distL="0" distR="0">
            <wp:extent cx="5943600" cy="595178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951787"/>
                    </a:xfrm>
                    <a:prstGeom prst="rect">
                      <a:avLst/>
                    </a:prstGeom>
                    <a:noFill/>
                    <a:ln>
                      <a:noFill/>
                    </a:ln>
                  </pic:spPr>
                </pic:pic>
              </a:graphicData>
            </a:graphic>
          </wp:inline>
        </w:drawing>
      </w:r>
    </w:p>
    <w:p w:rsidR="00BC57E7" w:rsidRPr="00670358" w:rsidRDefault="00BC57E7" w:rsidP="00BC57E7">
      <w:pPr>
        <w:spacing w:after="0"/>
        <w:jc w:val="center"/>
        <w:rPr>
          <w:b/>
          <w:sz w:val="16"/>
          <w:szCs w:val="16"/>
        </w:rPr>
      </w:pPr>
    </w:p>
    <w:p w:rsidR="00BC57E7" w:rsidRPr="00670358" w:rsidRDefault="00BC57E7" w:rsidP="00BC57E7">
      <w:pPr>
        <w:spacing w:after="0"/>
        <w:jc w:val="center"/>
        <w:rPr>
          <w:b/>
          <w:sz w:val="16"/>
          <w:szCs w:val="16"/>
        </w:rPr>
      </w:pPr>
    </w:p>
    <w:p w:rsidR="00BC57E7" w:rsidRPr="00670358" w:rsidRDefault="00BC57E7" w:rsidP="00BC57E7">
      <w:pPr>
        <w:spacing w:after="0"/>
        <w:rPr>
          <w:b/>
          <w:sz w:val="16"/>
          <w:szCs w:val="16"/>
        </w:rPr>
      </w:pPr>
    </w:p>
    <w:p w:rsidR="00BC57E7" w:rsidRPr="00670358" w:rsidRDefault="00BC57E7" w:rsidP="00BC57E7">
      <w:pPr>
        <w:spacing w:after="0"/>
        <w:jc w:val="center"/>
        <w:rPr>
          <w:b/>
          <w:sz w:val="16"/>
          <w:szCs w:val="16"/>
        </w:rPr>
      </w:pPr>
    </w:p>
    <w:p w:rsidR="00BC57E7" w:rsidRPr="00670358" w:rsidRDefault="00BC57E7" w:rsidP="00BC57E7">
      <w:pPr>
        <w:spacing w:after="0"/>
        <w:jc w:val="center"/>
        <w:rPr>
          <w:b/>
          <w:sz w:val="16"/>
          <w:szCs w:val="16"/>
        </w:rPr>
      </w:pPr>
      <w:r w:rsidRPr="00670358">
        <w:rPr>
          <w:rFonts w:ascii="Times New Roman" w:eastAsia="Times New Roman" w:hAnsi="Times New Roman" w:cs="Times New Roman"/>
          <w:b/>
          <w:noProof/>
          <w:sz w:val="16"/>
          <w:szCs w:val="16"/>
          <w:lang w:val="ru-RU" w:eastAsia="ru-RU"/>
        </w:rPr>
        <mc:AlternateContent>
          <mc:Choice Requires="wps">
            <w:drawing>
              <wp:anchor distT="0" distB="0" distL="0" distR="0" simplePos="0" relativeHeight="251655168" behindDoc="0" locked="0" layoutInCell="1" allowOverlap="1" wp14:anchorId="73FEFCB4" wp14:editId="18316F44">
                <wp:simplePos x="0" y="0"/>
                <wp:positionH relativeFrom="column">
                  <wp:posOffset>13970</wp:posOffset>
                </wp:positionH>
                <wp:positionV relativeFrom="line">
                  <wp:posOffset>71646</wp:posOffset>
                </wp:positionV>
                <wp:extent cx="1388745" cy="0"/>
                <wp:effectExtent l="0" t="0" r="20955" b="19050"/>
                <wp:wrapNone/>
                <wp:docPr id="9" name="officeArt object"/>
                <wp:cNvGraphicFramePr/>
                <a:graphic xmlns:a="http://schemas.openxmlformats.org/drawingml/2006/main">
                  <a:graphicData uri="http://schemas.microsoft.com/office/word/2010/wordprocessingShape">
                    <wps:wsp>
                      <wps:cNvCnPr/>
                      <wps:spPr>
                        <a:xfrm>
                          <a:off x="0" y="0"/>
                          <a:ext cx="1388745" cy="0"/>
                        </a:xfrm>
                        <a:prstGeom prst="line">
                          <a:avLst/>
                        </a:prstGeom>
                        <a:noFill/>
                        <a:ln w="9525" cap="flat">
                          <a:solidFill>
                            <a:srgbClr val="000000"/>
                          </a:solidFill>
                          <a:prstDash val="solid"/>
                          <a:round/>
                        </a:ln>
                        <a:effectLst/>
                      </wps:spPr>
                      <wps:bodyPr/>
                    </wps:wsp>
                  </a:graphicData>
                </a:graphic>
              </wp:anchor>
            </w:drawing>
          </mc:Choice>
          <mc:Fallback>
            <w:pict>
              <v:line w14:anchorId="5196BFC8" id="officeArt object" o:spid="_x0000_s1026" style="position:absolute;z-index:251655168;visibility:visible;mso-wrap-style:square;mso-wrap-distance-left:0;mso-wrap-distance-top:0;mso-wrap-distance-right:0;mso-wrap-distance-bottom:0;mso-position-horizontal:absolute;mso-position-horizontal-relative:text;mso-position-vertical:absolute;mso-position-vertical-relative:line" from="1.1pt,5.65pt" to="110.4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qS0rAEAAE0DAAAOAAAAZHJzL2Uyb0RvYy54bWysU02PEzEMvSPxH6Lc6bSFhe6o0xXaarkg&#10;qAT8ADeTdILyJTvbaf89TqZbFrihnUMmju1nvxdnfXfyThw1ko2hk4vZXAodVOxtOHTyx/eHNysp&#10;KEPowcWgO3nWJO82r1+tx9TqZRyi6zUKBgnUjqmTQ86pbRpSg/ZAs5h0YKeJ6CGziYemRxgZ3btm&#10;OZ+/b8aIfcKoNBGfbien3FR8Y7TKX40hnYXrJPeW64p13Ze12ayhPSCkwapLG/AfXXiwgYteobaQ&#10;QTyi/QfKW4WRoskzFX0TjbFKVw7MZjH/i823AZKuXFgcSleZ6OVg1ZfjDoXtO3krRQDPVzQ19RGz&#10;iPufLGDRaEzUcuh92OHForTDQvhk0Jc/Z4lT1fV81VWfslB8uHi7Wn14dyOFevI1vxMTUv6koxdl&#10;00lnQ6EMLRw/U+ZiHPoUUo5DfLDO1WtzQYzc982yIAMPj3GQay5FZ/sSVzIID/t7h+IIZQbqVygx&#10;7h9hpcgWaJjiqmuaDoyPoZ8SXCiAus7VpbuizKRF2e1jf64SNcXiO6t1LvNVhuK5zfvnr2DzCwAA&#10;//8DAFBLAwQUAAYACAAAACEA4hDphdkAAAAHAQAADwAAAGRycy9kb3ducmV2LnhtbEyOzU7DMBCE&#10;70i8g7VIXKrWqSshSONUCMiNCwXEdRsvSUS8TmO3DTw9izjAcX408xWbyffqSGPsAltYLjJQxHVw&#10;HTcWXp6r+TWomJAd9oHJwidF2JTnZwXmLpz4iY7b1CgZ4ZijhTalIdc61i15jIswEEv2HkaPSeTY&#10;aDfiScZ9r02WXWmPHctDiwPdtVR/bA/eQqxeaV99zepZ9rZqApn9/eMDWnt5Md2uQSWa0l8ZfvAF&#10;HUph2oUDu6h6C8ZIUezlCpTExmQ3oHa/hi4L/Z+//AYAAP//AwBQSwECLQAUAAYACAAAACEAtoM4&#10;kv4AAADhAQAAEwAAAAAAAAAAAAAAAAAAAAAAW0NvbnRlbnRfVHlwZXNdLnhtbFBLAQItABQABgAI&#10;AAAAIQA4/SH/1gAAAJQBAAALAAAAAAAAAAAAAAAAAC8BAABfcmVscy8ucmVsc1BLAQItABQABgAI&#10;AAAAIQAw5qS0rAEAAE0DAAAOAAAAAAAAAAAAAAAAAC4CAABkcnMvZTJvRG9jLnhtbFBLAQItABQA&#10;BgAIAAAAIQDiEOmF2QAAAAcBAAAPAAAAAAAAAAAAAAAAAAYEAABkcnMvZG93bnJldi54bWxQSwUG&#10;AAAAAAQABADzAAAADAUAAAAA&#10;">
                <w10:wrap anchory="line"/>
              </v:line>
            </w:pict>
          </mc:Fallback>
        </mc:AlternateContent>
      </w:r>
    </w:p>
    <w:p w:rsidR="003D3912" w:rsidRPr="00752D06" w:rsidRDefault="00BC57E7" w:rsidP="00E0774B">
      <w:pPr>
        <w:pStyle w:val="ac"/>
        <w:numPr>
          <w:ilvl w:val="0"/>
          <w:numId w:val="16"/>
        </w:numPr>
        <w:spacing w:after="0"/>
        <w:rPr>
          <w:rFonts w:ascii="Times New Roman" w:eastAsia="Arial Unicode MS" w:hAnsi="Arial Unicode MS" w:cs="Arial Unicode MS"/>
          <w:sz w:val="16"/>
          <w:szCs w:val="16"/>
          <w:lang w:eastAsia="ru-RU"/>
        </w:rPr>
      </w:pPr>
      <w:r w:rsidRPr="00752D06">
        <w:rPr>
          <w:rFonts w:ascii="Times New Roman" w:eastAsia="Arial Unicode MS" w:hAnsi="Arial Unicode MS" w:cs="Arial Unicode MS"/>
          <w:sz w:val="16"/>
          <w:szCs w:val="16"/>
          <w:lang w:eastAsia="ru-RU"/>
        </w:rPr>
        <w:t>Calculated using a ruble to U.S. dollar exchange rate of RUB 55</w:t>
      </w:r>
      <w:r w:rsidR="00624CE2" w:rsidRPr="00752D06">
        <w:rPr>
          <w:rFonts w:ascii="Times New Roman" w:eastAsia="Arial Unicode MS" w:hAnsi="Arial Unicode MS" w:cs="Arial Unicode MS"/>
          <w:sz w:val="16"/>
          <w:szCs w:val="16"/>
          <w:lang w:eastAsia="ru-RU"/>
        </w:rPr>
        <w:t>.</w:t>
      </w:r>
      <w:r w:rsidRPr="00752D06">
        <w:rPr>
          <w:rFonts w:ascii="Times New Roman" w:eastAsia="Arial Unicode MS" w:hAnsi="Arial Unicode MS" w:cs="Arial Unicode MS"/>
          <w:sz w:val="16"/>
          <w:szCs w:val="16"/>
          <w:lang w:eastAsia="ru-RU"/>
        </w:rPr>
        <w:t>524 to U.S. $1.00, which the official exchange rate was quoted by the Central</w:t>
      </w:r>
      <w:r w:rsidR="00E101DC" w:rsidRPr="00752D06">
        <w:rPr>
          <w:rFonts w:ascii="Times New Roman" w:eastAsia="Arial Unicode MS" w:hAnsi="Arial Unicode MS" w:cs="Arial Unicode MS"/>
          <w:sz w:val="16"/>
          <w:szCs w:val="16"/>
          <w:lang w:eastAsia="ru-RU"/>
        </w:rPr>
        <w:t xml:space="preserve"> </w:t>
      </w:r>
      <w:r w:rsidRPr="00752D06">
        <w:rPr>
          <w:rFonts w:ascii="Times New Roman" w:eastAsia="Arial Unicode MS" w:hAnsi="Arial Unicode MS" w:cs="Arial Unicode MS"/>
          <w:sz w:val="16"/>
          <w:szCs w:val="16"/>
          <w:lang w:eastAsia="ru-RU"/>
        </w:rPr>
        <w:t>Bank of the Russian Federation as of June 30, 2015.</w:t>
      </w:r>
    </w:p>
    <w:p w:rsidR="00BC57E7" w:rsidRPr="00670358" w:rsidRDefault="00BC57E7">
      <w:pPr>
        <w:spacing w:after="0" w:line="240" w:lineRule="auto"/>
        <w:rPr>
          <w:rFonts w:ascii="Times New Roman Bold"/>
          <w:b/>
        </w:rPr>
      </w:pPr>
      <w:r w:rsidRPr="00670358">
        <w:rPr>
          <w:rFonts w:ascii="Times New Roman Bold"/>
          <w:b/>
        </w:rPr>
        <w:br w:type="page"/>
      </w:r>
    </w:p>
    <w:p w:rsidR="003D3912" w:rsidRPr="00670358" w:rsidRDefault="00233C6E">
      <w:pPr>
        <w:spacing w:after="0"/>
        <w:jc w:val="center"/>
        <w:rPr>
          <w:rFonts w:ascii="Times New Roman Bold" w:eastAsia="Times New Roman Bold" w:hAnsi="Times New Roman Bold" w:cs="Times New Roman Bold"/>
          <w:b/>
        </w:rPr>
      </w:pPr>
      <w:r w:rsidRPr="00670358">
        <w:rPr>
          <w:rFonts w:ascii="Times New Roman Bold"/>
          <w:b/>
        </w:rPr>
        <w:lastRenderedPageBreak/>
        <w:t>QIWI plc.</w:t>
      </w:r>
    </w:p>
    <w:p w:rsidR="003D3912" w:rsidRPr="00670358" w:rsidRDefault="00233C6E">
      <w:pPr>
        <w:spacing w:after="0"/>
        <w:jc w:val="center"/>
        <w:rPr>
          <w:rFonts w:ascii="Times New Roman Bold" w:eastAsia="Times New Roman Bold" w:hAnsi="Times New Roman Bold" w:cs="Times New Roman Bold"/>
          <w:b/>
        </w:rPr>
      </w:pPr>
      <w:r w:rsidRPr="00670358">
        <w:rPr>
          <w:rFonts w:ascii="Times New Roman Bold"/>
          <w:b/>
        </w:rPr>
        <w:t xml:space="preserve">Consolidated </w:t>
      </w:r>
      <w:r w:rsidR="00413EA7" w:rsidRPr="00670358">
        <w:rPr>
          <w:rFonts w:ascii="Times New Roman Bold"/>
          <w:b/>
        </w:rPr>
        <w:t xml:space="preserve">Statement of </w:t>
      </w:r>
      <w:r w:rsidRPr="00670358">
        <w:rPr>
          <w:rFonts w:ascii="Times New Roman Bold"/>
          <w:b/>
        </w:rPr>
        <w:t>Cash Flow</w:t>
      </w:r>
      <w:r w:rsidR="00413EA7" w:rsidRPr="00670358">
        <w:rPr>
          <w:rFonts w:ascii="Times New Roman Bold"/>
          <w:b/>
        </w:rPr>
        <w:t>s</w:t>
      </w:r>
      <w:r w:rsidRPr="00670358">
        <w:rPr>
          <w:rFonts w:ascii="Times New Roman Bold"/>
          <w:b/>
        </w:rPr>
        <w:t xml:space="preserve"> </w:t>
      </w:r>
    </w:p>
    <w:p w:rsidR="00BF025D" w:rsidRPr="00670358" w:rsidRDefault="00233C6E" w:rsidP="00BF025D">
      <w:pPr>
        <w:spacing w:after="0"/>
        <w:jc w:val="center"/>
        <w:rPr>
          <w:rFonts w:ascii="Times New Roman"/>
          <w:b/>
          <w:bCs/>
          <w:i/>
          <w:iCs/>
          <w:sz w:val="20"/>
          <w:szCs w:val="20"/>
        </w:rPr>
      </w:pPr>
      <w:r w:rsidRPr="00670358">
        <w:rPr>
          <w:rFonts w:ascii="Times New Roman"/>
          <w:b/>
          <w:bCs/>
          <w:i/>
          <w:iCs/>
          <w:sz w:val="20"/>
          <w:szCs w:val="20"/>
        </w:rPr>
        <w:t>(</w:t>
      </w:r>
      <w:proofErr w:type="gramStart"/>
      <w:r w:rsidRPr="00670358">
        <w:rPr>
          <w:rFonts w:ascii="Times New Roman"/>
          <w:b/>
          <w:bCs/>
          <w:i/>
          <w:iCs/>
          <w:sz w:val="20"/>
          <w:szCs w:val="20"/>
        </w:rPr>
        <w:t>in</w:t>
      </w:r>
      <w:proofErr w:type="gramEnd"/>
      <w:r w:rsidRPr="00670358">
        <w:rPr>
          <w:rFonts w:ascii="Times New Roman"/>
          <w:b/>
          <w:bCs/>
          <w:i/>
          <w:iCs/>
          <w:sz w:val="20"/>
          <w:szCs w:val="20"/>
        </w:rPr>
        <w:t xml:space="preserve"> </w:t>
      </w:r>
      <w:r w:rsidR="00504AE6" w:rsidRPr="00670358">
        <w:rPr>
          <w:rFonts w:ascii="Times New Roman"/>
          <w:b/>
          <w:bCs/>
          <w:i/>
          <w:iCs/>
          <w:sz w:val="20"/>
          <w:szCs w:val="20"/>
        </w:rPr>
        <w:t>thousands</w:t>
      </w:r>
      <w:r w:rsidRPr="00670358">
        <w:rPr>
          <w:rFonts w:ascii="Times New Roman"/>
          <w:b/>
          <w:bCs/>
          <w:i/>
          <w:iCs/>
          <w:sz w:val="20"/>
          <w:szCs w:val="20"/>
        </w:rPr>
        <w:t>)</w:t>
      </w:r>
    </w:p>
    <w:p w:rsidR="00750104" w:rsidRPr="00670358" w:rsidRDefault="00D8370B" w:rsidP="00BF025D">
      <w:pPr>
        <w:spacing w:after="0"/>
        <w:jc w:val="center"/>
        <w:rPr>
          <w:rFonts w:ascii="Times New Roman"/>
          <w:b/>
          <w:bCs/>
          <w:i/>
          <w:iCs/>
          <w:sz w:val="20"/>
          <w:szCs w:val="20"/>
        </w:rPr>
      </w:pPr>
      <w:r w:rsidRPr="00670358">
        <w:rPr>
          <w:rFonts w:ascii="Times New Roman"/>
          <w:b/>
          <w:bCs/>
          <w:i/>
          <w:iCs/>
          <w:sz w:val="20"/>
          <w:szCs w:val="20"/>
        </w:rPr>
        <w:t xml:space="preserve"> </w:t>
      </w:r>
      <w:r w:rsidR="008C4C77" w:rsidRPr="00670358">
        <w:rPr>
          <w:rFonts w:ascii="Times New Roman"/>
          <w:b/>
          <w:bCs/>
          <w:i/>
          <w:iCs/>
          <w:sz w:val="20"/>
          <w:szCs w:val="20"/>
        </w:rPr>
        <w:t xml:space="preserve"> </w:t>
      </w:r>
      <w:r w:rsidR="00752D06" w:rsidRPr="00752D06">
        <w:rPr>
          <w:noProof/>
          <w:lang w:val="ru-RU" w:eastAsia="ru-RU"/>
        </w:rPr>
        <w:drawing>
          <wp:inline distT="0" distB="0" distL="0" distR="0">
            <wp:extent cx="5943600" cy="7331825"/>
            <wp:effectExtent l="0" t="0" r="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331825"/>
                    </a:xfrm>
                    <a:prstGeom prst="rect">
                      <a:avLst/>
                    </a:prstGeom>
                    <a:noFill/>
                    <a:ln>
                      <a:noFill/>
                    </a:ln>
                  </pic:spPr>
                </pic:pic>
              </a:graphicData>
            </a:graphic>
          </wp:inline>
        </w:drawing>
      </w:r>
    </w:p>
    <w:p w:rsidR="003D3912" w:rsidRPr="00670358" w:rsidRDefault="003D3912">
      <w:pPr>
        <w:spacing w:after="0"/>
        <w:jc w:val="center"/>
        <w:rPr>
          <w:rFonts w:ascii="Times New Roman" w:eastAsia="Times New Roman" w:hAnsi="Times New Roman" w:cs="Times New Roman"/>
          <w:b/>
          <w:bCs/>
          <w:i/>
          <w:iCs/>
          <w:sz w:val="20"/>
          <w:szCs w:val="20"/>
        </w:rPr>
      </w:pPr>
    </w:p>
    <w:p w:rsidR="003D3912" w:rsidRPr="00670358" w:rsidRDefault="003D3912">
      <w:pPr>
        <w:spacing w:after="0"/>
        <w:jc w:val="both"/>
        <w:rPr>
          <w:rFonts w:ascii="Times New Roman" w:eastAsia="Times New Roman" w:hAnsi="Times New Roman" w:cs="Times New Roman"/>
          <w:b/>
          <w:sz w:val="16"/>
          <w:szCs w:val="16"/>
        </w:rPr>
      </w:pPr>
    </w:p>
    <w:p w:rsidR="003D3912" w:rsidRPr="00670358" w:rsidRDefault="00233C6E">
      <w:pPr>
        <w:spacing w:after="0"/>
        <w:jc w:val="both"/>
        <w:rPr>
          <w:rFonts w:ascii="Times New Roman" w:eastAsia="Times New Roman" w:hAnsi="Times New Roman" w:cs="Times New Roman"/>
          <w:b/>
          <w:sz w:val="16"/>
          <w:szCs w:val="16"/>
        </w:rPr>
      </w:pPr>
      <w:r w:rsidRPr="00670358">
        <w:rPr>
          <w:rFonts w:ascii="Times New Roman" w:eastAsia="Times New Roman" w:hAnsi="Times New Roman" w:cs="Times New Roman"/>
          <w:b/>
          <w:noProof/>
          <w:sz w:val="16"/>
          <w:szCs w:val="16"/>
          <w:lang w:val="ru-RU" w:eastAsia="ru-RU"/>
        </w:rPr>
        <mc:AlternateContent>
          <mc:Choice Requires="wps">
            <w:drawing>
              <wp:anchor distT="0" distB="0" distL="0" distR="0" simplePos="0" relativeHeight="251658240" behindDoc="0" locked="0" layoutInCell="1" allowOverlap="1" wp14:anchorId="533CA509" wp14:editId="58942408">
                <wp:simplePos x="0" y="0"/>
                <wp:positionH relativeFrom="column">
                  <wp:posOffset>24125</wp:posOffset>
                </wp:positionH>
                <wp:positionV relativeFrom="line">
                  <wp:posOffset>33654</wp:posOffset>
                </wp:positionV>
                <wp:extent cx="1388746" cy="634"/>
                <wp:effectExtent l="0" t="0" r="0" b="0"/>
                <wp:wrapNone/>
                <wp:docPr id="107374183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2EC0663F" id="officeArt object" o:spid="_x0000_s1026" style="position:absolute;z-index:251658240;visibility:visible;mso-wrap-style:square;mso-wrap-distance-left:0;mso-wrap-distance-top:0;mso-wrap-distance-right:0;mso-wrap-distance-bottom:0;mso-position-horizontal:absolute;mso-position-horizontal-relative:text;mso-position-vertical:absolute;mso-position-vertical-relative:line" from="1.9pt,2.65pt" to="111.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NuAEAAFgDAAAOAAAAZHJzL2Uyb0RvYy54bWysU9uO0zAQfUfiHyy/06RNty1R0xXaanlB&#10;UAn4gKnjNEa+aext2r9n7GTLwr6tyIPjuR2fOR5v7y9Gs7PEoJxt+HxWciatcK2yp4b//PH4YcNZ&#10;iGBb0M7Khl9l4Pe79++2g6/lwvVOtxIZgdhQD77hfYy+LoogemkgzJyXloKdQwORTDwVLcJA6EYX&#10;i7JcFYPD1qMTMgTy7scg32X8rpMifuu6ICPTDSduMa+Y12Nai90W6hOC75WYaMAbWBhQlg69Qe0h&#10;AntC9QrKKIEuuC7OhDOF6zolZO6BupmX/3TzvQcvcy8kTvA3mcL/gxVfzwdkqqW7K9fVejnfVBVn&#10;Fgzd1cjuE0bmjr9IySTW4ENNNQ/2gJMV/AFT55cOTfpTFbtkga83geUlMkHOebXZrJcrzgTFVtUy&#10;IRZ/Sj2G+Fk6w9Km4VrZ1D3UcP4S4pj6nJLc1j0qrckPtbZsaPjHu8UdYQPNUach5trgtGpTXkoL&#10;eDo+aGRnSOOQv4nCX2npkD2EfszLoZQGNbon245EtE0OmUdsYpe0GdVIu6Nrr1mkIll0fbnVadTS&#10;fLy0af/yQex+AwAA//8DAFBLAwQUAAYACAAAACEASeqALNoAAAAFAQAADwAAAGRycy9kb3ducmV2&#10;LnhtbEzOMU/DMBAF4B2J/2AdEktFHRyKUIhTISAbCwXEeo2PJCI+p7HbBn49xwTj0zu9+8r17Ad1&#10;oCn2gS1cLjNQxE1wPbcWXl/qixtQMSE7HAKThS+KsK5OT0osXDjyMx02qVUywrFAC11KY6F1bDry&#10;GJdhJJbuI0wek8Sp1W7Co4z7QZssu9Yee5YPHY5031Hzudl7C7F+o139vWgW2XveBjK7h6dHtPb8&#10;bL67BZVoTn/H8MsXOlRi2oY9u6gGC7nAk4VVDkpaY8wK1FbyFeiq1P/11Q8AAAD//wMAUEsBAi0A&#10;FAAGAAgAAAAhALaDOJL+AAAA4QEAABMAAAAAAAAAAAAAAAAAAAAAAFtDb250ZW50X1R5cGVzXS54&#10;bWxQSwECLQAUAAYACAAAACEAOP0h/9YAAACUAQAACwAAAAAAAAAAAAAAAAAvAQAAX3JlbHMvLnJl&#10;bHNQSwECLQAUAAYACAAAACEApoPoDbgBAABYAwAADgAAAAAAAAAAAAAAAAAuAgAAZHJzL2Uyb0Rv&#10;Yy54bWxQSwECLQAUAAYACAAAACEASeqALNoAAAAFAQAADwAAAAAAAAAAAAAAAAASBAAAZHJzL2Rv&#10;d25yZXYueG1sUEsFBgAAAAAEAAQA8wAAABkFAAAAAA==&#10;">
                <w10:wrap anchory="line"/>
              </v:line>
            </w:pict>
          </mc:Fallback>
        </mc:AlternateContent>
      </w:r>
    </w:p>
    <w:p w:rsidR="003D3912" w:rsidRPr="00752D06" w:rsidRDefault="00CF4758" w:rsidP="00E0774B">
      <w:pPr>
        <w:pStyle w:val="a4"/>
        <w:keepNext/>
        <w:numPr>
          <w:ilvl w:val="0"/>
          <w:numId w:val="10"/>
        </w:numPr>
        <w:tabs>
          <w:tab w:val="clear" w:pos="540"/>
          <w:tab w:val="num" w:pos="810"/>
        </w:tabs>
        <w:spacing w:after="0"/>
        <w:ind w:left="810" w:hanging="810"/>
        <w:rPr>
          <w:sz w:val="16"/>
          <w:szCs w:val="16"/>
        </w:rPr>
      </w:pPr>
      <w:r w:rsidRPr="00752D06">
        <w:rPr>
          <w:sz w:val="16"/>
          <w:szCs w:val="16"/>
        </w:rPr>
        <w:t xml:space="preserve">Calculated using a ruble to U.S. dollar exchange rate of </w:t>
      </w:r>
      <w:r w:rsidR="007E3AE6" w:rsidRPr="00752D06">
        <w:rPr>
          <w:sz w:val="16"/>
          <w:szCs w:val="16"/>
        </w:rPr>
        <w:t xml:space="preserve">RUB </w:t>
      </w:r>
      <w:r w:rsidR="00F0661B" w:rsidRPr="00752D06">
        <w:rPr>
          <w:sz w:val="16"/>
          <w:szCs w:val="16"/>
        </w:rPr>
        <w:t>55</w:t>
      </w:r>
      <w:r w:rsidR="00624CE2" w:rsidRPr="00752D06">
        <w:rPr>
          <w:sz w:val="16"/>
          <w:szCs w:val="16"/>
        </w:rPr>
        <w:t>.</w:t>
      </w:r>
      <w:r w:rsidR="00F0661B" w:rsidRPr="00752D06">
        <w:rPr>
          <w:sz w:val="16"/>
          <w:szCs w:val="16"/>
        </w:rPr>
        <w:t>524 to U.S. $1.00, which the official exchange rate was quoted by the Central Bank of the Russian Federation as of June 30, 2015</w:t>
      </w:r>
      <w:r w:rsidRPr="00752D06">
        <w:rPr>
          <w:sz w:val="16"/>
          <w:szCs w:val="16"/>
        </w:rPr>
        <w:t>.</w:t>
      </w:r>
    </w:p>
    <w:p w:rsidR="003D3912" w:rsidRPr="00752D06" w:rsidRDefault="003D3912">
      <w:pPr>
        <w:spacing w:after="0"/>
        <w:rPr>
          <w:rFonts w:ascii="Times New Roman Bold" w:eastAsia="Times New Roman Bold" w:hAnsi="Times New Roman Bold" w:cs="Times New Roman Bold"/>
        </w:rPr>
      </w:pPr>
    </w:p>
    <w:p w:rsidR="00BC57E7" w:rsidRDefault="00BC57E7">
      <w:pPr>
        <w:spacing w:after="0" w:line="240" w:lineRule="auto"/>
        <w:rPr>
          <w:rFonts w:ascii="Times New Roman Bold"/>
          <w:b/>
        </w:rPr>
      </w:pPr>
    </w:p>
    <w:p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lastRenderedPageBreak/>
        <w:t>Non-IFRS Financial Measures and Supplemental Financial Information</w:t>
      </w:r>
    </w:p>
    <w:p w:rsidR="003D3912" w:rsidRDefault="003D3912">
      <w:pPr>
        <w:spacing w:after="0"/>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rPr>
      </w:pPr>
      <w:r>
        <w:rPr>
          <w:rFonts w:ascii="Times New Roman"/>
        </w:rPr>
        <w:t>This release presents Total Adjusted Net Revenue, Payment Adjusted Net Revenue, Other Adjusted Net Revenue, Adjusted EBITDA, Adjusted EBITDA margin, Adjusted Net Profit and Adjusted Net Profit per share, which are non-IFRS financial measures. You should not consider these non-IFRS financial measures as substitutes for or superior to revenue, in the case of Total Adjusted Net Revenue, Payment Adjusted Net Revenue and Other Adjusted Net Revenue; Net Profit, in the case of Adjusted EBITDA; and Adjusted Net Profit, or earnings per share, in the case of Adjusted Net Profit per share, each prepared in accordance with IFRS. Furthermore, because these non-IFRS financial measures are not determined in accordance with IFRS, they are susceptible to varying calculations and may not be comparable to other similarly titled measures presented by other companies. QIWI encourages investors and others to review our financial information in its entirety and not rely on a single financial measure. For more information regarding Total Adjusted Net Revenue, Payment Adjusted Net Revenue, Other Adjusted Net Revenue, Adjusted EBITDA, Adjusted EBITDA margin, Adjusted Net Profit, and Adjusted Net Profit per share, including a quantitative reconciliation of Total Adjusted Net Revenue, Payment Adjusted Net Revenue, Other Adjusted Net Revenue, Adjusted EBITDA and Adjusted Net Profit to the most directly comparable IFRS financial performance measure, which is revenue in the case of Total Adjusted Net Revenue, payment revenue in the case of Payment Adjusted Net Revenue, other revenue in the case of Other Adjusted Net Revenue and net profit in the case of Adjusted EBITDA and Adjusted Net Profit, see Reconciliation of IFRS to Non-IFRS Operating Results in this earnings release.</w:t>
      </w:r>
    </w:p>
    <w:p w:rsidR="003D3912" w:rsidRDefault="003D3912">
      <w:pPr>
        <w:spacing w:after="0"/>
        <w:rPr>
          <w:rFonts w:ascii="Times New Roman Bold" w:eastAsia="Times New Roman Bold" w:hAnsi="Times New Roman Bold" w:cs="Times New Roman Bold"/>
        </w:rPr>
      </w:pPr>
    </w:p>
    <w:p w:rsidR="003D3912" w:rsidRDefault="00233C6E">
      <w:pPr>
        <w:spacing w:after="0"/>
        <w:rPr>
          <w:rFonts w:ascii="Times New Roman" w:eastAsia="Times New Roman" w:hAnsi="Times New Roman" w:cs="Times New Roman"/>
        </w:rPr>
      </w:pPr>
      <w:r>
        <w:rPr>
          <w:rFonts w:ascii="Times New Roman"/>
        </w:rPr>
        <w:t xml:space="preserve">Payment Adjusted Net Revenue is the Adjusted Net Revenue consisting of the merchant and consumer fees collected for the payment transactions. E-commerce payment adjusted net revenue consists of fees charged to customers and merchants that buy and sell products and services online, including online games, social networks, online stores, game developers, software producers, coupon websites, tickets and numerous other merchants. Financial Services payment adjusted net revenue primarily consists of fees charged for payments accepted on behalf of our bank partners and microfinance companies. Money Remittances payment adjusted net revenue primarily consists of fees charged for transferring funds via money remittance companies. Telecom payment adjusted net revenue primarily consists of fees charged for payments to MNOs, internet services providers and pay television providers. Other payment adjusted net revenue consists of consumer and merchant fees charged for a variety of payments including multi-level-marketing, utility bills, government payments, education services and many others. Other Adjusted Net Revenue </w:t>
      </w:r>
      <w:r w:rsidR="0064744A">
        <w:rPr>
          <w:rFonts w:ascii="Times New Roman"/>
        </w:rPr>
        <w:t>is principally composed of revenue from inactivity fees, interest revenue and gain from currency swaps and overdrafts provided to agents, revenue from rent of space for kiosks and sale of kiosks, cash and settlement services and advertising</w:t>
      </w:r>
      <w:r>
        <w:rPr>
          <w:rFonts w:ascii="Times New Roman"/>
        </w:rPr>
        <w:t>.</w:t>
      </w:r>
    </w:p>
    <w:p w:rsidR="003D3912" w:rsidRDefault="003D3912">
      <w:pPr>
        <w:spacing w:after="0"/>
        <w:rPr>
          <w:rFonts w:ascii="Times New Roman" w:eastAsia="Times New Roman" w:hAnsi="Times New Roman" w:cs="Times New Roman"/>
        </w:rPr>
      </w:pPr>
    </w:p>
    <w:p w:rsidR="003D3912" w:rsidRDefault="00233C6E">
      <w:pPr>
        <w:spacing w:after="0"/>
        <w:jc w:val="center"/>
      </w:pPr>
      <w:r>
        <w:rPr>
          <w:rFonts w:ascii="Times New Roman Bold" w:eastAsia="Times New Roman Bold" w:hAnsi="Times New Roman Bold" w:cs="Times New Roman Bold"/>
        </w:rPr>
        <w:br w:type="page"/>
      </w:r>
    </w:p>
    <w:p w:rsidR="003D3912" w:rsidRDefault="003D3912">
      <w:pPr>
        <w:spacing w:after="0"/>
        <w:jc w:val="center"/>
        <w:rPr>
          <w:rFonts w:ascii="Times New Roman Bold" w:eastAsia="Times New Roman Bold" w:hAnsi="Times New Roman Bold" w:cs="Times New Roman Bold"/>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rsidR="003D3912" w:rsidRDefault="00D8370B">
      <w:pPr>
        <w:spacing w:after="0"/>
        <w:jc w:val="center"/>
        <w:rPr>
          <w:rFonts w:ascii="Times New Roman" w:eastAsia="Times New Roman" w:hAnsi="Times New Roman" w:cs="Times New Roman"/>
          <w:b/>
          <w:bCs/>
          <w:i/>
          <w:iCs/>
          <w:sz w:val="20"/>
          <w:szCs w:val="20"/>
        </w:rPr>
      </w:pPr>
      <w:r w:rsidRPr="00D8370B">
        <w:rPr>
          <w:rFonts w:ascii="Times New Roman" w:eastAsia="Times New Roman" w:hAnsi="Times New Roman" w:cs="Times New Roman"/>
          <w:b/>
          <w:bCs/>
          <w:i/>
          <w:iCs/>
          <w:sz w:val="20"/>
          <w:szCs w:val="20"/>
        </w:rPr>
        <w:t xml:space="preserve"> </w:t>
      </w:r>
      <w:r w:rsidR="008C4C77" w:rsidRPr="008C4C77">
        <w:rPr>
          <w:rFonts w:ascii="Times New Roman" w:eastAsia="Times New Roman" w:hAnsi="Times New Roman" w:cs="Times New Roman"/>
          <w:b/>
          <w:bCs/>
          <w:i/>
          <w:iCs/>
          <w:sz w:val="20"/>
          <w:szCs w:val="20"/>
        </w:rPr>
        <w:t xml:space="preserve"> </w:t>
      </w:r>
      <w:r w:rsidR="00310ED0" w:rsidRPr="00310ED0">
        <w:rPr>
          <w:rFonts w:ascii="Times New Roman" w:eastAsia="Times New Roman" w:hAnsi="Times New Roman" w:cs="Times New Roman"/>
          <w:b/>
          <w:bCs/>
          <w:i/>
          <w:iCs/>
          <w:sz w:val="20"/>
          <w:szCs w:val="20"/>
        </w:rPr>
        <w:t xml:space="preserve"> </w:t>
      </w:r>
      <w:r w:rsidR="00310ED0" w:rsidRPr="00310ED0">
        <w:rPr>
          <w:noProof/>
          <w:lang w:val="ru-RU" w:eastAsia="ru-RU"/>
        </w:rPr>
        <w:drawing>
          <wp:inline distT="0" distB="0" distL="0" distR="0">
            <wp:extent cx="5943600" cy="75109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7510940"/>
                    </a:xfrm>
                    <a:prstGeom prst="rect">
                      <a:avLst/>
                    </a:prstGeom>
                    <a:noFill/>
                    <a:ln>
                      <a:noFill/>
                    </a:ln>
                  </pic:spPr>
                </pic:pic>
              </a:graphicData>
            </a:graphic>
          </wp:inline>
        </w:drawing>
      </w:r>
      <w:r w:rsidR="00666A15" w:rsidRPr="00666A15">
        <w:rPr>
          <w:rFonts w:ascii="Times New Roman" w:eastAsia="Times New Roman" w:hAnsi="Times New Roman" w:cs="Times New Roman"/>
          <w:b/>
          <w:bCs/>
          <w:i/>
          <w:iCs/>
          <w:sz w:val="20"/>
          <w:szCs w:val="20"/>
        </w:rPr>
        <w:t xml:space="preserve"> </w:t>
      </w:r>
    </w:p>
    <w:p w:rsidR="003D3912" w:rsidRDefault="00CA0DAB">
      <w:pPr>
        <w:spacing w:after="0"/>
        <w:jc w:val="center"/>
        <w:rPr>
          <w:rFonts w:ascii="Times New Roman" w:eastAsia="Times New Roman" w:hAnsi="Times New Roman" w:cs="Times New Roman"/>
        </w:rPr>
      </w:pPr>
      <w:r w:rsidRPr="00CA0DAB">
        <w:rPr>
          <w:rFonts w:ascii="Times New Roman" w:eastAsia="Times New Roman" w:hAnsi="Times New Roman" w:cs="Times New Roman"/>
        </w:rPr>
        <w:t xml:space="preserve"> </w:t>
      </w:r>
      <w:r w:rsidR="00446AF7" w:rsidRPr="00446AF7">
        <w:rPr>
          <w:rFonts w:ascii="Times New Roman" w:eastAsia="Times New Roman" w:hAnsi="Times New Roman" w:cs="Times New Roman"/>
        </w:rPr>
        <w:t xml:space="preserve"> </w:t>
      </w:r>
    </w:p>
    <w:p w:rsidR="003D3912" w:rsidRPr="00363523" w:rsidRDefault="003D3912">
      <w:pPr>
        <w:spacing w:after="0"/>
        <w:jc w:val="center"/>
        <w:rPr>
          <w:rFonts w:ascii="Times New Roman" w:eastAsia="Times New Roman" w:hAnsi="Times New Roman" w:cs="Times New Roman"/>
        </w:rPr>
      </w:pPr>
    </w:p>
    <w:p w:rsidR="003D3912" w:rsidRDefault="003D3912">
      <w:pPr>
        <w:spacing w:after="0"/>
        <w:jc w:val="center"/>
        <w:rPr>
          <w:rFonts w:ascii="Times New Roman" w:eastAsia="Times New Roman" w:hAnsi="Times New Roman" w:cs="Times New Roman"/>
        </w:rPr>
      </w:pPr>
    </w:p>
    <w:p w:rsidR="00285B3F" w:rsidRPr="0085415D" w:rsidRDefault="00233C6E" w:rsidP="0085415D">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56192" behindDoc="0" locked="0" layoutInCell="1" allowOverlap="1" wp14:anchorId="0CB36209" wp14:editId="58C4B129">
                <wp:simplePos x="0" y="0"/>
                <wp:positionH relativeFrom="column">
                  <wp:posOffset>5075</wp:posOffset>
                </wp:positionH>
                <wp:positionV relativeFrom="line">
                  <wp:posOffset>34924</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2AC1A5AA" id="officeArt object" o:spid="_x0000_s1026" style="position:absolute;z-index:251656192;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2bLS2dkAAAAEAQAADwAAAGRycy9kb3ducmV2&#10;LnhtbEyOQU/CQBSE7yb+h80z8UJkSw1EarfEqL15ETRcH91n29h9W7oLVH+9zxPcZjKTmS9fja5T&#10;RxpC69nAbJqAIq68bbk28LEp7x5AhYhssfNMBn4owKq4vsoxs/7E73Rcx1rJCIcMDTQx9pnWoWrI&#10;YZj6nliyLz84jGKHWtsBTzLuOp0myUI7bFkeGuzpuaHqe31wBkL5Sfvyd1JNku197Sndv7y9ojG3&#10;N+PTI6hIYzyX4R9f0KEQpp0/sA2qMyDc0cB8DkrCdLYUsRO/AF3k+hK++AMAAP//AwBQSwECLQAU&#10;AAYACAAAACEAtoM4kv4AAADhAQAAEwAAAAAAAAAAAAAAAAAAAAAAW0NvbnRlbnRfVHlwZXNdLnht&#10;bFBLAQItABQABgAIAAAAIQA4/SH/1gAAAJQBAAALAAAAAAAAAAAAAAAAAC8BAABfcmVscy8ucmVs&#10;c1BLAQItABQABgAIAAAAIQAWHZwxuAEAAFgDAAAOAAAAAAAAAAAAAAAAAC4CAABkcnMvZTJvRG9j&#10;LnhtbFBLAQItABQABgAIAAAAIQDZstLZ2QAAAAQBAAAPAAAAAAAAAAAAAAAAABIEAABkcnMvZG93&#10;bnJldi54bWxQSwUGAAAAAAQABADzAAAAGAUAAAAA&#10;">
                <w10:wrap anchory="line"/>
              </v:line>
            </w:pict>
          </mc:Fallback>
        </mc:AlternateContent>
      </w:r>
    </w:p>
    <w:p w:rsidR="003D3912" w:rsidRDefault="00CF4758" w:rsidP="00E0774B">
      <w:pPr>
        <w:pStyle w:val="a4"/>
        <w:keepNext/>
        <w:numPr>
          <w:ilvl w:val="0"/>
          <w:numId w:val="11"/>
        </w:numPr>
        <w:tabs>
          <w:tab w:val="clear" w:pos="540"/>
          <w:tab w:val="num" w:pos="709"/>
        </w:tabs>
        <w:spacing w:after="0"/>
        <w:ind w:left="709" w:hanging="709"/>
        <w:rPr>
          <w:sz w:val="16"/>
          <w:szCs w:val="16"/>
        </w:rPr>
      </w:pPr>
      <w:r>
        <w:rPr>
          <w:sz w:val="16"/>
          <w:szCs w:val="16"/>
        </w:rPr>
        <w:lastRenderedPageBreak/>
        <w:t xml:space="preserve">Calculated using a ruble to U.S. dollar exchange rate of </w:t>
      </w:r>
      <w:r w:rsidR="007E3AE6">
        <w:rPr>
          <w:sz w:val="16"/>
          <w:szCs w:val="16"/>
        </w:rPr>
        <w:t xml:space="preserve">RUB </w:t>
      </w:r>
      <w:r w:rsidR="00F0661B" w:rsidRPr="00F0661B">
        <w:rPr>
          <w:sz w:val="16"/>
          <w:szCs w:val="16"/>
        </w:rPr>
        <w:t>55</w:t>
      </w:r>
      <w:r w:rsidR="00624CE2" w:rsidRPr="00050C79">
        <w:rPr>
          <w:sz w:val="16"/>
          <w:szCs w:val="16"/>
        </w:rPr>
        <w:t>.</w:t>
      </w:r>
      <w:r w:rsidR="00F0661B" w:rsidRPr="00F0661B">
        <w:rPr>
          <w:sz w:val="16"/>
          <w:szCs w:val="16"/>
        </w:rPr>
        <w:t>524</w:t>
      </w:r>
      <w:r w:rsidR="00F0661B" w:rsidRPr="007E3AE6">
        <w:rPr>
          <w:sz w:val="16"/>
          <w:szCs w:val="16"/>
        </w:rPr>
        <w:t xml:space="preserve"> </w:t>
      </w:r>
      <w:r w:rsidR="00F0661B">
        <w:rPr>
          <w:sz w:val="16"/>
          <w:szCs w:val="16"/>
        </w:rPr>
        <w:t>to U.S. $1.00, which the official exchange rate was quoted by the Central Bank of the Russian Federation as of June 30, 2015</w:t>
      </w:r>
      <w:r w:rsidR="007E3AE6">
        <w:rPr>
          <w:sz w:val="16"/>
          <w:szCs w:val="16"/>
        </w:rPr>
        <w:t>.</w:t>
      </w:r>
    </w:p>
    <w:p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The Company does not record the compensation to employees and related taxes within cost of revenue separately for payment revenue and other revenue, therefore it has been allocated between payment revenue and other revenue in proportion to the relevant revenue amounts for the purposes of the reconciliation presented above.</w:t>
      </w:r>
    </w:p>
    <w:p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 xml:space="preserve">Other revenue </w:t>
      </w:r>
      <w:r w:rsidR="0064744A" w:rsidRPr="0064744A">
        <w:rPr>
          <w:sz w:val="16"/>
          <w:szCs w:val="16"/>
        </w:rPr>
        <w:t>is principally composed of revenue from inactivity fees, interest revenue and gain from currency swaps and overdrafts provided to agents, revenue from rent of space for kiosks and sale of kiosks, cash and settlement services and advertising</w:t>
      </w:r>
      <w:r>
        <w:rPr>
          <w:sz w:val="16"/>
          <w:szCs w:val="16"/>
        </w:rPr>
        <w:t>.</w:t>
      </w:r>
    </w:p>
    <w:p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rsidR="00EF4E77" w:rsidRPr="00050C79" w:rsidRDefault="00EF4E77" w:rsidP="00E0774B">
      <w:pPr>
        <w:pStyle w:val="a4"/>
        <w:keepNext/>
        <w:numPr>
          <w:ilvl w:val="0"/>
          <w:numId w:val="11"/>
        </w:numPr>
        <w:tabs>
          <w:tab w:val="clear" w:pos="540"/>
          <w:tab w:val="num" w:pos="709"/>
        </w:tabs>
        <w:spacing w:after="0"/>
        <w:ind w:left="709" w:hanging="709"/>
        <w:rPr>
          <w:sz w:val="16"/>
          <w:szCs w:val="16"/>
        </w:rPr>
      </w:pPr>
      <w:r>
        <w:rPr>
          <w:sz w:val="16"/>
          <w:szCs w:val="16"/>
        </w:rPr>
        <w:t>Income from depositary is presented in the separate line in reconciliation tables for convenience purposes, while it is included in other income in financial statements.</w:t>
      </w:r>
    </w:p>
    <w:p w:rsidR="003D3912" w:rsidRDefault="00BD6E04" w:rsidP="00E0774B">
      <w:pPr>
        <w:pStyle w:val="a4"/>
        <w:keepNext/>
        <w:numPr>
          <w:ilvl w:val="0"/>
          <w:numId w:val="11"/>
        </w:numPr>
        <w:tabs>
          <w:tab w:val="clear" w:pos="540"/>
          <w:tab w:val="num" w:pos="709"/>
        </w:tabs>
        <w:spacing w:after="0"/>
        <w:ind w:left="709" w:hanging="709"/>
        <w:rPr>
          <w:sz w:val="16"/>
          <w:szCs w:val="16"/>
        </w:rPr>
      </w:pPr>
      <w:r w:rsidRPr="00BD6E04">
        <w:rPr>
          <w:sz w:val="16"/>
          <w:szCs w:val="16"/>
        </w:rPr>
        <w:t>Net effect of foreign exchange gains and losses on June 2014 SPO funds</w:t>
      </w:r>
      <w:r w:rsidR="007044BD">
        <w:rPr>
          <w:sz w:val="16"/>
          <w:szCs w:val="16"/>
        </w:rPr>
        <w:t xml:space="preserve"> </w:t>
      </w:r>
      <w:r w:rsidR="00233C6E">
        <w:rPr>
          <w:sz w:val="16"/>
          <w:szCs w:val="16"/>
        </w:rPr>
        <w:t xml:space="preserve">as presented in the </w:t>
      </w:r>
      <w:r w:rsidR="00BF025D">
        <w:rPr>
          <w:sz w:val="16"/>
          <w:szCs w:val="16"/>
        </w:rPr>
        <w:t>reconciliation</w:t>
      </w:r>
      <w:r w:rsidR="00233C6E">
        <w:rPr>
          <w:sz w:val="16"/>
          <w:szCs w:val="16"/>
        </w:rPr>
        <w:t xml:space="preserve"> of Net Profit to Adjusted Net Profit differs from the Foreign exchange loss</w:t>
      </w:r>
      <w:proofErr w:type="gramStart"/>
      <w:r w:rsidR="00233C6E">
        <w:rPr>
          <w:sz w:val="16"/>
          <w:szCs w:val="16"/>
        </w:rPr>
        <w:t>/(</w:t>
      </w:r>
      <w:proofErr w:type="gramEnd"/>
      <w:r w:rsidR="00233C6E">
        <w:rPr>
          <w:sz w:val="16"/>
          <w:szCs w:val="16"/>
        </w:rPr>
        <w:t xml:space="preserve">gain), net in the </w:t>
      </w:r>
      <w:r w:rsidR="00BF025D">
        <w:rPr>
          <w:sz w:val="16"/>
          <w:szCs w:val="16"/>
        </w:rPr>
        <w:t>reconciliation</w:t>
      </w:r>
      <w:r w:rsidR="00233C6E">
        <w:rPr>
          <w:sz w:val="16"/>
          <w:szCs w:val="16"/>
        </w:rPr>
        <w:t xml:space="preserve"> of Net Profit to Adjusted EBITDA as the latter includes all the foreign </w:t>
      </w:r>
      <w:r w:rsidR="00BF025D">
        <w:rPr>
          <w:sz w:val="16"/>
          <w:szCs w:val="16"/>
        </w:rPr>
        <w:t>exchange</w:t>
      </w:r>
      <w:r w:rsidR="00233C6E">
        <w:rPr>
          <w:sz w:val="16"/>
          <w:szCs w:val="16"/>
        </w:rPr>
        <w:t xml:space="preserve"> losses/(gains) for the period, while the former only include the foreign exchange gain on </w:t>
      </w:r>
      <w:r w:rsidR="00504AE6" w:rsidRPr="00504AE6">
        <w:rPr>
          <w:sz w:val="16"/>
          <w:szCs w:val="16"/>
        </w:rPr>
        <w:t>the SPO US dollar denominated funds</w:t>
      </w:r>
      <w:r w:rsidR="00233C6E">
        <w:rPr>
          <w:sz w:val="16"/>
          <w:szCs w:val="16"/>
        </w:rPr>
        <w:t>.</w:t>
      </w:r>
    </w:p>
    <w:p w:rsidR="00D8370B" w:rsidRPr="00D8370B" w:rsidRDefault="00D8370B" w:rsidP="00CB178C">
      <w:pPr>
        <w:pStyle w:val="a4"/>
        <w:keepNext/>
        <w:numPr>
          <w:ilvl w:val="0"/>
          <w:numId w:val="29"/>
        </w:numPr>
        <w:spacing w:after="0"/>
        <w:rPr>
          <w:sz w:val="16"/>
          <w:szCs w:val="16"/>
        </w:rPr>
      </w:pPr>
      <w:r w:rsidRPr="00D8370B">
        <w:rPr>
          <w:sz w:val="16"/>
          <w:szCs w:val="16"/>
        </w:rPr>
        <w:t xml:space="preserve">The amounts shown here do not correspond to the financial statements for three and six months ended June 30, 2014 and included additional reconciling items to conform to current period presentation. </w:t>
      </w:r>
    </w:p>
    <w:p w:rsidR="00BC57E7"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br w:type="page"/>
      </w:r>
    </w:p>
    <w:p w:rsidR="00BC57E7" w:rsidRPr="004C2998" w:rsidRDefault="00BC57E7" w:rsidP="00BC57E7">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rsidR="00BC57E7" w:rsidRPr="004C2998" w:rsidRDefault="00BC57E7" w:rsidP="00BC57E7">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rsidR="00BC57E7" w:rsidRDefault="00BC57E7" w:rsidP="00BC57E7">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rsidR="00BC57E7" w:rsidRDefault="00B67F4A" w:rsidP="00BC57E7">
      <w:pPr>
        <w:spacing w:after="0"/>
        <w:jc w:val="center"/>
        <w:rPr>
          <w:rFonts w:ascii="Times New Roman" w:eastAsia="Times New Roman" w:hAnsi="Times New Roman" w:cs="Times New Roman"/>
          <w:b/>
          <w:bCs/>
          <w:i/>
          <w:iCs/>
          <w:sz w:val="20"/>
          <w:szCs w:val="20"/>
        </w:rPr>
      </w:pPr>
      <w:r w:rsidRPr="00B67F4A">
        <w:rPr>
          <w:rFonts w:ascii="Times New Roman" w:eastAsia="Times New Roman" w:hAnsi="Times New Roman" w:cs="Times New Roman"/>
          <w:b/>
          <w:bCs/>
          <w:i/>
          <w:iCs/>
          <w:sz w:val="20"/>
          <w:szCs w:val="20"/>
        </w:rPr>
        <w:t xml:space="preserve"> </w:t>
      </w:r>
      <w:r w:rsidR="00D8370B" w:rsidRPr="00D8370B">
        <w:rPr>
          <w:rFonts w:ascii="Times New Roman" w:eastAsia="Times New Roman" w:hAnsi="Times New Roman" w:cs="Times New Roman"/>
          <w:b/>
          <w:bCs/>
          <w:i/>
          <w:iCs/>
          <w:sz w:val="20"/>
          <w:szCs w:val="20"/>
        </w:rPr>
        <w:t xml:space="preserve"> </w:t>
      </w:r>
      <w:r w:rsidR="008C4C77" w:rsidRPr="008C4C77">
        <w:rPr>
          <w:rFonts w:ascii="Times New Roman" w:eastAsia="Times New Roman" w:hAnsi="Times New Roman" w:cs="Times New Roman"/>
          <w:b/>
          <w:bCs/>
          <w:i/>
          <w:iCs/>
          <w:sz w:val="20"/>
          <w:szCs w:val="20"/>
        </w:rPr>
        <w:t xml:space="preserve"> </w:t>
      </w:r>
      <w:r w:rsidR="008C4C77" w:rsidRPr="008C4C77">
        <w:rPr>
          <w:noProof/>
          <w:lang w:val="ru-RU" w:eastAsia="ru-RU"/>
        </w:rPr>
        <w:drawing>
          <wp:inline distT="0" distB="0" distL="0" distR="0" wp14:anchorId="1A36EBD4" wp14:editId="4801D671">
            <wp:extent cx="5943600" cy="7641771"/>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7641771"/>
                    </a:xfrm>
                    <a:prstGeom prst="rect">
                      <a:avLst/>
                    </a:prstGeom>
                    <a:noFill/>
                    <a:ln>
                      <a:noFill/>
                    </a:ln>
                  </pic:spPr>
                </pic:pic>
              </a:graphicData>
            </a:graphic>
          </wp:inline>
        </w:drawing>
      </w:r>
      <w:r w:rsidR="00BC57E7" w:rsidRPr="00666A15">
        <w:rPr>
          <w:rFonts w:ascii="Times New Roman" w:eastAsia="Times New Roman" w:hAnsi="Times New Roman" w:cs="Times New Roman"/>
          <w:b/>
          <w:bCs/>
          <w:i/>
          <w:iCs/>
          <w:sz w:val="20"/>
          <w:szCs w:val="20"/>
        </w:rPr>
        <w:t xml:space="preserve"> </w:t>
      </w:r>
    </w:p>
    <w:p w:rsidR="00BC57E7" w:rsidRDefault="00BC57E7" w:rsidP="00BC57E7">
      <w:pPr>
        <w:spacing w:after="0"/>
        <w:jc w:val="center"/>
        <w:rPr>
          <w:rFonts w:ascii="Times New Roman" w:eastAsia="Times New Roman" w:hAnsi="Times New Roman" w:cs="Times New Roman"/>
        </w:rPr>
      </w:pPr>
      <w:r w:rsidRPr="00CA0DAB">
        <w:rPr>
          <w:rFonts w:ascii="Times New Roman" w:eastAsia="Times New Roman" w:hAnsi="Times New Roman" w:cs="Times New Roman"/>
        </w:rPr>
        <w:t xml:space="preserve"> </w:t>
      </w:r>
      <w:r w:rsidRPr="00446AF7">
        <w:rPr>
          <w:rFonts w:ascii="Times New Roman" w:eastAsia="Times New Roman" w:hAnsi="Times New Roman" w:cs="Times New Roman"/>
        </w:rPr>
        <w:t xml:space="preserve"> </w:t>
      </w:r>
    </w:p>
    <w:p w:rsidR="00BC57E7" w:rsidRPr="00363523" w:rsidRDefault="00BC57E7" w:rsidP="00BC57E7">
      <w:pPr>
        <w:spacing w:after="0"/>
        <w:jc w:val="center"/>
        <w:rPr>
          <w:rFonts w:ascii="Times New Roman" w:eastAsia="Times New Roman" w:hAnsi="Times New Roman" w:cs="Times New Roman"/>
        </w:rPr>
      </w:pPr>
    </w:p>
    <w:p w:rsidR="00BC57E7" w:rsidRDefault="00BC57E7" w:rsidP="00BC57E7">
      <w:pPr>
        <w:spacing w:after="0"/>
        <w:jc w:val="center"/>
        <w:rPr>
          <w:rFonts w:ascii="Times New Roman" w:eastAsia="Times New Roman" w:hAnsi="Times New Roman" w:cs="Times New Roman"/>
        </w:rPr>
      </w:pPr>
    </w:p>
    <w:p w:rsidR="00BC57E7" w:rsidRDefault="00BC57E7" w:rsidP="00BC57E7">
      <w:pPr>
        <w:spacing w:after="0"/>
        <w:jc w:val="center"/>
        <w:rPr>
          <w:rFonts w:ascii="Times New Roman" w:eastAsia="Times New Roman" w:hAnsi="Times New Roman" w:cs="Times New Roman"/>
        </w:rPr>
      </w:pPr>
    </w:p>
    <w:p w:rsidR="00BC57E7" w:rsidRDefault="00BC57E7" w:rsidP="00BC57E7">
      <w:pPr>
        <w:spacing w:after="0"/>
        <w:jc w:val="center"/>
        <w:rPr>
          <w:rFonts w:ascii="Times New Roman" w:eastAsia="Times New Roman" w:hAnsi="Times New Roman" w:cs="Times New Roman"/>
        </w:rPr>
      </w:pPr>
    </w:p>
    <w:p w:rsidR="00BC57E7" w:rsidRDefault="00BC57E7" w:rsidP="00BC57E7">
      <w:pPr>
        <w:spacing w:after="0"/>
        <w:jc w:val="center"/>
        <w:rPr>
          <w:rFonts w:ascii="Times New Roman" w:eastAsia="Times New Roman" w:hAnsi="Times New Roman" w:cs="Times New Roman"/>
        </w:rPr>
      </w:pPr>
    </w:p>
    <w:p w:rsidR="00BC57E7" w:rsidRPr="0085415D" w:rsidRDefault="00BC57E7" w:rsidP="00BC57E7">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0288" behindDoc="0" locked="0" layoutInCell="1" allowOverlap="1" wp14:anchorId="73EB9B5A" wp14:editId="30B3C11C">
                <wp:simplePos x="0" y="0"/>
                <wp:positionH relativeFrom="column">
                  <wp:posOffset>5075</wp:posOffset>
                </wp:positionH>
                <wp:positionV relativeFrom="line">
                  <wp:posOffset>34924</wp:posOffset>
                </wp:positionV>
                <wp:extent cx="1388746" cy="634"/>
                <wp:effectExtent l="0" t="0" r="0" b="0"/>
                <wp:wrapNone/>
                <wp:docPr id="10"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4173A11C"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LPjsQEAAFADAAAOAAAAZHJzL2Uyb0RvYy54bWysU9uO0zAQfUfiHyy/07Td3dKNmq7QVssL&#10;gkrAB0x9aYx809jbtH/P2AllgbcVeXA8M8cnc44nm4ezs+ykMJngO76YzTlTXgRp/LHj3789vVtz&#10;ljJ4CTZ41fGLSvxh+/bNZoitWoY+WKmQEYlP7RA73ucc26ZJolcO0ixE5amoAzrIFOKxkQgDsTvb&#10;LOfzVTMElBGDUClRdjcW+bbya61E/qJ1UpnZjlNvua5Y10NZm+0G2iNC7I2Y2oBXdOHAeProlWoH&#10;Gdgzmn+onBEYUtB5JoJrgtZGqKqB1Czmf6n52kNUVQuZk+LVpvT/aMXn0x6ZkXR3ZI8HR3c0dvUB&#10;MwuHH+RgMWmIqSXso9/jFKW4x6L4rNGVN51i52rs5WqsOmcmKLm4Wa/f3644E1Rb3dwWxub30Ygp&#10;f1TBsbLpuDW+qIYWTp9SHqG/ICXtw5OxlvLQWs+Gjt/fLe+IG2h+tIVcz6ZgjSy4Akt4PDxaZCco&#10;Y1CfqYU/YOUjO0j9iKulAoMWw7OXYyPWl4SqozV1V7wZ3Si7Q5CXalJTIrq2KnUasTIXL2Pav/wR&#10;tj8BAAD//wMAUEsDBBQABgAIAAAAIQDZstLZ2QAAAAQBAAAPAAAAZHJzL2Rvd25yZXYueG1sTI5B&#10;T8JAFITvJv6HzTPxQmRLDURqt8SovXkRNFwf3Wfb2H1bugtUf73PE9xmMpOZL1+NrlNHGkLr2cBs&#10;moAirrxtuTbwsSnvHkCFiGyx80wGfijAqri+yjGz/sTvdFzHWskIhwwNNDH2mdahashhmPqeWLIv&#10;PziMYoda2wFPMu46nSbJQjtsWR4a7Om5oep7fXAGQvlJ+/J3Uk2S7X3tKd2/vL2iMbc349MjqEhj&#10;PJfhH1/QoRCmnT+wDaozINzRwHwOSsJ0thSxE78AXeT6Er74AwAA//8DAFBLAQItABQABgAIAAAA&#10;IQC2gziS/gAAAOEBAAATAAAAAAAAAAAAAAAAAAAAAABbQ29udGVudF9UeXBlc10ueG1sUEsBAi0A&#10;FAAGAAgAAAAhADj9If/WAAAAlAEAAAsAAAAAAAAAAAAAAAAALwEAAF9yZWxzLy5yZWxzUEsBAi0A&#10;FAAGAAgAAAAhADQ4s+OxAQAAUAMAAA4AAAAAAAAAAAAAAAAALgIAAGRycy9lMm9Eb2MueG1sUEsB&#10;Ai0AFAAGAAgAAAAhANmy0tnZAAAABAEAAA8AAAAAAAAAAAAAAAAACwQAAGRycy9kb3ducmV2Lnht&#10;bFBLBQYAAAAABAAEAPMAAAARBQAAAAA=&#10;">
                <w10:wrap anchory="line"/>
              </v:line>
            </w:pict>
          </mc:Fallback>
        </mc:AlternateContent>
      </w:r>
    </w:p>
    <w:p w:rsidR="00BC57E7" w:rsidRDefault="00BC57E7" w:rsidP="00E0774B">
      <w:pPr>
        <w:pStyle w:val="a4"/>
        <w:keepNext/>
        <w:numPr>
          <w:ilvl w:val="0"/>
          <w:numId w:val="17"/>
        </w:numPr>
        <w:spacing w:after="0"/>
        <w:rPr>
          <w:sz w:val="16"/>
          <w:szCs w:val="16"/>
        </w:rPr>
      </w:pPr>
      <w:r>
        <w:rPr>
          <w:sz w:val="16"/>
          <w:szCs w:val="16"/>
        </w:rPr>
        <w:t xml:space="preserve">Calculated using a ruble to U.S. dollar exchange rate of RUB </w:t>
      </w:r>
      <w:r w:rsidRPr="00F0661B">
        <w:rPr>
          <w:sz w:val="16"/>
          <w:szCs w:val="16"/>
        </w:rPr>
        <w:t>55</w:t>
      </w:r>
      <w:r w:rsidR="00624CE2">
        <w:rPr>
          <w:sz w:val="16"/>
          <w:szCs w:val="16"/>
        </w:rPr>
        <w:t>.</w:t>
      </w:r>
      <w:r w:rsidRPr="00F0661B">
        <w:rPr>
          <w:sz w:val="16"/>
          <w:szCs w:val="16"/>
        </w:rPr>
        <w:t>524</w:t>
      </w:r>
      <w:r w:rsidRPr="007E3AE6">
        <w:rPr>
          <w:sz w:val="16"/>
          <w:szCs w:val="16"/>
        </w:rPr>
        <w:t xml:space="preserve"> </w:t>
      </w:r>
      <w:r>
        <w:rPr>
          <w:sz w:val="16"/>
          <w:szCs w:val="16"/>
        </w:rPr>
        <w:t>to U.S. $1.00, which the official exchange rate was quoted by the Central Bank of the Russian Federation as of June 30, 2015.</w:t>
      </w:r>
    </w:p>
    <w:p w:rsidR="00BC57E7" w:rsidRDefault="00BC57E7" w:rsidP="00E0774B">
      <w:pPr>
        <w:pStyle w:val="a4"/>
        <w:keepNext/>
        <w:numPr>
          <w:ilvl w:val="0"/>
          <w:numId w:val="17"/>
        </w:numPr>
        <w:spacing w:after="0"/>
        <w:rPr>
          <w:sz w:val="16"/>
          <w:szCs w:val="16"/>
        </w:rPr>
      </w:pPr>
      <w:r>
        <w:rPr>
          <w:sz w:val="16"/>
          <w:szCs w:val="16"/>
        </w:rPr>
        <w:t>Payment revenue primarily consists of the merchant and consumer fees charged for the payment transactions.</w:t>
      </w:r>
    </w:p>
    <w:p w:rsidR="00BC57E7" w:rsidRDefault="00BC57E7" w:rsidP="00E0774B">
      <w:pPr>
        <w:pStyle w:val="a4"/>
        <w:keepNext/>
        <w:numPr>
          <w:ilvl w:val="0"/>
          <w:numId w:val="17"/>
        </w:numPr>
        <w:spacing w:after="0"/>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rsidR="00BC57E7" w:rsidRDefault="00BC57E7" w:rsidP="00E0774B">
      <w:pPr>
        <w:pStyle w:val="a4"/>
        <w:keepNext/>
        <w:numPr>
          <w:ilvl w:val="0"/>
          <w:numId w:val="17"/>
        </w:numPr>
        <w:spacing w:after="0"/>
        <w:rPr>
          <w:sz w:val="16"/>
          <w:szCs w:val="16"/>
        </w:rPr>
      </w:pPr>
      <w:r>
        <w:rPr>
          <w:sz w:val="16"/>
          <w:szCs w:val="16"/>
        </w:rPr>
        <w:t>The Company does not record the compensation to employees and related taxes within cost of revenue separately for payment revenue and other revenue, therefore it has been allocated between payment revenue and other revenue in proportion to the relevant revenue amounts for the purposes of the reconciliation presented above.</w:t>
      </w:r>
    </w:p>
    <w:p w:rsidR="00BC57E7" w:rsidRDefault="00BC57E7" w:rsidP="00E0774B">
      <w:pPr>
        <w:pStyle w:val="a4"/>
        <w:keepNext/>
        <w:numPr>
          <w:ilvl w:val="0"/>
          <w:numId w:val="17"/>
        </w:numPr>
        <w:spacing w:after="0"/>
        <w:rPr>
          <w:sz w:val="16"/>
          <w:szCs w:val="16"/>
        </w:rPr>
      </w:pPr>
      <w:r>
        <w:rPr>
          <w:sz w:val="16"/>
          <w:szCs w:val="16"/>
        </w:rPr>
        <w:t xml:space="preserve">Other revenue </w:t>
      </w:r>
      <w:r w:rsidRPr="0064744A">
        <w:rPr>
          <w:sz w:val="16"/>
          <w:szCs w:val="16"/>
        </w:rPr>
        <w:t>is principally composed of revenue from inactivity fees, interest revenue and gain from currency swaps and overdrafts provided to agents, revenue from rent of space for kiosks and sale of kiosks, cash and settlement services and advertising</w:t>
      </w:r>
      <w:r>
        <w:rPr>
          <w:sz w:val="16"/>
          <w:szCs w:val="16"/>
        </w:rPr>
        <w:t>.</w:t>
      </w:r>
    </w:p>
    <w:p w:rsidR="00BC57E7" w:rsidRDefault="00BC57E7" w:rsidP="00E0774B">
      <w:pPr>
        <w:pStyle w:val="a4"/>
        <w:keepNext/>
        <w:numPr>
          <w:ilvl w:val="0"/>
          <w:numId w:val="17"/>
        </w:numPr>
        <w:spacing w:after="0"/>
        <w:rPr>
          <w:sz w:val="16"/>
          <w:szCs w:val="16"/>
        </w:rPr>
      </w:pPr>
      <w:r>
        <w:rPr>
          <w:sz w:val="16"/>
          <w:szCs w:val="16"/>
        </w:rPr>
        <w:t>Cost of other revenue (exclusive of depreciation and amortization) primarily consists of direct costs associated with other revenue and other costs, including but not limited to: compensation to employees and related taxes allocated to other revenue, costs of call-centers and advertising commissions.</w:t>
      </w:r>
    </w:p>
    <w:p w:rsidR="00EF4E77" w:rsidRPr="00050C79" w:rsidRDefault="00EF4E77" w:rsidP="00E0774B">
      <w:pPr>
        <w:pStyle w:val="a4"/>
        <w:keepNext/>
        <w:numPr>
          <w:ilvl w:val="0"/>
          <w:numId w:val="17"/>
        </w:numPr>
        <w:spacing w:after="0"/>
        <w:rPr>
          <w:sz w:val="16"/>
          <w:szCs w:val="16"/>
        </w:rPr>
      </w:pPr>
      <w:r>
        <w:rPr>
          <w:sz w:val="16"/>
          <w:szCs w:val="16"/>
        </w:rPr>
        <w:t>Income from depositary is presented in the separate line in reconciliation tables for convenience purposes, while it is included in other income in financial statements.</w:t>
      </w:r>
    </w:p>
    <w:p w:rsidR="00BC57E7" w:rsidRDefault="00BC57E7" w:rsidP="00E0774B">
      <w:pPr>
        <w:pStyle w:val="a4"/>
        <w:keepNext/>
        <w:numPr>
          <w:ilvl w:val="0"/>
          <w:numId w:val="17"/>
        </w:numPr>
        <w:spacing w:after="0"/>
        <w:rPr>
          <w:sz w:val="16"/>
          <w:szCs w:val="16"/>
        </w:rPr>
      </w:pPr>
      <w:r w:rsidRPr="00BD6E04">
        <w:rPr>
          <w:sz w:val="16"/>
          <w:szCs w:val="16"/>
        </w:rPr>
        <w:t>Net effect of foreign exchange gains and losses on June 2014 SPO funds</w:t>
      </w:r>
      <w:r>
        <w:rPr>
          <w:sz w:val="16"/>
          <w:szCs w:val="16"/>
        </w:rPr>
        <w:t xml:space="preserve"> as presented in the reconciliation of Net Profit to Adjusted Net Profit differs from the Foreign exchange loss</w:t>
      </w:r>
      <w:proofErr w:type="gramStart"/>
      <w:r>
        <w:rPr>
          <w:sz w:val="16"/>
          <w:szCs w:val="16"/>
        </w:rPr>
        <w:t>/(</w:t>
      </w:r>
      <w:proofErr w:type="gramEnd"/>
      <w:r>
        <w:rPr>
          <w:sz w:val="16"/>
          <w:szCs w:val="16"/>
        </w:rPr>
        <w:t xml:space="preserve">gain), net in the reconciliation of Net Profit to Adjusted EBITDA as the latter includes all the foreign exchange losses/(gains) for the period, while the former only include the foreign exchange gain on </w:t>
      </w:r>
      <w:r w:rsidRPr="00504AE6">
        <w:rPr>
          <w:sz w:val="16"/>
          <w:szCs w:val="16"/>
        </w:rPr>
        <w:t>the SPO US dollar denominated funds</w:t>
      </w:r>
      <w:r>
        <w:rPr>
          <w:sz w:val="16"/>
          <w:szCs w:val="16"/>
        </w:rPr>
        <w:t>.</w:t>
      </w:r>
    </w:p>
    <w:p w:rsidR="00B67F4A" w:rsidRPr="00B67F4A" w:rsidRDefault="00D8370B" w:rsidP="00CB178C">
      <w:pPr>
        <w:pStyle w:val="a4"/>
        <w:keepNext/>
        <w:numPr>
          <w:ilvl w:val="0"/>
          <w:numId w:val="27"/>
        </w:numPr>
        <w:spacing w:after="0"/>
        <w:rPr>
          <w:sz w:val="16"/>
          <w:szCs w:val="16"/>
        </w:rPr>
      </w:pPr>
      <w:r w:rsidRPr="00D8370B">
        <w:rPr>
          <w:sz w:val="16"/>
          <w:szCs w:val="16"/>
        </w:rPr>
        <w:t xml:space="preserve">The amounts shown here do not correspond to the financial statements for three and </w:t>
      </w:r>
      <w:r>
        <w:rPr>
          <w:sz w:val="16"/>
          <w:szCs w:val="16"/>
        </w:rPr>
        <w:t xml:space="preserve">six months ended June 30, 2014 </w:t>
      </w:r>
      <w:r w:rsidRPr="00D8370B">
        <w:rPr>
          <w:sz w:val="16"/>
          <w:szCs w:val="16"/>
        </w:rPr>
        <w:t>and included additional reconciling items to conform to current period presentation.</w:t>
      </w:r>
      <w:r>
        <w:rPr>
          <w:sz w:val="16"/>
          <w:szCs w:val="16"/>
        </w:rPr>
        <w:t xml:space="preserve"> </w:t>
      </w:r>
    </w:p>
    <w:p w:rsidR="003D3912" w:rsidRPr="007E3AE6" w:rsidRDefault="00BC57E7" w:rsidP="00E0774B">
      <w:pPr>
        <w:pStyle w:val="a4"/>
        <w:keepNext/>
        <w:numPr>
          <w:ilvl w:val="0"/>
          <w:numId w:val="17"/>
        </w:numPr>
        <w:spacing w:after="0"/>
        <w:ind w:left="709" w:hanging="709"/>
      </w:pPr>
      <w:r>
        <w:rPr>
          <w:sz w:val="16"/>
          <w:szCs w:val="16"/>
        </w:rPr>
        <w:br w:type="page"/>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rsidR="003D3912" w:rsidRDefault="00233C6E">
      <w:pPr>
        <w:spacing w:after="0"/>
        <w:jc w:val="center"/>
        <w:rPr>
          <w:rFonts w:ascii="Times New Roman Bold"/>
          <w:b/>
        </w:rPr>
      </w:pPr>
      <w:r w:rsidRPr="004C2998">
        <w:rPr>
          <w:rFonts w:ascii="Times New Roman Bold"/>
          <w:b/>
        </w:rPr>
        <w:t>Other Operating Data</w:t>
      </w:r>
    </w:p>
    <w:p w:rsidR="00504AE6" w:rsidRPr="00190582" w:rsidRDefault="00504AE6">
      <w:pPr>
        <w:spacing w:after="0"/>
        <w:jc w:val="center"/>
        <w:rPr>
          <w:rFonts w:ascii="Times New Roman Bold" w:eastAsia="Times New Roman Bold" w:hAnsi="Times New Roman Bold" w:cs="Times New Roman Bold"/>
          <w:b/>
        </w:rPr>
      </w:pPr>
    </w:p>
    <w:p w:rsidR="003D3912" w:rsidRDefault="003C3CA4">
      <w:pPr>
        <w:spacing w:after="0"/>
        <w:jc w:val="center"/>
        <w:rPr>
          <w:rFonts w:ascii="Times New Roman Bold" w:eastAsia="Times New Roman Bold" w:hAnsi="Times New Roman Bold" w:cs="Times New Roman Bold"/>
        </w:rPr>
      </w:pPr>
      <w:r w:rsidRPr="003C3CA4">
        <w:rPr>
          <w:rFonts w:ascii="Times New Roman Bold" w:eastAsia="Times New Roman Bold" w:hAnsi="Times New Roman Bold" w:cs="Times New Roman Bold"/>
        </w:rPr>
        <w:t xml:space="preserve"> </w:t>
      </w:r>
      <w:r w:rsidR="00B67F4A" w:rsidRPr="00B67F4A">
        <w:rPr>
          <w:rFonts w:ascii="Times New Roman Bold" w:eastAsia="Times New Roman Bold" w:hAnsi="Times New Roman Bold" w:cs="Times New Roman Bold"/>
        </w:rPr>
        <w:t xml:space="preserve"> </w:t>
      </w:r>
      <w:r w:rsidR="00751267" w:rsidRPr="00751267">
        <w:rPr>
          <w:rFonts w:ascii="Times New Roman Bold" w:eastAsia="Times New Roman Bold" w:hAnsi="Times New Roman Bold" w:cs="Times New Roman Bold"/>
        </w:rPr>
        <w:t xml:space="preserve"> </w:t>
      </w:r>
      <w:r w:rsidR="00310ED0" w:rsidRPr="00310ED0">
        <w:rPr>
          <w:rFonts w:ascii="Times New Roman Bold" w:eastAsia="Times New Roman Bold" w:hAnsi="Times New Roman Bold" w:cs="Times New Roman Bold"/>
        </w:rPr>
        <w:t xml:space="preserve"> </w:t>
      </w:r>
      <w:r w:rsidR="00310ED0" w:rsidRPr="00310ED0">
        <w:rPr>
          <w:noProof/>
          <w:lang w:val="ru-RU" w:eastAsia="ru-RU"/>
        </w:rPr>
        <w:drawing>
          <wp:inline distT="0" distB="0" distL="0" distR="0">
            <wp:extent cx="5943600" cy="4552545"/>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552545"/>
                    </a:xfrm>
                    <a:prstGeom prst="rect">
                      <a:avLst/>
                    </a:prstGeom>
                    <a:noFill/>
                    <a:ln>
                      <a:noFill/>
                    </a:ln>
                  </pic:spPr>
                </pic:pic>
              </a:graphicData>
            </a:graphic>
          </wp:inline>
        </w:drawing>
      </w:r>
    </w:p>
    <w:p w:rsidR="00BC57E7" w:rsidRDefault="00BC57E7">
      <w:pPr>
        <w:spacing w:after="0"/>
        <w:jc w:val="center"/>
        <w:rPr>
          <w:rFonts w:ascii="Times New Roman Bold" w:eastAsia="Times New Roman Bold" w:hAnsi="Times New Roman Bold" w:cs="Times New Roman Bold"/>
        </w:rPr>
      </w:pPr>
    </w:p>
    <w:p w:rsidR="00BC57E7" w:rsidRPr="00190582" w:rsidRDefault="00BC57E7">
      <w:pPr>
        <w:spacing w:after="0"/>
        <w:jc w:val="center"/>
        <w:rPr>
          <w:rFonts w:ascii="Times New Roman Bold" w:eastAsia="Times New Roman Bold" w:hAnsi="Times New Roman Bold" w:cs="Times New Roman Bold"/>
        </w:rPr>
      </w:pPr>
    </w:p>
    <w:p w:rsidR="003D3912" w:rsidRPr="00190582" w:rsidRDefault="00233C6E">
      <w:pPr>
        <w:spacing w:after="0"/>
        <w:jc w:val="center"/>
      </w:pPr>
      <w:r>
        <w:rPr>
          <w:noProof/>
          <w:lang w:val="ru-RU" w:eastAsia="ru-RU"/>
        </w:rPr>
        <mc:AlternateContent>
          <mc:Choice Requires="wps">
            <w:drawing>
              <wp:anchor distT="0" distB="0" distL="0" distR="0" simplePos="0" relativeHeight="251659264" behindDoc="0" locked="0" layoutInCell="1" allowOverlap="1" wp14:anchorId="20EBE581" wp14:editId="14D04063">
                <wp:simplePos x="0" y="0"/>
                <wp:positionH relativeFrom="column">
                  <wp:posOffset>50795</wp:posOffset>
                </wp:positionH>
                <wp:positionV relativeFrom="line">
                  <wp:posOffset>150494</wp:posOffset>
                </wp:positionV>
                <wp:extent cx="1388746" cy="634"/>
                <wp:effectExtent l="0" t="0" r="0" b="0"/>
                <wp:wrapNone/>
                <wp:docPr id="1073741841"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144F5FC5"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B+uAEAAFgDAAAOAAAAZHJzL2Uyb0RvYy54bWysU9uO0zAQfUfiHyy/0yRtty1R0xXaanlB&#10;UAn4gKnjNEa+aext2r9n7GTLwr6tyIPjuR2fOR5v7y9Gs7PEoJxteDUrOZNWuFbZU8N//nj8sOEs&#10;RLAtaGdlw68y8Pvd+3fbwddy7nqnW4mMQGyoB9/wPkZfF0UQvTQQZs5LS8HOoYFIJp6KFmEgdKOL&#10;eVmuisFh69EJGQJ592OQ7zJ+10kRv3VdkJHphhO3mFfM6zGtxW4L9QnB90pMNOANLAwoS4feoPYQ&#10;gT2hegVllEAXXBdnwpnCdZ0SMvdA3VTlP91878HL3AuJE/xNpvD/YMXX8wGZaunuyvVivaw2y4oz&#10;C4buamT3CSNzx1+kZBJr8KGmmgd7wMkK/oCp80uHJv2pil2ywNebwPISmSBntdhs1ssVZ4Jiq8Uy&#10;IRZ/Sj2G+Fk6w9Km4VrZ1D3UcP4S4pj6nJLc1j0qrckPtbZsaPjHu/kdYQPNUach5trgtGpTXkoL&#10;eDo+aGRnSOOQv4nCX2npkD2EfszLoZQGNbon245EtE0OmUdsYpe0GdVIu6Nrr1mkIll0fbnVadTS&#10;fLy0af/yQex+AwAA//8DAFBLAwQUAAYACAAAACEAl/1rntwAAAAHAQAADwAAAGRycy9kb3ducmV2&#10;LnhtbEyPQU/DMAyF70j8h8hIXKYtJZNG1TWdENAbFzYQV681bUXjdE22FX493glufn7We5/zzeR6&#10;daIxdJ4t3C0SUMSVrztuLLztynkKKkTkGnvPZOGbAmyK66scs9qf+ZVO29goCeGQoYU2xiHTOlQt&#10;OQwLPxCL9+lHh1Hk2Oh6xLOEu16bJFlphx1LQ4sDPbZUfW2PzkIo3+lQ/syqWfKxbDyZw9PLM1p7&#10;ezM9rEFFmuLfMVzwBR0KYdr7I9dB9RZS+SRaMMt7UGIbs5Jhf1mkoItc/+cvfgEAAP//AwBQSwEC&#10;LQAUAAYACAAAACEAtoM4kv4AAADhAQAAEwAAAAAAAAAAAAAAAAAAAAAAW0NvbnRlbnRfVHlwZXNd&#10;LnhtbFBLAQItABQABgAIAAAAIQA4/SH/1gAAAJQBAAALAAAAAAAAAAAAAAAAAC8BAABfcmVscy8u&#10;cmVsc1BLAQItABQABgAIAAAAIQCKN5B+uAEAAFgDAAAOAAAAAAAAAAAAAAAAAC4CAABkcnMvZTJv&#10;RG9jLnhtbFBLAQItABQABgAIAAAAIQCX/Wue3AAAAAcBAAAPAAAAAAAAAAAAAAAAABIEAABkcnMv&#10;ZG93bnJldi54bWxQSwUGAAAAAAQABADzAAAAGwUAAAAA&#10;">
                <w10:wrap anchory="line"/>
              </v:line>
            </w:pict>
          </mc:Fallback>
        </mc:AlternateContent>
      </w:r>
    </w:p>
    <w:p w:rsidR="003D3912" w:rsidRDefault="00CF4758" w:rsidP="00E0774B">
      <w:pPr>
        <w:pStyle w:val="a4"/>
        <w:keepNext/>
        <w:numPr>
          <w:ilvl w:val="0"/>
          <w:numId w:val="13"/>
        </w:numPr>
        <w:tabs>
          <w:tab w:val="clear" w:pos="540"/>
          <w:tab w:val="num" w:pos="810"/>
        </w:tabs>
        <w:spacing w:after="0"/>
        <w:ind w:left="810" w:hanging="810"/>
        <w:rPr>
          <w:sz w:val="16"/>
          <w:szCs w:val="16"/>
        </w:rPr>
      </w:pPr>
      <w:r>
        <w:rPr>
          <w:sz w:val="16"/>
          <w:szCs w:val="16"/>
        </w:rPr>
        <w:t xml:space="preserve">Calculated using a ruble to U.S. dollar exchange rate of </w:t>
      </w:r>
      <w:r w:rsidR="007E3AE6">
        <w:rPr>
          <w:sz w:val="16"/>
          <w:szCs w:val="16"/>
        </w:rPr>
        <w:t xml:space="preserve">RUB </w:t>
      </w:r>
      <w:r w:rsidR="00F0661B" w:rsidRPr="00F0661B">
        <w:rPr>
          <w:sz w:val="16"/>
          <w:szCs w:val="16"/>
        </w:rPr>
        <w:t>55</w:t>
      </w:r>
      <w:r w:rsidR="00EF4E77">
        <w:rPr>
          <w:sz w:val="16"/>
          <w:szCs w:val="16"/>
        </w:rPr>
        <w:t>.</w:t>
      </w:r>
      <w:r w:rsidR="00F0661B" w:rsidRPr="00F0661B">
        <w:rPr>
          <w:sz w:val="16"/>
          <w:szCs w:val="16"/>
        </w:rPr>
        <w:t>524</w:t>
      </w:r>
      <w:r w:rsidR="00F0661B" w:rsidRPr="007E3AE6">
        <w:rPr>
          <w:sz w:val="16"/>
          <w:szCs w:val="16"/>
        </w:rPr>
        <w:t xml:space="preserve"> </w:t>
      </w:r>
      <w:r w:rsidR="00F0661B">
        <w:rPr>
          <w:sz w:val="16"/>
          <w:szCs w:val="16"/>
        </w:rPr>
        <w:t>to U.S. $1.00, which the official exchange rate was quoted by the Central Bank of the Russian Federation as of June 30, 2015</w:t>
      </w:r>
      <w:r w:rsidR="007E3AE6">
        <w:rPr>
          <w:sz w:val="16"/>
          <w:szCs w:val="16"/>
        </w:rPr>
        <w:t>.</w:t>
      </w:r>
    </w:p>
    <w:p w:rsidR="003D3912" w:rsidRDefault="00233C6E" w:rsidP="00E0774B">
      <w:pPr>
        <w:pStyle w:val="a4"/>
        <w:keepNext/>
        <w:numPr>
          <w:ilvl w:val="0"/>
          <w:numId w:val="13"/>
        </w:numPr>
        <w:tabs>
          <w:tab w:val="clear" w:pos="540"/>
          <w:tab w:val="num" w:pos="810"/>
        </w:tabs>
        <w:spacing w:after="0"/>
        <w:ind w:left="810" w:hanging="810"/>
        <w:rPr>
          <w:sz w:val="16"/>
          <w:szCs w:val="16"/>
        </w:rPr>
      </w:pPr>
      <w:r>
        <w:rPr>
          <w:sz w:val="16"/>
          <w:szCs w:val="16"/>
        </w:rPr>
        <w:t xml:space="preserve">Payment volume by market </w:t>
      </w:r>
      <w:r w:rsidR="00C3360B">
        <w:rPr>
          <w:sz w:val="16"/>
          <w:szCs w:val="16"/>
        </w:rPr>
        <w:t>verticals</w:t>
      </w:r>
      <w:r>
        <w:rPr>
          <w:sz w:val="16"/>
          <w:szCs w:val="16"/>
        </w:rPr>
        <w:t xml:space="preserve"> and consolidated payment volume consist of the amounts paid by our customers to merchants included in each of those market </w:t>
      </w:r>
      <w:r w:rsidR="00C3360B">
        <w:rPr>
          <w:sz w:val="16"/>
          <w:szCs w:val="16"/>
        </w:rPr>
        <w:t>verticals</w:t>
      </w:r>
      <w:r>
        <w:rPr>
          <w:sz w:val="16"/>
          <w:szCs w:val="16"/>
        </w:rPr>
        <w:t xml:space="preserve"> less intra-group eliminations. The methodology of payment volumes allocation between different market </w:t>
      </w:r>
      <w:r w:rsidR="00C3360B">
        <w:rPr>
          <w:sz w:val="16"/>
          <w:szCs w:val="16"/>
        </w:rPr>
        <w:t>verticals</w:t>
      </w:r>
      <w:r>
        <w:rPr>
          <w:sz w:val="16"/>
          <w:szCs w:val="16"/>
        </w:rPr>
        <w:t xml:space="preserve"> in QIWI</w:t>
      </w:r>
      <w:r>
        <w:rPr>
          <w:rFonts w:hAnsi="Times New Roman"/>
          <w:sz w:val="16"/>
          <w:szCs w:val="16"/>
        </w:rPr>
        <w:t>’</w:t>
      </w:r>
      <w:r>
        <w:rPr>
          <w:sz w:val="16"/>
          <w:szCs w:val="16"/>
        </w:rPr>
        <w:t>s international operations (including Kaza</w:t>
      </w:r>
      <w:r w:rsidR="00C3360B">
        <w:rPr>
          <w:sz w:val="16"/>
          <w:szCs w:val="16"/>
        </w:rPr>
        <w:t>k</w:t>
      </w:r>
      <w:r>
        <w:rPr>
          <w:sz w:val="16"/>
          <w:szCs w:val="16"/>
        </w:rPr>
        <w:t>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s international operations will be brought in conformity with the methodology of QIWI</w:t>
      </w:r>
      <w:r>
        <w:rPr>
          <w:rFonts w:hAnsi="Times New Roman"/>
          <w:sz w:val="16"/>
          <w:szCs w:val="16"/>
        </w:rPr>
        <w:t>’</w:t>
      </w:r>
      <w:r>
        <w:rPr>
          <w:sz w:val="16"/>
          <w:szCs w:val="16"/>
        </w:rPr>
        <w:t>s Russian operations.</w:t>
      </w:r>
      <w:r w:rsidR="007E28C0">
        <w:rPr>
          <w:sz w:val="16"/>
          <w:szCs w:val="16"/>
        </w:rPr>
        <w:t xml:space="preserve"> </w:t>
      </w:r>
    </w:p>
    <w:p w:rsidR="00F0173C" w:rsidRPr="00F0173C" w:rsidRDefault="00F0173C" w:rsidP="00F0173C">
      <w:pPr>
        <w:pStyle w:val="a4"/>
        <w:keepNext/>
        <w:numPr>
          <w:ilvl w:val="0"/>
          <w:numId w:val="13"/>
        </w:numPr>
        <w:tabs>
          <w:tab w:val="clear" w:pos="540"/>
          <w:tab w:val="num" w:pos="810"/>
        </w:tabs>
        <w:spacing w:after="0"/>
        <w:ind w:left="810" w:hanging="81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will be brought in conformity with the methodology used by QIWI. </w:t>
      </w:r>
    </w:p>
    <w:p w:rsidR="003D3912" w:rsidRDefault="00233C6E" w:rsidP="00E0774B">
      <w:pPr>
        <w:pStyle w:val="a4"/>
        <w:keepNext/>
        <w:numPr>
          <w:ilvl w:val="0"/>
          <w:numId w:val="13"/>
        </w:numPr>
        <w:tabs>
          <w:tab w:val="clear" w:pos="540"/>
          <w:tab w:val="num" w:pos="810"/>
        </w:tabs>
        <w:spacing w:after="0"/>
        <w:ind w:left="810" w:hanging="810"/>
        <w:rPr>
          <w:sz w:val="16"/>
          <w:szCs w:val="16"/>
        </w:rPr>
      </w:pPr>
      <w:r>
        <w:rPr>
          <w:sz w:val="16"/>
          <w:szCs w:val="16"/>
        </w:rPr>
        <w:t>Payment Adjusted Net Revenue is calculated as the difference between Payment Gross Revenue and Payment Costs. Payment Gross Revenue primarily consists of merchant and consumer fees. Payment Costs primarily consist of commission to agents.</w:t>
      </w:r>
    </w:p>
    <w:p w:rsidR="00F80F5D" w:rsidRDefault="00F80F5D" w:rsidP="00E0774B">
      <w:pPr>
        <w:pStyle w:val="a4"/>
        <w:keepNext/>
        <w:numPr>
          <w:ilvl w:val="0"/>
          <w:numId w:val="13"/>
        </w:numPr>
        <w:tabs>
          <w:tab w:val="clear" w:pos="540"/>
          <w:tab w:val="num" w:pos="810"/>
        </w:tabs>
        <w:spacing w:after="0"/>
        <w:ind w:left="810" w:hanging="810"/>
        <w:rPr>
          <w:sz w:val="16"/>
          <w:szCs w:val="16"/>
        </w:rPr>
      </w:pPr>
      <w:r w:rsidRPr="00F80F5D">
        <w:rPr>
          <w:sz w:val="16"/>
          <w:szCs w:val="16"/>
        </w:rPr>
        <w:t>We measure the numbers of our kiosks and terminals on a daily basis, with only those kiosks and terminals being taken into calculation through which at least one payment has been processed during the day, which we refer to as active kiosks and terminals. The period end numbers of our kiosks and terminals are calculated as an average of the amount of active kiosks and terminals for the last 30 days of the respective reporting period.</w:t>
      </w:r>
    </w:p>
    <w:p w:rsidR="003D3912" w:rsidRDefault="00233C6E" w:rsidP="00E0774B">
      <w:pPr>
        <w:pStyle w:val="a4"/>
        <w:keepNext/>
        <w:numPr>
          <w:ilvl w:val="0"/>
          <w:numId w:val="13"/>
        </w:numPr>
        <w:tabs>
          <w:tab w:val="clear" w:pos="540"/>
          <w:tab w:val="num" w:pos="810"/>
        </w:tabs>
        <w:spacing w:after="0"/>
        <w:ind w:left="810" w:hanging="810"/>
        <w:rPr>
          <w:sz w:val="16"/>
          <w:szCs w:val="16"/>
        </w:rPr>
      </w:pPr>
      <w:r>
        <w:rPr>
          <w:sz w:val="16"/>
          <w:szCs w:val="16"/>
        </w:rPr>
        <w:t>Active V</w:t>
      </w:r>
      <w:r w:rsidR="000531F0">
        <w:rPr>
          <w:sz w:val="16"/>
          <w:szCs w:val="16"/>
        </w:rPr>
        <w:t>isa</w:t>
      </w:r>
      <w:r>
        <w:rPr>
          <w:sz w:val="16"/>
          <w:szCs w:val="16"/>
        </w:rPr>
        <w:t xml:space="preserve">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rsidR="007E28C0" w:rsidRPr="00E0774B" w:rsidRDefault="007E28C0" w:rsidP="00CB178C">
      <w:pPr>
        <w:pStyle w:val="a4"/>
        <w:keepNext/>
        <w:spacing w:after="0"/>
        <w:ind w:left="810"/>
        <w:rPr>
          <w:sz w:val="16"/>
          <w:szCs w:val="16"/>
          <w:highlight w:val="yellow"/>
        </w:rPr>
      </w:pPr>
    </w:p>
    <w:p w:rsidR="00BC57E7" w:rsidRDefault="00BC57E7">
      <w:pPr>
        <w:spacing w:after="0" w:line="240" w:lineRule="auto"/>
        <w:rPr>
          <w:rFonts w:ascii="Times New Roman" w:eastAsia="Arial Unicode MS" w:hAnsi="Arial Unicode MS" w:cs="Arial Unicode MS"/>
          <w:sz w:val="24"/>
          <w:szCs w:val="24"/>
          <w:lang w:eastAsia="ru-RU"/>
        </w:rPr>
      </w:pPr>
      <w:r>
        <w:br w:type="page"/>
      </w:r>
    </w:p>
    <w:p w:rsidR="00BC57E7" w:rsidRPr="004C2998" w:rsidRDefault="00BC57E7" w:rsidP="00BC57E7">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rsidR="00BC57E7" w:rsidRDefault="00BC57E7" w:rsidP="00BC57E7">
      <w:pPr>
        <w:spacing w:after="0"/>
        <w:jc w:val="center"/>
        <w:rPr>
          <w:rFonts w:ascii="Times New Roman Bold"/>
          <w:b/>
        </w:rPr>
      </w:pPr>
      <w:r w:rsidRPr="004C2998">
        <w:rPr>
          <w:rFonts w:ascii="Times New Roman Bold"/>
          <w:b/>
        </w:rPr>
        <w:t>Other Operating Data</w:t>
      </w:r>
    </w:p>
    <w:p w:rsidR="00BC57E7" w:rsidRPr="00190582" w:rsidRDefault="00BC57E7" w:rsidP="00BC57E7">
      <w:pPr>
        <w:spacing w:after="0"/>
        <w:jc w:val="center"/>
        <w:rPr>
          <w:rFonts w:ascii="Times New Roman Bold" w:eastAsia="Times New Roman Bold" w:hAnsi="Times New Roman Bold" w:cs="Times New Roman Bold"/>
          <w:b/>
        </w:rPr>
      </w:pPr>
    </w:p>
    <w:p w:rsidR="00BC57E7" w:rsidRDefault="003C3CA4" w:rsidP="00BC57E7">
      <w:pPr>
        <w:spacing w:after="0"/>
        <w:jc w:val="center"/>
        <w:rPr>
          <w:rFonts w:ascii="Times New Roman Bold" w:eastAsia="Times New Roman Bold" w:hAnsi="Times New Roman Bold" w:cs="Times New Roman Bold"/>
        </w:rPr>
      </w:pPr>
      <w:r w:rsidRPr="003C3CA4">
        <w:rPr>
          <w:rFonts w:ascii="Times New Roman Bold" w:eastAsia="Times New Roman Bold" w:hAnsi="Times New Roman Bold" w:cs="Times New Roman Bold"/>
        </w:rPr>
        <w:t xml:space="preserve"> </w:t>
      </w:r>
      <w:r w:rsidR="00751267" w:rsidRPr="00751267">
        <w:rPr>
          <w:rFonts w:ascii="Times New Roman Bold" w:eastAsia="Times New Roman Bold" w:hAnsi="Times New Roman Bold" w:cs="Times New Roman Bold"/>
        </w:rPr>
        <w:t xml:space="preserve"> </w:t>
      </w:r>
      <w:r w:rsidR="007E7080" w:rsidRPr="007E7080">
        <w:rPr>
          <w:noProof/>
          <w:lang w:val="ru-RU" w:eastAsia="ru-RU"/>
        </w:rPr>
        <w:drawing>
          <wp:inline distT="0" distB="0" distL="0" distR="0" wp14:anchorId="52D43469" wp14:editId="31EB7FD4">
            <wp:extent cx="5943600" cy="4646883"/>
            <wp:effectExtent l="0" t="0" r="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4646883"/>
                    </a:xfrm>
                    <a:prstGeom prst="rect">
                      <a:avLst/>
                    </a:prstGeom>
                    <a:noFill/>
                    <a:ln>
                      <a:noFill/>
                    </a:ln>
                  </pic:spPr>
                </pic:pic>
              </a:graphicData>
            </a:graphic>
          </wp:inline>
        </w:drawing>
      </w:r>
    </w:p>
    <w:p w:rsidR="00BC57E7" w:rsidRDefault="00BC57E7" w:rsidP="00BC57E7">
      <w:pPr>
        <w:spacing w:after="0"/>
        <w:jc w:val="center"/>
        <w:rPr>
          <w:rFonts w:ascii="Times New Roman Bold" w:eastAsia="Times New Roman Bold" w:hAnsi="Times New Roman Bold" w:cs="Times New Roman Bold"/>
        </w:rPr>
      </w:pPr>
    </w:p>
    <w:p w:rsidR="00BC57E7" w:rsidRPr="00190582" w:rsidRDefault="00BC57E7" w:rsidP="00BC57E7">
      <w:pPr>
        <w:spacing w:after="0"/>
        <w:jc w:val="center"/>
        <w:rPr>
          <w:rFonts w:ascii="Times New Roman Bold" w:eastAsia="Times New Roman Bold" w:hAnsi="Times New Roman Bold" w:cs="Times New Roman Bold"/>
        </w:rPr>
      </w:pPr>
    </w:p>
    <w:p w:rsidR="00BC57E7" w:rsidRPr="00190582" w:rsidRDefault="00BC57E7" w:rsidP="00BC57E7">
      <w:pPr>
        <w:spacing w:after="0"/>
        <w:jc w:val="center"/>
      </w:pPr>
      <w:r>
        <w:rPr>
          <w:noProof/>
          <w:lang w:val="ru-RU" w:eastAsia="ru-RU"/>
        </w:rPr>
        <mc:AlternateContent>
          <mc:Choice Requires="wps">
            <w:drawing>
              <wp:anchor distT="0" distB="0" distL="0" distR="0" simplePos="0" relativeHeight="251661312" behindDoc="0" locked="0" layoutInCell="1" allowOverlap="1" wp14:anchorId="51B57C63" wp14:editId="3A71C133">
                <wp:simplePos x="0" y="0"/>
                <wp:positionH relativeFrom="column">
                  <wp:posOffset>50795</wp:posOffset>
                </wp:positionH>
                <wp:positionV relativeFrom="line">
                  <wp:posOffset>150494</wp:posOffset>
                </wp:positionV>
                <wp:extent cx="1388746" cy="634"/>
                <wp:effectExtent l="0" t="0" r="0" b="0"/>
                <wp:wrapNone/>
                <wp:docPr id="1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04F83F01" id="officeArt object" o:spid="_x0000_s1026" style="position:absolute;z-index:251661312;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Z/3sAEAAFADAAAOAAAAZHJzL2Uyb0RvYy54bWysU9uO0zAQfUfiHyy/0/SyW0rUdIW2Wl4Q&#10;VAI+YOpLY+Sbxt6m/XvGTigLvCHy4Hhmjk/mHE+2Dxdn2VlhMsF3fDGbc6a8CNL4U8e/fX16s+Es&#10;ZfASbPCq41eV+MPu9avtEFu1DH2wUiEjEp/aIXa8zzm2TZNErxykWYjKU1EHdJApxFMjEQZid7ZZ&#10;zufrZggoIwahUqLsfizyXeXXWon8WeukMrMdp95yXbGux7I2uy20J4TYGzG1Af/QhQPj6aM3qj1k&#10;YM9o/qJyRmBIQeeZCK4JWhuhqgZSs5j/oeZLD1FVLWROijeb0v+jFZ/OB2RG0t2tOPPg6I7Grt5j&#10;ZuH4nRwsJg0xtYR99AecohQPWBRfNLryplPsUo293oxVl8wEJRerzebt3ZozQbX16q4wNr+ORkz5&#10;gwqOlU3HrfFFNbRw/pjyCP0JKWkfnoy1lIfWejZ0/N398p64geZHW8j1bArWyIIrsISn46NFdoYy&#10;BvWZWvgNVj6yh9SPuFoqMGgxPHs5NmJ9Sag6WlN3xZvRjbI7BnmtJjUlomurUqcRK3PxMqb9yx9h&#10;9wMAAP//AwBQSwMEFAAGAAgAAAAhAJf9a57cAAAABwEAAA8AAABkcnMvZG93bnJldi54bWxMj0FP&#10;wzAMhe9I/IfISFymLSWTRtU1nRDQGxc2EFevNW1F43RNthV+Pd4Jbn5+1nuf883kenWiMXSeLdwt&#10;ElDEla87biy87cp5CipE5Bp7z2ThmwJsiuurHLPan/mVTtvYKAnhkKGFNsYh0zpULTkMCz8Qi/fp&#10;R4dR5NjoesSzhLtemyRZaYcdS0OLAz22VH1tj85CKN/pUP7MqlnysWw8mcPTyzNae3szPaxBRZri&#10;3zFc8AUdCmHa+yPXQfUWUvkkWjDLe1BiG7OSYX9ZpKCLXP/nL34BAAD//wMAUEsBAi0AFAAGAAgA&#10;AAAhALaDOJL+AAAA4QEAABMAAAAAAAAAAAAAAAAAAAAAAFtDb250ZW50X1R5cGVzXS54bWxQSwEC&#10;LQAUAAYACAAAACEAOP0h/9YAAACUAQAACwAAAAAAAAAAAAAAAAAvAQAAX3JlbHMvLnJlbHNQSwEC&#10;LQAUAAYACAAAACEApE2f97ABAABQAwAADgAAAAAAAAAAAAAAAAAuAgAAZHJzL2Uyb0RvYy54bWxQ&#10;SwECLQAUAAYACAAAACEAl/1rntwAAAAHAQAADwAAAAAAAAAAAAAAAAAKBAAAZHJzL2Rvd25yZXYu&#10;eG1sUEsFBgAAAAAEAAQA8wAAABMFAAAAAA==&#10;">
                <w10:wrap anchory="line"/>
              </v:line>
            </w:pict>
          </mc:Fallback>
        </mc:AlternateContent>
      </w:r>
    </w:p>
    <w:p w:rsidR="00BC57E7" w:rsidRDefault="00BC57E7" w:rsidP="00E0774B">
      <w:pPr>
        <w:pStyle w:val="a4"/>
        <w:keepNext/>
        <w:numPr>
          <w:ilvl w:val="0"/>
          <w:numId w:val="18"/>
        </w:numPr>
        <w:spacing w:after="0"/>
        <w:rPr>
          <w:sz w:val="16"/>
          <w:szCs w:val="16"/>
        </w:rPr>
      </w:pPr>
      <w:r>
        <w:rPr>
          <w:sz w:val="16"/>
          <w:szCs w:val="16"/>
        </w:rPr>
        <w:t xml:space="preserve">Calculated using a ruble to U.S. dollar exchange rate of RUB </w:t>
      </w:r>
      <w:r w:rsidRPr="00F0661B">
        <w:rPr>
          <w:sz w:val="16"/>
          <w:szCs w:val="16"/>
        </w:rPr>
        <w:t>55</w:t>
      </w:r>
      <w:r w:rsidR="00EF4E77">
        <w:rPr>
          <w:sz w:val="16"/>
          <w:szCs w:val="16"/>
        </w:rPr>
        <w:t>.</w:t>
      </w:r>
      <w:r w:rsidRPr="00F0661B">
        <w:rPr>
          <w:sz w:val="16"/>
          <w:szCs w:val="16"/>
        </w:rPr>
        <w:t>524</w:t>
      </w:r>
      <w:r w:rsidRPr="007E3AE6">
        <w:rPr>
          <w:sz w:val="16"/>
          <w:szCs w:val="16"/>
        </w:rPr>
        <w:t xml:space="preserve"> </w:t>
      </w:r>
      <w:r>
        <w:rPr>
          <w:sz w:val="16"/>
          <w:szCs w:val="16"/>
        </w:rPr>
        <w:t>to U.S. $1.00, which the official exchange rate was quoted by the Central Bank of the Russian Federation as of June 30, 2015.</w:t>
      </w:r>
    </w:p>
    <w:p w:rsidR="00BC57E7" w:rsidRDefault="00BC57E7" w:rsidP="00E0774B">
      <w:pPr>
        <w:pStyle w:val="a4"/>
        <w:keepNext/>
        <w:numPr>
          <w:ilvl w:val="0"/>
          <w:numId w:val="18"/>
        </w:numPr>
        <w:spacing w:after="0"/>
        <w:rPr>
          <w:sz w:val="16"/>
          <w:szCs w:val="16"/>
        </w:rPr>
      </w:pPr>
      <w:r>
        <w:rPr>
          <w:sz w:val="16"/>
          <w:szCs w:val="16"/>
        </w:rPr>
        <w:t>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QIWI</w:t>
      </w:r>
      <w:r>
        <w:rPr>
          <w:rFonts w:hAnsi="Times New Roman"/>
          <w:sz w:val="16"/>
          <w:szCs w:val="16"/>
        </w:rPr>
        <w:t>’</w:t>
      </w:r>
      <w:r>
        <w:rPr>
          <w:sz w:val="16"/>
          <w:szCs w:val="16"/>
        </w:rPr>
        <w:t>s international operations (including Kazakhstan)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s international operations will be brought in conformity with the methodology of QIWI</w:t>
      </w:r>
      <w:r>
        <w:rPr>
          <w:rFonts w:hAnsi="Times New Roman"/>
          <w:sz w:val="16"/>
          <w:szCs w:val="16"/>
        </w:rPr>
        <w:t>’</w:t>
      </w:r>
      <w:r>
        <w:rPr>
          <w:sz w:val="16"/>
          <w:szCs w:val="16"/>
        </w:rPr>
        <w:t>s Russian operations.</w:t>
      </w:r>
    </w:p>
    <w:p w:rsidR="00D8370B" w:rsidRPr="00D8370B" w:rsidRDefault="00D8370B" w:rsidP="00D8370B">
      <w:pPr>
        <w:pStyle w:val="a4"/>
        <w:keepNext/>
        <w:numPr>
          <w:ilvl w:val="0"/>
          <w:numId w:val="18"/>
        </w:numPr>
        <w:spacing w:after="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will be brought in conformity with the methodology used by QIWI. </w:t>
      </w:r>
    </w:p>
    <w:p w:rsidR="00BC57E7" w:rsidRDefault="00BC57E7" w:rsidP="00E0774B">
      <w:pPr>
        <w:pStyle w:val="a4"/>
        <w:keepNext/>
        <w:numPr>
          <w:ilvl w:val="0"/>
          <w:numId w:val="18"/>
        </w:numPr>
        <w:spacing w:after="0"/>
        <w:rPr>
          <w:sz w:val="16"/>
          <w:szCs w:val="16"/>
        </w:rPr>
      </w:pPr>
      <w:r>
        <w:rPr>
          <w:sz w:val="16"/>
          <w:szCs w:val="16"/>
        </w:rPr>
        <w:t>Payment Adjusted Net Revenue is calculated as the difference between Payment Gross Revenue and Payment Costs. Payment Gross Revenue primarily consists of merchant and consumer fees. Payment Costs primarily consist of commission to agents.</w:t>
      </w:r>
    </w:p>
    <w:p w:rsidR="00BC57E7" w:rsidRDefault="00BC57E7" w:rsidP="00E0774B">
      <w:pPr>
        <w:pStyle w:val="a4"/>
        <w:keepNext/>
        <w:numPr>
          <w:ilvl w:val="0"/>
          <w:numId w:val="18"/>
        </w:numPr>
        <w:spacing w:after="0"/>
        <w:rPr>
          <w:sz w:val="16"/>
          <w:szCs w:val="16"/>
        </w:rPr>
      </w:pPr>
      <w:r w:rsidRPr="00F80F5D">
        <w:rPr>
          <w:sz w:val="16"/>
          <w:szCs w:val="16"/>
        </w:rPr>
        <w:t>We measure the numbers of our kiosks and terminals on a daily basis, with only those kiosks and terminals being taken into calculation through which at least one payment has been processed during the day, which we refer to as active kiosks and terminals. The period end numbers of our kiosks and terminals are calculated as an average of the amount of active kiosks and terminals for the last 30 days of the respective reporting period.</w:t>
      </w:r>
    </w:p>
    <w:p w:rsidR="00BC57E7" w:rsidRDefault="00BC57E7" w:rsidP="00E0774B">
      <w:pPr>
        <w:pStyle w:val="a4"/>
        <w:keepNext/>
        <w:numPr>
          <w:ilvl w:val="0"/>
          <w:numId w:val="18"/>
        </w:numPr>
        <w:spacing w:after="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rsidR="003D3912" w:rsidRPr="007E3AE6" w:rsidRDefault="003D3912" w:rsidP="007E3AE6">
      <w:pPr>
        <w:pStyle w:val="a4"/>
        <w:keepNext/>
        <w:spacing w:after="0"/>
      </w:pPr>
    </w:p>
    <w:sectPr w:rsidR="003D3912" w:rsidRPr="007E3AE6">
      <w:pgSz w:w="12240" w:h="15840"/>
      <w:pgMar w:top="576" w:right="1440" w:bottom="806" w:left="1440" w:header="720" w:footer="27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4B45" w:rsidRDefault="00634B45">
      <w:pPr>
        <w:spacing w:after="0" w:line="240" w:lineRule="auto"/>
      </w:pPr>
      <w:r>
        <w:separator/>
      </w:r>
    </w:p>
  </w:endnote>
  <w:endnote w:type="continuationSeparator" w:id="0">
    <w:p w:rsidR="00634B45" w:rsidRDefault="00634B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Lucida Grande">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 New Roman Bold">
    <w:altName w:val="Times New Roman"/>
    <w:charset w:val="00"/>
    <w:family w:val="auto"/>
    <w:pitch w:val="variable"/>
    <w:sig w:usb0="00000000" w:usb1="C0007841" w:usb2="00000009" w:usb3="00000000" w:csb0="000001FF" w:csb1="00000000"/>
  </w:font>
  <w:font w:name="Trebuchet MS">
    <w:altName w:val="Trebuchet MS"/>
    <w:panose1 w:val="020B0603020202020204"/>
    <w:charset w:val="CC"/>
    <w:family w:val="swiss"/>
    <w:pitch w:val="variable"/>
    <w:sig w:usb0="00000287" w:usb1="00000003"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4B45" w:rsidRDefault="00634B45">
      <w:pPr>
        <w:spacing w:after="0" w:line="240" w:lineRule="auto"/>
      </w:pPr>
      <w:r>
        <w:separator/>
      </w:r>
    </w:p>
  </w:footnote>
  <w:footnote w:type="continuationSeparator" w:id="0">
    <w:p w:rsidR="00634B45" w:rsidRDefault="00634B45">
      <w:pPr>
        <w:spacing w:after="0" w:line="240" w:lineRule="auto"/>
      </w:pPr>
      <w:r>
        <w:continuationSeparator/>
      </w:r>
    </w:p>
  </w:footnote>
  <w:footnote w:id="1">
    <w:p w:rsidR="004235DB" w:rsidRPr="00CF24B5" w:rsidRDefault="004235DB">
      <w:pPr>
        <w:pStyle w:val="ad"/>
        <w:rPr>
          <w:rFonts w:ascii="Times New Roman" w:hAnsi="Times New Roman" w:cs="Times New Roman"/>
        </w:rPr>
      </w:pPr>
      <w:r w:rsidRPr="00CF24B5">
        <w:rPr>
          <w:rStyle w:val="af"/>
          <w:rFonts w:ascii="Times New Roman" w:hAnsi="Times New Roman" w:cs="Times New Roman"/>
        </w:rPr>
        <w:footnoteRef/>
      </w:r>
      <w:r w:rsidRPr="00CF24B5">
        <w:rPr>
          <w:rFonts w:ascii="Times New Roman" w:hAnsi="Times New Roman" w:cs="Times New Roman"/>
        </w:rPr>
        <w:t xml:space="preserve"> Guidance is provided in Russian rubles</w:t>
      </w:r>
      <w:r w:rsidR="00CC0ACE">
        <w:rPr>
          <w:rFonts w:ascii="Times New Roman" w:hAnsi="Times New Roman" w:cs="Times New Roman"/>
        </w:rPr>
        <w:t xml:space="preserve"> and includes </w:t>
      </w:r>
      <w:r w:rsidR="00B55DCE">
        <w:rPr>
          <w:rFonts w:ascii="Times New Roman" w:hAnsi="Times New Roman" w:cs="Times New Roman"/>
        </w:rPr>
        <w:t xml:space="preserve">consolidated financial result of </w:t>
      </w:r>
      <w:r w:rsidR="00F12A3B">
        <w:rPr>
          <w:rFonts w:ascii="Times New Roman" w:hAnsi="Times New Roman" w:cs="Times New Roman"/>
        </w:rPr>
        <w:t xml:space="preserve">Contact and </w:t>
      </w:r>
      <w:proofErr w:type="spellStart"/>
      <w:r w:rsidR="00F12A3B">
        <w:rPr>
          <w:rFonts w:ascii="Times New Roman" w:hAnsi="Times New Roman" w:cs="Times New Roman"/>
        </w:rPr>
        <w:t>Rapida</w:t>
      </w:r>
      <w:proofErr w:type="spellEnd"/>
      <w:r w:rsidR="00F12A3B">
        <w:rPr>
          <w:rFonts w:ascii="Times New Roman" w:hAnsi="Times New Roman" w:cs="Times New Roman"/>
        </w:rPr>
        <w:t xml:space="preserve"> </w:t>
      </w:r>
      <w:r w:rsidR="00B55DCE">
        <w:rPr>
          <w:rFonts w:ascii="Times New Roman" w:hAnsi="Times New Roman" w:cs="Times New Roman"/>
        </w:rPr>
        <w:t xml:space="preserve">since June </w:t>
      </w:r>
      <w:r w:rsidR="00F12A3B">
        <w:rPr>
          <w:rFonts w:ascii="Times New Roman" w:hAnsi="Times New Roman" w:cs="Times New Roman"/>
        </w:rPr>
        <w:t>1</w:t>
      </w:r>
      <w:r w:rsidR="00F12A3B" w:rsidRPr="00365F12">
        <w:rPr>
          <w:rFonts w:ascii="Times New Roman" w:hAnsi="Times New Roman" w:cs="Times New Roman"/>
          <w:vertAlign w:val="superscript"/>
        </w:rPr>
        <w:t>st</w:t>
      </w:r>
      <w:r w:rsidR="00F12A3B">
        <w:rPr>
          <w:rFonts w:ascii="Times New Roman" w:hAnsi="Times New Roman" w:cs="Times New Roman"/>
        </w:rPr>
        <w:t xml:space="preserve">, </w:t>
      </w:r>
      <w:r w:rsidR="00B55DCE">
        <w:rPr>
          <w:rFonts w:ascii="Times New Roman" w:hAnsi="Times New Roman" w:cs="Times New Roman"/>
        </w:rPr>
        <w:t>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85A6E"/>
    <w:multiLevelType w:val="multilevel"/>
    <w:tmpl w:val="BD389D0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 w15:restartNumberingAfterBreak="0">
    <w:nsid w:val="06F50718"/>
    <w:multiLevelType w:val="multilevel"/>
    <w:tmpl w:val="B5DADA1A"/>
    <w:styleLink w:val="List14"/>
    <w:lvl w:ilvl="0">
      <w:start w:val="4"/>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 w15:restartNumberingAfterBreak="0">
    <w:nsid w:val="1BB054A2"/>
    <w:multiLevelType w:val="hybridMultilevel"/>
    <w:tmpl w:val="C09CB368"/>
    <w:lvl w:ilvl="0" w:tplc="A6E66F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1C23F1F"/>
    <w:multiLevelType w:val="multilevel"/>
    <w:tmpl w:val="86805416"/>
    <w:styleLink w:val="4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 w15:restartNumberingAfterBreak="0">
    <w:nsid w:val="247565D3"/>
    <w:multiLevelType w:val="multilevel"/>
    <w:tmpl w:val="1CC2B542"/>
    <w:styleLink w:val="List9"/>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5" w15:restartNumberingAfterBreak="0">
    <w:nsid w:val="3AD24BC9"/>
    <w:multiLevelType w:val="multilevel"/>
    <w:tmpl w:val="6AEEB12C"/>
    <w:lvl w:ilvl="0">
      <w:start w:val="1"/>
      <w:numFmt w:val="bullet"/>
      <w:lvlText w:val=""/>
      <w:lvlJc w:val="left"/>
      <w:pPr>
        <w:tabs>
          <w:tab w:val="num" w:pos="540"/>
        </w:tabs>
        <w:ind w:left="540" w:hanging="540"/>
      </w:pPr>
      <w:rPr>
        <w:rFonts w:ascii="Symbol" w:hAnsi="Symbol" w:hint="default"/>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6" w15:restartNumberingAfterBreak="0">
    <w:nsid w:val="3D246139"/>
    <w:multiLevelType w:val="multilevel"/>
    <w:tmpl w:val="061805D4"/>
    <w:styleLink w:val="2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7" w15:restartNumberingAfterBreak="0">
    <w:nsid w:val="3FC242BD"/>
    <w:multiLevelType w:val="multilevel"/>
    <w:tmpl w:val="0CA2EF5A"/>
    <w:lvl w:ilvl="0">
      <w:start w:val="1"/>
      <w:numFmt w:val="bullet"/>
      <w:lvlText w:val=""/>
      <w:lvlJc w:val="left"/>
      <w:pPr>
        <w:tabs>
          <w:tab w:val="num" w:pos="540"/>
        </w:tabs>
        <w:ind w:left="540" w:hanging="540"/>
      </w:pPr>
      <w:rPr>
        <w:rFonts w:ascii="Symbol" w:hAnsi="Symbol" w:hint="default"/>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8" w15:restartNumberingAfterBreak="0">
    <w:nsid w:val="416F0E12"/>
    <w:multiLevelType w:val="multilevel"/>
    <w:tmpl w:val="14DEFB98"/>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 w15:restartNumberingAfterBreak="0">
    <w:nsid w:val="48C45CA7"/>
    <w:multiLevelType w:val="hybridMultilevel"/>
    <w:tmpl w:val="ED1CD44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9D46C8"/>
    <w:multiLevelType w:val="multilevel"/>
    <w:tmpl w:val="36B2DA90"/>
    <w:styleLink w:val="List11"/>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1" w15:restartNumberingAfterBreak="0">
    <w:nsid w:val="52FF3B0A"/>
    <w:multiLevelType w:val="multilevel"/>
    <w:tmpl w:val="4F1439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56734CF9"/>
    <w:multiLevelType w:val="multilevel"/>
    <w:tmpl w:val="721C0DF4"/>
    <w:styleLink w:val="List8"/>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13" w15:restartNumberingAfterBreak="0">
    <w:nsid w:val="57E77589"/>
    <w:multiLevelType w:val="multilevel"/>
    <w:tmpl w:val="C5DC18D6"/>
    <w:lvl w:ilvl="0">
      <w:start w:val="1"/>
      <w:numFmt w:val="bullet"/>
      <w:lvlText w:val=""/>
      <w:lvlJc w:val="left"/>
      <w:pPr>
        <w:tabs>
          <w:tab w:val="num" w:pos="540"/>
        </w:tabs>
        <w:ind w:left="540" w:hanging="540"/>
      </w:pPr>
      <w:rPr>
        <w:rFonts w:ascii="Symbol" w:hAnsi="Symbol" w:hint="default"/>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4" w15:restartNumberingAfterBreak="0">
    <w:nsid w:val="5AB801C7"/>
    <w:multiLevelType w:val="multilevel"/>
    <w:tmpl w:val="BD389D04"/>
    <w:styleLink w:val="List10"/>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5" w15:restartNumberingAfterBreak="0">
    <w:nsid w:val="5BED659E"/>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6" w15:restartNumberingAfterBreak="0">
    <w:nsid w:val="5D420884"/>
    <w:multiLevelType w:val="multilevel"/>
    <w:tmpl w:val="AAF6438A"/>
    <w:styleLink w:val="List7"/>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7" w15:restartNumberingAfterBreak="0">
    <w:nsid w:val="5EEC3C7E"/>
    <w:multiLevelType w:val="multilevel"/>
    <w:tmpl w:val="E772A8B2"/>
    <w:styleLink w:val="List6"/>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8" w15:restartNumberingAfterBreak="0">
    <w:nsid w:val="72383144"/>
    <w:multiLevelType w:val="multilevel"/>
    <w:tmpl w:val="823A9122"/>
    <w:styleLink w:val="List13"/>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9" w15:restartNumberingAfterBreak="0">
    <w:nsid w:val="72EA3A03"/>
    <w:multiLevelType w:val="multilevel"/>
    <w:tmpl w:val="91806F96"/>
    <w:styleLink w:val="List1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0" w15:restartNumberingAfterBreak="0">
    <w:nsid w:val="73B66EF6"/>
    <w:multiLevelType w:val="multilevel"/>
    <w:tmpl w:val="309651CA"/>
    <w:styleLink w:val="List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1" w15:restartNumberingAfterBreak="0">
    <w:nsid w:val="795179E8"/>
    <w:multiLevelType w:val="multilevel"/>
    <w:tmpl w:val="22C42C60"/>
    <w:styleLink w:val="5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2" w15:restartNumberingAfterBreak="0">
    <w:nsid w:val="7B9E2A6C"/>
    <w:multiLevelType w:val="multilevel"/>
    <w:tmpl w:val="368AB618"/>
    <w:styleLink w:val="3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num w:numId="1">
    <w:abstractNumId w:val="8"/>
  </w:num>
  <w:num w:numId="2">
    <w:abstractNumId w:val="20"/>
  </w:num>
  <w:num w:numId="3">
    <w:abstractNumId w:val="6"/>
  </w:num>
  <w:num w:numId="4">
    <w:abstractNumId w:val="22"/>
  </w:num>
  <w:num w:numId="5">
    <w:abstractNumId w:val="3"/>
  </w:num>
  <w:num w:numId="6">
    <w:abstractNumId w:val="21"/>
  </w:num>
  <w:num w:numId="7">
    <w:abstractNumId w:val="17"/>
  </w:num>
  <w:num w:numId="8">
    <w:abstractNumId w:val="16"/>
  </w:num>
  <w:num w:numId="9">
    <w:abstractNumId w:val="12"/>
  </w:num>
  <w:num w:numId="10">
    <w:abstractNumId w:val="4"/>
  </w:num>
  <w:num w:numId="11">
    <w:abstractNumId w:val="14"/>
  </w:num>
  <w:num w:numId="12">
    <w:abstractNumId w:val="10"/>
  </w:num>
  <w:num w:numId="13">
    <w:abstractNumId w:val="19"/>
  </w:num>
  <w:num w:numId="14">
    <w:abstractNumId w:val="18"/>
  </w:num>
  <w:num w:numId="15">
    <w:abstractNumId w:val="1"/>
  </w:num>
  <w:num w:numId="16">
    <w:abstractNumId w:val="2"/>
  </w:num>
  <w:num w:numId="17">
    <w:abstractNumId w:val="0"/>
  </w:num>
  <w:num w:numId="18">
    <w:abstractNumId w:val="15"/>
  </w:num>
  <w:num w:numId="19">
    <w:abstractNumId w:val="11"/>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7"/>
  </w:num>
  <w:num w:numId="29">
    <w:abstractNumId w:val="13"/>
  </w:num>
  <w:num w:numId="30">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912"/>
    <w:rsid w:val="000117CF"/>
    <w:rsid w:val="000229BB"/>
    <w:rsid w:val="000359AC"/>
    <w:rsid w:val="00037864"/>
    <w:rsid w:val="00050C79"/>
    <w:rsid w:val="000531F0"/>
    <w:rsid w:val="00053C7D"/>
    <w:rsid w:val="00063698"/>
    <w:rsid w:val="000A797E"/>
    <w:rsid w:val="000C180C"/>
    <w:rsid w:val="000C4990"/>
    <w:rsid w:val="000D16DB"/>
    <w:rsid w:val="000D4A72"/>
    <w:rsid w:val="000E18D7"/>
    <w:rsid w:val="000E3A5F"/>
    <w:rsid w:val="000E76C6"/>
    <w:rsid w:val="001216CA"/>
    <w:rsid w:val="0013027F"/>
    <w:rsid w:val="00141B4E"/>
    <w:rsid w:val="00144805"/>
    <w:rsid w:val="001674BA"/>
    <w:rsid w:val="00177313"/>
    <w:rsid w:val="00190582"/>
    <w:rsid w:val="00191816"/>
    <w:rsid w:val="001A4D60"/>
    <w:rsid w:val="001A72AF"/>
    <w:rsid w:val="001B4550"/>
    <w:rsid w:val="001D39ED"/>
    <w:rsid w:val="001D6800"/>
    <w:rsid w:val="001E53FE"/>
    <w:rsid w:val="001F7A82"/>
    <w:rsid w:val="0021609E"/>
    <w:rsid w:val="002265E3"/>
    <w:rsid w:val="002308F1"/>
    <w:rsid w:val="00233C6E"/>
    <w:rsid w:val="00240EDF"/>
    <w:rsid w:val="00241B71"/>
    <w:rsid w:val="0024238D"/>
    <w:rsid w:val="002478DF"/>
    <w:rsid w:val="00257E83"/>
    <w:rsid w:val="002612F8"/>
    <w:rsid w:val="002859EE"/>
    <w:rsid w:val="00285B3F"/>
    <w:rsid w:val="00286836"/>
    <w:rsid w:val="00290540"/>
    <w:rsid w:val="002905D4"/>
    <w:rsid w:val="002C4138"/>
    <w:rsid w:val="0030499A"/>
    <w:rsid w:val="00310ED0"/>
    <w:rsid w:val="003158DA"/>
    <w:rsid w:val="0032089D"/>
    <w:rsid w:val="003215DD"/>
    <w:rsid w:val="00334687"/>
    <w:rsid w:val="00336F2D"/>
    <w:rsid w:val="003566D8"/>
    <w:rsid w:val="00356A42"/>
    <w:rsid w:val="0035745D"/>
    <w:rsid w:val="00363523"/>
    <w:rsid w:val="00365F12"/>
    <w:rsid w:val="00371B2A"/>
    <w:rsid w:val="00377771"/>
    <w:rsid w:val="00377885"/>
    <w:rsid w:val="00380826"/>
    <w:rsid w:val="00392B6E"/>
    <w:rsid w:val="003C3CA4"/>
    <w:rsid w:val="003C6C94"/>
    <w:rsid w:val="003D1C85"/>
    <w:rsid w:val="003D37C0"/>
    <w:rsid w:val="003D3912"/>
    <w:rsid w:val="003D7326"/>
    <w:rsid w:val="003E7567"/>
    <w:rsid w:val="003E7F65"/>
    <w:rsid w:val="003F774B"/>
    <w:rsid w:val="004021B3"/>
    <w:rsid w:val="0041259A"/>
    <w:rsid w:val="0041330E"/>
    <w:rsid w:val="00413EA7"/>
    <w:rsid w:val="004235DB"/>
    <w:rsid w:val="004345A9"/>
    <w:rsid w:val="00434A9E"/>
    <w:rsid w:val="00446AF7"/>
    <w:rsid w:val="00450B58"/>
    <w:rsid w:val="00465FB6"/>
    <w:rsid w:val="00466C89"/>
    <w:rsid w:val="004732C2"/>
    <w:rsid w:val="00474582"/>
    <w:rsid w:val="00485092"/>
    <w:rsid w:val="004A3821"/>
    <w:rsid w:val="004A3DE2"/>
    <w:rsid w:val="004B3CF9"/>
    <w:rsid w:val="004B6F75"/>
    <w:rsid w:val="004C2998"/>
    <w:rsid w:val="004C532E"/>
    <w:rsid w:val="004C6989"/>
    <w:rsid w:val="004D5146"/>
    <w:rsid w:val="004E2D18"/>
    <w:rsid w:val="004F396A"/>
    <w:rsid w:val="004F5422"/>
    <w:rsid w:val="005045FD"/>
    <w:rsid w:val="00504AE6"/>
    <w:rsid w:val="00526788"/>
    <w:rsid w:val="00546044"/>
    <w:rsid w:val="00553588"/>
    <w:rsid w:val="005546AC"/>
    <w:rsid w:val="005607F9"/>
    <w:rsid w:val="00571BFD"/>
    <w:rsid w:val="0058593A"/>
    <w:rsid w:val="00592F2A"/>
    <w:rsid w:val="005A0927"/>
    <w:rsid w:val="005B1020"/>
    <w:rsid w:val="005B58B2"/>
    <w:rsid w:val="005C6BBA"/>
    <w:rsid w:val="005D406E"/>
    <w:rsid w:val="005D4820"/>
    <w:rsid w:val="0060179A"/>
    <w:rsid w:val="00624CE2"/>
    <w:rsid w:val="00630461"/>
    <w:rsid w:val="00633CBB"/>
    <w:rsid w:val="00634B45"/>
    <w:rsid w:val="006466EE"/>
    <w:rsid w:val="0064744A"/>
    <w:rsid w:val="00666A15"/>
    <w:rsid w:val="00670358"/>
    <w:rsid w:val="0067127E"/>
    <w:rsid w:val="00675668"/>
    <w:rsid w:val="00683D26"/>
    <w:rsid w:val="0069767E"/>
    <w:rsid w:val="006A3775"/>
    <w:rsid w:val="006A5A78"/>
    <w:rsid w:val="006A60C3"/>
    <w:rsid w:val="006B101D"/>
    <w:rsid w:val="006C1B41"/>
    <w:rsid w:val="006D0F79"/>
    <w:rsid w:val="006D58DD"/>
    <w:rsid w:val="006E2FBA"/>
    <w:rsid w:val="006F6780"/>
    <w:rsid w:val="007002E7"/>
    <w:rsid w:val="007016E6"/>
    <w:rsid w:val="007044BD"/>
    <w:rsid w:val="00712282"/>
    <w:rsid w:val="007129FB"/>
    <w:rsid w:val="00727165"/>
    <w:rsid w:val="00742F9B"/>
    <w:rsid w:val="00750104"/>
    <w:rsid w:val="00751267"/>
    <w:rsid w:val="00752CFD"/>
    <w:rsid w:val="00752D06"/>
    <w:rsid w:val="00753EA6"/>
    <w:rsid w:val="00764043"/>
    <w:rsid w:val="007744E9"/>
    <w:rsid w:val="00780964"/>
    <w:rsid w:val="00792645"/>
    <w:rsid w:val="007928B3"/>
    <w:rsid w:val="007A2727"/>
    <w:rsid w:val="007C45F3"/>
    <w:rsid w:val="007D0D80"/>
    <w:rsid w:val="007E28C0"/>
    <w:rsid w:val="007E3AE6"/>
    <w:rsid w:val="007E7080"/>
    <w:rsid w:val="00830A5A"/>
    <w:rsid w:val="00850935"/>
    <w:rsid w:val="008513D2"/>
    <w:rsid w:val="0085415D"/>
    <w:rsid w:val="00855F08"/>
    <w:rsid w:val="00856B1A"/>
    <w:rsid w:val="00857A70"/>
    <w:rsid w:val="008854B5"/>
    <w:rsid w:val="008A7EF4"/>
    <w:rsid w:val="008B2B08"/>
    <w:rsid w:val="008B3185"/>
    <w:rsid w:val="008C10E1"/>
    <w:rsid w:val="008C2903"/>
    <w:rsid w:val="008C4C77"/>
    <w:rsid w:val="008E60BA"/>
    <w:rsid w:val="008F1D4E"/>
    <w:rsid w:val="008F5369"/>
    <w:rsid w:val="008F70A4"/>
    <w:rsid w:val="00900A99"/>
    <w:rsid w:val="00917F03"/>
    <w:rsid w:val="00931539"/>
    <w:rsid w:val="00934FBE"/>
    <w:rsid w:val="009431CD"/>
    <w:rsid w:val="00977306"/>
    <w:rsid w:val="009871A3"/>
    <w:rsid w:val="009A036D"/>
    <w:rsid w:val="009A1A89"/>
    <w:rsid w:val="009A3600"/>
    <w:rsid w:val="009A423E"/>
    <w:rsid w:val="009A6A08"/>
    <w:rsid w:val="009D525A"/>
    <w:rsid w:val="009E0949"/>
    <w:rsid w:val="009E5BEB"/>
    <w:rsid w:val="009E610D"/>
    <w:rsid w:val="009F17AF"/>
    <w:rsid w:val="00A5672D"/>
    <w:rsid w:val="00A5752A"/>
    <w:rsid w:val="00A71B9B"/>
    <w:rsid w:val="00A90415"/>
    <w:rsid w:val="00A93069"/>
    <w:rsid w:val="00AB544F"/>
    <w:rsid w:val="00AB575F"/>
    <w:rsid w:val="00AC35CB"/>
    <w:rsid w:val="00AD253E"/>
    <w:rsid w:val="00AD2EB0"/>
    <w:rsid w:val="00AE6B13"/>
    <w:rsid w:val="00AF3F41"/>
    <w:rsid w:val="00AF5573"/>
    <w:rsid w:val="00B03607"/>
    <w:rsid w:val="00B050F0"/>
    <w:rsid w:val="00B076CC"/>
    <w:rsid w:val="00B2270C"/>
    <w:rsid w:val="00B2567A"/>
    <w:rsid w:val="00B41122"/>
    <w:rsid w:val="00B4552B"/>
    <w:rsid w:val="00B53C94"/>
    <w:rsid w:val="00B55DCE"/>
    <w:rsid w:val="00B67F4A"/>
    <w:rsid w:val="00B70447"/>
    <w:rsid w:val="00BA0A0C"/>
    <w:rsid w:val="00BA3A4E"/>
    <w:rsid w:val="00BA3DEF"/>
    <w:rsid w:val="00BA4E6B"/>
    <w:rsid w:val="00BB0032"/>
    <w:rsid w:val="00BC09AF"/>
    <w:rsid w:val="00BC268B"/>
    <w:rsid w:val="00BC57E7"/>
    <w:rsid w:val="00BD6E04"/>
    <w:rsid w:val="00BF025D"/>
    <w:rsid w:val="00BF2781"/>
    <w:rsid w:val="00C16D8D"/>
    <w:rsid w:val="00C335AC"/>
    <w:rsid w:val="00C3360B"/>
    <w:rsid w:val="00C35DEF"/>
    <w:rsid w:val="00C408E8"/>
    <w:rsid w:val="00C42E4A"/>
    <w:rsid w:val="00C52AF9"/>
    <w:rsid w:val="00C532E6"/>
    <w:rsid w:val="00C67352"/>
    <w:rsid w:val="00C8238A"/>
    <w:rsid w:val="00C96DED"/>
    <w:rsid w:val="00CA0DAB"/>
    <w:rsid w:val="00CB0335"/>
    <w:rsid w:val="00CB178C"/>
    <w:rsid w:val="00CB2EC3"/>
    <w:rsid w:val="00CB6D66"/>
    <w:rsid w:val="00CC0ACE"/>
    <w:rsid w:val="00CE47B4"/>
    <w:rsid w:val="00CF0D8B"/>
    <w:rsid w:val="00CF24B5"/>
    <w:rsid w:val="00CF3C7E"/>
    <w:rsid w:val="00CF4758"/>
    <w:rsid w:val="00D12212"/>
    <w:rsid w:val="00D1558F"/>
    <w:rsid w:val="00D16BEC"/>
    <w:rsid w:val="00D20C53"/>
    <w:rsid w:val="00D23625"/>
    <w:rsid w:val="00D24C94"/>
    <w:rsid w:val="00D32B51"/>
    <w:rsid w:val="00D35437"/>
    <w:rsid w:val="00D36293"/>
    <w:rsid w:val="00D4025D"/>
    <w:rsid w:val="00D43769"/>
    <w:rsid w:val="00D45057"/>
    <w:rsid w:val="00D605DF"/>
    <w:rsid w:val="00D77BE6"/>
    <w:rsid w:val="00D8027D"/>
    <w:rsid w:val="00D8370B"/>
    <w:rsid w:val="00DB2D84"/>
    <w:rsid w:val="00DB627E"/>
    <w:rsid w:val="00DC1BB4"/>
    <w:rsid w:val="00DE2AAC"/>
    <w:rsid w:val="00DE4A06"/>
    <w:rsid w:val="00E0774B"/>
    <w:rsid w:val="00E101DC"/>
    <w:rsid w:val="00E14606"/>
    <w:rsid w:val="00E21398"/>
    <w:rsid w:val="00E27EAB"/>
    <w:rsid w:val="00E41976"/>
    <w:rsid w:val="00E600C2"/>
    <w:rsid w:val="00E63D1B"/>
    <w:rsid w:val="00E656B4"/>
    <w:rsid w:val="00E679EA"/>
    <w:rsid w:val="00E67B42"/>
    <w:rsid w:val="00E72E79"/>
    <w:rsid w:val="00E94BFB"/>
    <w:rsid w:val="00EC0963"/>
    <w:rsid w:val="00EC7750"/>
    <w:rsid w:val="00ED62F9"/>
    <w:rsid w:val="00EE3902"/>
    <w:rsid w:val="00EE5540"/>
    <w:rsid w:val="00EF4E77"/>
    <w:rsid w:val="00EF62AD"/>
    <w:rsid w:val="00EF7868"/>
    <w:rsid w:val="00F0173C"/>
    <w:rsid w:val="00F0209A"/>
    <w:rsid w:val="00F0661B"/>
    <w:rsid w:val="00F072CC"/>
    <w:rsid w:val="00F10836"/>
    <w:rsid w:val="00F12A3B"/>
    <w:rsid w:val="00F17FDB"/>
    <w:rsid w:val="00F32895"/>
    <w:rsid w:val="00F34C29"/>
    <w:rsid w:val="00F3539A"/>
    <w:rsid w:val="00F52741"/>
    <w:rsid w:val="00F55A39"/>
    <w:rsid w:val="00F724DE"/>
    <w:rsid w:val="00F74FA1"/>
    <w:rsid w:val="00F7736A"/>
    <w:rsid w:val="00F80F5D"/>
    <w:rsid w:val="00F81E95"/>
    <w:rsid w:val="00F826F1"/>
    <w:rsid w:val="00F949C9"/>
    <w:rsid w:val="00FA53A6"/>
    <w:rsid w:val="00FB5735"/>
    <w:rsid w:val="00FC5F9C"/>
    <w:rsid w:val="00FD15FF"/>
    <w:rsid w:val="00FD5CF9"/>
    <w:rsid w:val="00FE6E89"/>
    <w:rsid w:val="00FE7E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61954D46-D184-4FF9-A9CA-E5932E79D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2"/>
    <w:pPr>
      <w:numPr>
        <w:numId w:val="2"/>
      </w:numPr>
    </w:pPr>
  </w:style>
  <w:style w:type="numbering" w:customStyle="1" w:styleId="ImportedStyle2">
    <w:name w:val="Imported Style 2"/>
  </w:style>
  <w:style w:type="numbering" w:customStyle="1" w:styleId="21">
    <w:name w:val="Список 21"/>
    <w:basedOn w:val="ImportedStyle3"/>
    <w:pPr>
      <w:numPr>
        <w:numId w:val="3"/>
      </w:numPr>
    </w:pPr>
  </w:style>
  <w:style w:type="numbering" w:customStyle="1" w:styleId="ImportedStyle3">
    <w:name w:val="Imported Style 3"/>
  </w:style>
  <w:style w:type="numbering" w:customStyle="1" w:styleId="31">
    <w:name w:val="Список 31"/>
    <w:basedOn w:val="ImportedStyle4"/>
    <w:pPr>
      <w:numPr>
        <w:numId w:val="4"/>
      </w:numPr>
    </w:pPr>
  </w:style>
  <w:style w:type="numbering" w:customStyle="1" w:styleId="ImportedStyle4">
    <w:name w:val="Imported Style 4"/>
  </w:style>
  <w:style w:type="numbering" w:customStyle="1" w:styleId="41">
    <w:name w:val="Список 41"/>
    <w:basedOn w:val="ImportedStyle5"/>
    <w:pPr>
      <w:numPr>
        <w:numId w:val="5"/>
      </w:numPr>
    </w:pPr>
  </w:style>
  <w:style w:type="numbering" w:customStyle="1" w:styleId="ImportedStyle5">
    <w:name w:val="Imported Style 5"/>
  </w:style>
  <w:style w:type="numbering" w:customStyle="1" w:styleId="51">
    <w:name w:val="Список 51"/>
    <w:basedOn w:val="ImportedStyle6"/>
    <w:pPr>
      <w:numPr>
        <w:numId w:val="6"/>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7"/>
      </w:numPr>
    </w:pPr>
  </w:style>
  <w:style w:type="numbering" w:customStyle="1" w:styleId="ImportedStyle7">
    <w:name w:val="Imported Style 7"/>
  </w:style>
  <w:style w:type="numbering" w:customStyle="1" w:styleId="List7">
    <w:name w:val="List 7"/>
    <w:basedOn w:val="ImportedStyle8"/>
    <w:pPr>
      <w:numPr>
        <w:numId w:val="8"/>
      </w:numPr>
    </w:pPr>
  </w:style>
  <w:style w:type="numbering" w:customStyle="1" w:styleId="ImportedStyle8">
    <w:name w:val="Imported Style 8"/>
  </w:style>
  <w:style w:type="numbering" w:customStyle="1" w:styleId="List8">
    <w:name w:val="List 8"/>
    <w:basedOn w:val="ImportedStyle9"/>
    <w:pPr>
      <w:numPr>
        <w:numId w:val="9"/>
      </w:numPr>
    </w:pPr>
  </w:style>
  <w:style w:type="numbering" w:customStyle="1" w:styleId="ImportedStyle9">
    <w:name w:val="Imported Style 9"/>
  </w:style>
  <w:style w:type="numbering" w:customStyle="1" w:styleId="List9">
    <w:name w:val="List 9"/>
    <w:basedOn w:val="ImportedStyle10"/>
    <w:pPr>
      <w:numPr>
        <w:numId w:val="10"/>
      </w:numPr>
    </w:pPr>
  </w:style>
  <w:style w:type="numbering" w:customStyle="1" w:styleId="ImportedStyle10">
    <w:name w:val="Imported Style 10"/>
  </w:style>
  <w:style w:type="numbering" w:customStyle="1" w:styleId="List10">
    <w:name w:val="List 10"/>
    <w:basedOn w:val="ImportedStyle11"/>
    <w:pPr>
      <w:numPr>
        <w:numId w:val="11"/>
      </w:numPr>
    </w:pPr>
  </w:style>
  <w:style w:type="numbering" w:customStyle="1" w:styleId="ImportedStyle11">
    <w:name w:val="Imported Style 11"/>
  </w:style>
  <w:style w:type="numbering" w:customStyle="1" w:styleId="List11">
    <w:name w:val="List 11"/>
    <w:basedOn w:val="ImportedStyle12"/>
    <w:pPr>
      <w:numPr>
        <w:numId w:val="12"/>
      </w:numPr>
    </w:pPr>
  </w:style>
  <w:style w:type="numbering" w:customStyle="1" w:styleId="ImportedStyle12">
    <w:name w:val="Imported Style 12"/>
  </w:style>
  <w:style w:type="numbering" w:customStyle="1" w:styleId="List12">
    <w:name w:val="List 12"/>
    <w:basedOn w:val="ImportedStyle13"/>
    <w:pPr>
      <w:numPr>
        <w:numId w:val="13"/>
      </w:numPr>
    </w:pPr>
  </w:style>
  <w:style w:type="numbering" w:customStyle="1" w:styleId="ImportedStyle13">
    <w:name w:val="Imported Style 13"/>
  </w:style>
  <w:style w:type="numbering" w:customStyle="1" w:styleId="List13">
    <w:name w:val="List 13"/>
    <w:basedOn w:val="ImportedStyle14"/>
    <w:pPr>
      <w:numPr>
        <w:numId w:val="14"/>
      </w:numPr>
    </w:pPr>
  </w:style>
  <w:style w:type="numbering" w:customStyle="1" w:styleId="ImportedStyle14">
    <w:name w:val="Imported Style 14"/>
  </w:style>
  <w:style w:type="numbering" w:customStyle="1" w:styleId="List14">
    <w:name w:val="List 14"/>
    <w:basedOn w:val="ImportedStyle14"/>
    <w:pPr>
      <w:numPr>
        <w:numId w:val="15"/>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 w:type="paragraph" w:styleId="af0">
    <w:name w:val="endnote text"/>
    <w:basedOn w:val="a"/>
    <w:link w:val="af1"/>
    <w:uiPriority w:val="99"/>
    <w:semiHidden/>
    <w:unhideWhenUsed/>
    <w:rsid w:val="000C4990"/>
    <w:pPr>
      <w:spacing w:after="0" w:line="240" w:lineRule="auto"/>
    </w:pPr>
    <w:rPr>
      <w:sz w:val="20"/>
      <w:szCs w:val="20"/>
    </w:rPr>
  </w:style>
  <w:style w:type="character" w:customStyle="1" w:styleId="af1">
    <w:name w:val="Текст концевой сноски Знак"/>
    <w:basedOn w:val="a0"/>
    <w:link w:val="af0"/>
    <w:uiPriority w:val="99"/>
    <w:semiHidden/>
    <w:rsid w:val="000C4990"/>
    <w:rPr>
      <w:rFonts w:ascii="Calibri" w:eastAsia="Calibri" w:hAnsi="Calibri" w:cs="Calibri"/>
      <w:color w:val="000000"/>
      <w:u w:color="000000"/>
      <w:lang w:eastAsia="en-US"/>
    </w:rPr>
  </w:style>
  <w:style w:type="character" w:styleId="af2">
    <w:name w:val="endnote reference"/>
    <w:basedOn w:val="a0"/>
    <w:uiPriority w:val="99"/>
    <w:semiHidden/>
    <w:unhideWhenUsed/>
    <w:rsid w:val="000C49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243227">
      <w:bodyDiv w:val="1"/>
      <w:marLeft w:val="0"/>
      <w:marRight w:val="0"/>
      <w:marTop w:val="0"/>
      <w:marBottom w:val="0"/>
      <w:divBdr>
        <w:top w:val="none" w:sz="0" w:space="0" w:color="auto"/>
        <w:left w:val="none" w:sz="0" w:space="0" w:color="auto"/>
        <w:bottom w:val="none" w:sz="0" w:space="0" w:color="auto"/>
        <w:right w:val="none" w:sz="0" w:space="0" w:color="auto"/>
      </w:divBdr>
    </w:div>
    <w:div w:id="449784311">
      <w:bodyDiv w:val="1"/>
      <w:marLeft w:val="0"/>
      <w:marRight w:val="0"/>
      <w:marTop w:val="0"/>
      <w:marBottom w:val="0"/>
      <w:divBdr>
        <w:top w:val="none" w:sz="0" w:space="0" w:color="auto"/>
        <w:left w:val="none" w:sz="0" w:space="0" w:color="auto"/>
        <w:bottom w:val="none" w:sz="0" w:space="0" w:color="auto"/>
        <w:right w:val="none" w:sz="0" w:space="0" w:color="auto"/>
      </w:divBdr>
    </w:div>
    <w:div w:id="603270946">
      <w:bodyDiv w:val="1"/>
      <w:marLeft w:val="0"/>
      <w:marRight w:val="0"/>
      <w:marTop w:val="0"/>
      <w:marBottom w:val="0"/>
      <w:divBdr>
        <w:top w:val="none" w:sz="0" w:space="0" w:color="auto"/>
        <w:left w:val="none" w:sz="0" w:space="0" w:color="auto"/>
        <w:bottom w:val="none" w:sz="0" w:space="0" w:color="auto"/>
        <w:right w:val="none" w:sz="0" w:space="0" w:color="auto"/>
      </w:divBdr>
    </w:div>
    <w:div w:id="1159232958">
      <w:bodyDiv w:val="1"/>
      <w:marLeft w:val="0"/>
      <w:marRight w:val="0"/>
      <w:marTop w:val="0"/>
      <w:marBottom w:val="0"/>
      <w:divBdr>
        <w:top w:val="none" w:sz="0" w:space="0" w:color="auto"/>
        <w:left w:val="none" w:sz="0" w:space="0" w:color="auto"/>
        <w:bottom w:val="none" w:sz="0" w:space="0" w:color="auto"/>
        <w:right w:val="none" w:sz="0" w:space="0" w:color="auto"/>
      </w:divBdr>
    </w:div>
    <w:div w:id="1335452219">
      <w:bodyDiv w:val="1"/>
      <w:marLeft w:val="0"/>
      <w:marRight w:val="0"/>
      <w:marTop w:val="0"/>
      <w:marBottom w:val="0"/>
      <w:divBdr>
        <w:top w:val="none" w:sz="0" w:space="0" w:color="auto"/>
        <w:left w:val="none" w:sz="0" w:space="0" w:color="auto"/>
        <w:bottom w:val="none" w:sz="0" w:space="0" w:color="auto"/>
        <w:right w:val="none" w:sz="0" w:space="0" w:color="auto"/>
      </w:divBdr>
    </w:div>
    <w:div w:id="1336105352">
      <w:bodyDiv w:val="1"/>
      <w:marLeft w:val="0"/>
      <w:marRight w:val="0"/>
      <w:marTop w:val="0"/>
      <w:marBottom w:val="0"/>
      <w:divBdr>
        <w:top w:val="none" w:sz="0" w:space="0" w:color="auto"/>
        <w:left w:val="none" w:sz="0" w:space="0" w:color="auto"/>
        <w:bottom w:val="none" w:sz="0" w:space="0" w:color="auto"/>
        <w:right w:val="none" w:sz="0" w:space="0" w:color="auto"/>
      </w:divBdr>
    </w:div>
    <w:div w:id="2035379421">
      <w:bodyDiv w:val="1"/>
      <w:marLeft w:val="0"/>
      <w:marRight w:val="0"/>
      <w:marTop w:val="0"/>
      <w:marBottom w:val="0"/>
      <w:divBdr>
        <w:top w:val="none" w:sz="0" w:space="0" w:color="auto"/>
        <w:left w:val="none" w:sz="0" w:space="0" w:color="auto"/>
        <w:bottom w:val="none" w:sz="0" w:space="0" w:color="auto"/>
        <w:right w:val="none" w:sz="0" w:space="0" w:color="auto"/>
      </w:divBdr>
    </w:div>
    <w:div w:id="2088378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hyperlink" Target="mailto:ir@qiwi.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r@qiwi.com" TargetMode="External"/><Relationship Id="rId14" Type="http://schemas.openxmlformats.org/officeDocument/2006/relationships/image" Target="media/image5.emf"/></Relationships>
</file>

<file path=word/theme/_rels/theme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B3D34-D78C-49C1-AA92-52ADC01E5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667</TotalTime>
  <Pages>16</Pages>
  <Words>3813</Words>
  <Characters>21739</Characters>
  <Application>Microsoft Office Word</Application>
  <DocSecurity>0</DocSecurity>
  <Lines>181</Lines>
  <Paragraphs>51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alexander.karavaev@gmail.com</Company>
  <LinksUpToDate>false</LinksUpToDate>
  <CharactersWithSpaces>25501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Киселева Варвара Денисовна</dc:creator>
  <cp:lastModifiedBy>Киселева Варвара Денисовна</cp:lastModifiedBy>
  <cp:revision>5</cp:revision>
  <cp:lastPrinted>2015-08-29T06:56:00Z</cp:lastPrinted>
  <dcterms:created xsi:type="dcterms:W3CDTF">2015-08-31T05:57:00Z</dcterms:created>
  <dcterms:modified xsi:type="dcterms:W3CDTF">2015-09-01T08:27:00Z</dcterms:modified>
</cp:coreProperties>
</file>