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4040" w:leader="none"/>
        </w:tabs>
        <w:bidi w:val="0"/>
        <w:spacing w:lineRule="exact" w:line="284" w:before="0" w:after="0"/>
        <w:ind w:left="-100" w:hanging="0"/>
        <w:jc w:val="right"/>
        <w:rPr/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  <w:t>СОГЛАСОВАНО</w:t>
      </w:r>
    </w:p>
    <w:p>
      <w:pPr>
        <w:pStyle w:val="Normal"/>
        <w:tabs>
          <w:tab w:val="left" w:pos="4040" w:leader="none"/>
        </w:tabs>
        <w:bidi w:val="0"/>
        <w:spacing w:lineRule="exact" w:line="284" w:before="0" w:after="0"/>
        <w:jc w:val="right"/>
        <w:rPr>
          <w:rFonts w:ascii="Times New Roman" w:hAnsi="Times New Roman" w:cs="Times New Roman"/>
          <w:bCs/>
          <w:color w:val="000000" w:themeColor="text1"/>
          <w:spacing w:val="-10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  <w:t>Заместитель Председателя</w:t>
      </w:r>
    </w:p>
    <w:p>
      <w:pPr>
        <w:pStyle w:val="Normal"/>
        <w:tabs>
          <w:tab w:val="left" w:pos="4040" w:leader="none"/>
        </w:tabs>
        <w:bidi w:val="0"/>
        <w:spacing w:lineRule="exact" w:line="284" w:before="0" w:after="0"/>
        <w:jc w:val="right"/>
        <w:rPr>
          <w:rFonts w:ascii="Times New Roman" w:hAnsi="Times New Roman" w:cs="Times New Roman"/>
          <w:bCs/>
          <w:color w:val="000000" w:themeColor="text1"/>
          <w:spacing w:val="-10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  <w:t>Банка России</w:t>
      </w:r>
    </w:p>
    <w:p>
      <w:pPr>
        <w:pStyle w:val="Normal"/>
        <w:tabs>
          <w:tab w:val="left" w:pos="4040" w:leader="none"/>
        </w:tabs>
        <w:bidi w:val="0"/>
        <w:spacing w:lineRule="exact" w:line="284" w:before="0" w:after="0"/>
        <w:jc w:val="right"/>
        <w:rPr>
          <w:rFonts w:ascii="Times New Roman" w:hAnsi="Times New Roman" w:cs="Times New Roman"/>
          <w:bCs/>
          <w:color w:val="000000" w:themeColor="text1"/>
          <w:spacing w:val="-10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  <w:t>_________________________________</w:t>
      </w:r>
    </w:p>
    <w:p>
      <w:pPr>
        <w:pStyle w:val="Normal"/>
        <w:tabs>
          <w:tab w:val="left" w:pos="4040" w:leader="none"/>
        </w:tabs>
        <w:bidi w:val="0"/>
        <w:spacing w:lineRule="exact" w:line="284" w:before="0" w:after="0"/>
        <w:jc w:val="right"/>
        <w:rPr>
          <w:rFonts w:ascii="Times New Roman" w:hAnsi="Times New Roman" w:cs="Times New Roman"/>
          <w:bCs/>
          <w:color w:val="000000" w:themeColor="text1"/>
          <w:spacing w:val="-10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</w:r>
    </w:p>
    <w:p>
      <w:pPr>
        <w:pStyle w:val="Normal"/>
        <w:tabs>
          <w:tab w:val="left" w:pos="4040" w:leader="none"/>
        </w:tabs>
        <w:bidi w:val="0"/>
        <w:spacing w:lineRule="exact" w:line="284" w:before="0" w:after="0"/>
        <w:jc w:val="right"/>
        <w:rPr>
          <w:rFonts w:ascii="Times New Roman" w:hAnsi="Times New Roman" w:cs="Times New Roman"/>
          <w:bCs/>
          <w:color w:val="000000" w:themeColor="text1"/>
          <w:spacing w:val="-10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  <w:t>«____»_________________ 2018 г.</w:t>
      </w:r>
    </w:p>
    <w:p>
      <w:pPr>
        <w:pStyle w:val="Normal"/>
        <w:tabs>
          <w:tab w:val="left" w:pos="4040" w:leader="none"/>
        </w:tabs>
        <w:bidi w:val="0"/>
        <w:spacing w:lineRule="exact" w:line="284" w:before="0" w:after="0"/>
        <w:jc w:val="right"/>
        <w:rPr>
          <w:rFonts w:ascii="Times New Roman" w:hAnsi="Times New Roman" w:cs="Times New Roman"/>
          <w:bCs/>
          <w:color w:val="000000" w:themeColor="text1"/>
          <w:spacing w:val="-10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</w:r>
    </w:p>
    <w:p>
      <w:pPr>
        <w:pStyle w:val="Normal"/>
        <w:tabs>
          <w:tab w:val="left" w:pos="4040" w:leader="none"/>
        </w:tabs>
        <w:bidi w:val="0"/>
        <w:spacing w:lineRule="exact" w:line="284" w:before="0" w:after="0"/>
        <w:jc w:val="center"/>
        <w:rPr>
          <w:rFonts w:ascii="Times New Roman" w:hAnsi="Times New Roman" w:cs="Times New Roman"/>
          <w:bCs/>
          <w:color w:val="000000" w:themeColor="text1"/>
          <w:spacing w:val="-10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</w:r>
    </w:p>
    <w:p>
      <w:pPr>
        <w:pStyle w:val="Normal"/>
        <w:tabs>
          <w:tab w:val="left" w:pos="4040" w:leader="none"/>
        </w:tabs>
        <w:bidi w:val="0"/>
        <w:spacing w:lineRule="exact" w:line="284" w:before="0" w:after="0"/>
        <w:jc w:val="center"/>
        <w:rPr>
          <w:rFonts w:ascii="Times New Roman" w:hAnsi="Times New Roman" w:cs="Times New Roman"/>
          <w:bCs/>
          <w:color w:val="000000" w:themeColor="text1"/>
          <w:spacing w:val="-10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</w:r>
    </w:p>
    <w:p>
      <w:pPr>
        <w:pStyle w:val="Normal"/>
        <w:tabs>
          <w:tab w:val="left" w:pos="4040" w:leader="none"/>
        </w:tabs>
        <w:bidi w:val="0"/>
        <w:spacing w:lineRule="exact" w:line="284" w:before="0" w:after="0"/>
        <w:jc w:val="center"/>
        <w:rPr>
          <w:rFonts w:ascii="Times New Roman" w:hAnsi="Times New Roman" w:cs="Times New Roman"/>
          <w:bCs/>
          <w:color w:val="000000" w:themeColor="text1"/>
          <w:spacing w:val="-10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pacing w:val="-10"/>
          <w:sz w:val="24"/>
          <w:szCs w:val="24"/>
        </w:rPr>
      </w:r>
    </w:p>
    <w:p>
      <w:pPr>
        <w:pStyle w:val="Normal"/>
        <w:widowControl/>
        <w:tabs>
          <w:tab w:val="left" w:pos="1787" w:leader="none"/>
          <w:tab w:val="left" w:pos="2410" w:leader="none"/>
        </w:tabs>
        <w:bidi w:val="0"/>
        <w:spacing w:before="0" w:after="0"/>
        <w:jc w:val="center"/>
        <w:rPr>
          <w:rFonts w:ascii="Times New Roman" w:hAnsi="Times New Roman" w:cs="Times New Roman"/>
          <w:b/>
          <w:b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/>
          <w:color w:val="000000" w:themeColor="text1"/>
          <w:sz w:val="24"/>
          <w:szCs w:val="24"/>
        </w:rPr>
        <w:t>Изменения № 2, вносимые в Устав</w:t>
      </w:r>
    </w:p>
    <w:p>
      <w:pPr>
        <w:pStyle w:val="Normal"/>
        <w:widowControl/>
        <w:tabs>
          <w:tab w:val="left" w:pos="1787" w:leader="none"/>
          <w:tab w:val="left" w:pos="2410" w:leader="none"/>
        </w:tabs>
        <w:bidi w:val="0"/>
        <w:spacing w:before="0"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right="177" w:firstLine="720"/>
        <w:jc w:val="both"/>
        <w:rPr>
          <w:rFonts w:ascii="Times New Roman" w:hAnsi="Times New Roman" w:cs="Times New Roman"/>
          <w:b/>
          <w:b/>
          <w:bCs/>
          <w:color w:val="000000" w:themeColor="text1"/>
          <w:spacing w:val="-5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 w:themeColor="text1"/>
          <w:spacing w:val="-5"/>
          <w:sz w:val="24"/>
          <w:szCs w:val="24"/>
        </w:rPr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 w:themeColor="text1"/>
          <w:spacing w:val="-5"/>
          <w:sz w:val="24"/>
          <w:szCs w:val="24"/>
        </w:rPr>
        <w:t xml:space="preserve">Акционерного общества </w:t>
      </w:r>
      <w:r>
        <w:rPr>
          <w:rFonts w:cs="Times New Roman" w:ascii="Times New Roman" w:hAnsi="Times New Roman"/>
          <w:b/>
          <w:bCs/>
          <w:color w:val="000000" w:themeColor="text1"/>
          <w:spacing w:val="-8"/>
          <w:sz w:val="24"/>
          <w:szCs w:val="24"/>
        </w:rPr>
        <w:t xml:space="preserve">«Северо-западный инвестиционно-промышленный банк», </w:t>
      </w:r>
      <w:r>
        <w:rPr>
          <w:rFonts w:cs="Times New Roman" w:ascii="Times New Roman" w:hAnsi="Times New Roman"/>
          <w:b/>
          <w:bCs/>
          <w:color w:val="000000" w:themeColor="text1"/>
          <w:spacing w:val="-7"/>
          <w:sz w:val="24"/>
          <w:szCs w:val="24"/>
        </w:rPr>
        <w:t xml:space="preserve">АО «СЕВЗАПИНВЕСТПРОМБАНК», </w:t>
      </w:r>
      <w:r>
        <w:rPr>
          <w:rFonts w:cs="Times New Roman" w:ascii="Times New Roman" w:hAnsi="Times New Roman"/>
          <w:bCs/>
          <w:color w:val="000000" w:themeColor="text1"/>
          <w:spacing w:val="-5"/>
          <w:sz w:val="24"/>
          <w:szCs w:val="24"/>
        </w:rPr>
        <w:t xml:space="preserve">основной государственный регистрационный номер кредитной организации 1027800000403, дата государственной регистрации кредитной организации 09 августа 2002 года, 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>регистрационный номер</w:t>
      </w:r>
      <w:r>
        <w:rPr>
          <w:rFonts w:cs="Times New Roman" w:ascii="Times New Roman" w:hAnsi="Times New Roman"/>
          <w:bCs/>
          <w:color w:val="000000" w:themeColor="text1"/>
          <w:spacing w:val="-5"/>
          <w:sz w:val="24"/>
          <w:szCs w:val="24"/>
        </w:rPr>
        <w:t xml:space="preserve"> кредитной организации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>, присвоенный  ей Банком России  2152 от 06 ноября 1992 года</w:t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left="720"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shd w:val="clear" w:color="auto" w:fill="FFFFFF"/>
        <w:bidi w:val="0"/>
        <w:spacing w:lineRule="exact" w:line="284" w:before="0" w:after="0"/>
        <w:ind w:right="177" w:hanging="0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>1. Пункт 4.1.7. Устава изложить в следующей редакции:</w:t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left="720"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Western"/>
        <w:bidi w:val="0"/>
        <w:spacing w:lineRule="auto" w:line="240" w:beforeAutospacing="0" w:before="0" w:after="0"/>
        <w:ind w:right="176" w:hanging="0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4.1.7. привлечение драгоценных металлов физических и юридических лиц во вклады (до востребования и на определенный срок), за исключением монет из драгоценных металлов. Размещение привлеченных 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во вклады 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(до востребования и на определенный срок) 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>драгоценных металлов от своего имени и за свой счет. Открытие и ведение банковских счетов физических и юридических лиц в драгоценных металлах, за исключением монет из драгоценных металлов. Осуществление переводов по поручению физических и юридических лиц, в том числе банков-корреспондентов, по их банковским счетам в драгоценных металлах.</w:t>
      </w:r>
    </w:p>
    <w:p>
      <w:pPr>
        <w:pStyle w:val="Western"/>
        <w:bidi w:val="0"/>
        <w:spacing w:lineRule="auto" w:line="240" w:beforeAutospacing="0" w:before="0" w:after="0"/>
        <w:ind w:right="176" w:hanging="0"/>
        <w:jc w:val="both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val="ru-RU" w:eastAsia="ru-RU" w:bidi="ar-SA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val="ru-RU" w:eastAsia="ru-RU" w:bidi="ar-SA"/>
        </w:rPr>
      </w:r>
    </w:p>
    <w:p>
      <w:pPr>
        <w:pStyle w:val="Western"/>
        <w:bidi w:val="0"/>
        <w:spacing w:lineRule="auto" w:line="240" w:beforeAutospacing="0" w:before="0" w:after="0"/>
        <w:ind w:right="176" w:hanging="0"/>
        <w:jc w:val="both"/>
        <w:rPr/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val="ru-RU" w:eastAsia="ru-RU" w:bidi="ar-SA"/>
        </w:rPr>
        <w:t>2. Пункт 4.1.9. Устава изложить в следующей редакции:</w:t>
      </w:r>
    </w:p>
    <w:p>
      <w:pPr>
        <w:pStyle w:val="Western"/>
        <w:widowControl/>
        <w:bidi w:val="0"/>
        <w:spacing w:lineRule="auto" w:line="240" w:beforeAutospacing="0" w:before="0" w:after="0"/>
        <w:ind w:left="397" w:right="170" w:hanging="0"/>
        <w:jc w:val="both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val="ru-RU" w:eastAsia="ru-RU" w:bidi="ar-SA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val="ru-RU" w:eastAsia="ru-RU" w:bidi="ar-SA"/>
        </w:rPr>
      </w:r>
    </w:p>
    <w:p>
      <w:pPr>
        <w:pStyle w:val="Western"/>
        <w:widowControl/>
        <w:bidi w:val="0"/>
        <w:spacing w:lineRule="auto" w:line="240" w:beforeAutospacing="0" w:before="0" w:after="0"/>
        <w:ind w:right="170" w:hanging="0"/>
        <w:jc w:val="both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val="ru-RU" w:eastAsia="ru-RU" w:bidi="ar-SA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val="ru-RU" w:eastAsia="ru-RU" w:bidi="ar-SA"/>
        </w:rPr>
        <w:t>4.1.9.  осуществление переводов денежных средств без открытия банковских счетов, в том числе электронных денежных средств (за исключением почтовых переводов).</w:t>
      </w:r>
    </w:p>
    <w:p>
      <w:pPr>
        <w:pStyle w:val="Western"/>
        <w:widowControl/>
        <w:bidi w:val="0"/>
        <w:spacing w:lineRule="auto" w:line="240" w:beforeAutospacing="0" w:before="0" w:after="0"/>
        <w:ind w:right="170" w:hanging="0"/>
        <w:jc w:val="both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val="ru-RU" w:eastAsia="ru-RU" w:bidi="ar-SA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val="ru-RU" w:eastAsia="ru-RU" w:bidi="ar-SA"/>
        </w:rPr>
        <w:t>Открытие банковских счетов индивидуальных предпринимателей и юридических лиц, зарегистрированных в соответствии с законодательством Российской Федерации (за исключением органов государственной власти и органов местного самоуправления), филиалов (представительств) иностранных юридических лиц осуществляется при наличии сведений о государственной регистрации физических лиц в качестве индивидуальных предпринимателей, о государственной регистрации юридических лиц, об аккредитации филиалов (представительств) иностранных юридических лиц, о постановке на учет в налоговом органе, содержащихся соответственно в едином государственном реестре индивидуальных предпринимателей, едином государственном реестре юридических лиц и государственном реестре аккредитованных филиалов, представительств иностранных юридических лиц.</w:t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left="720"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shd w:val="clear" w:color="auto" w:fill="FFFFFF"/>
        <w:bidi w:val="0"/>
        <w:spacing w:lineRule="exact" w:line="284" w:before="0" w:after="0"/>
        <w:ind w:right="177" w:hanging="0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>3. Пункт 4.2.4. Устава изложить в следующей редакции:</w:t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left="720"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Western"/>
        <w:bidi w:val="0"/>
        <w:spacing w:lineRule="auto" w:line="240" w:beforeAutospacing="0" w:before="0" w:after="0"/>
        <w:ind w:right="176" w:hanging="0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>4.2.4. осуществление операций с драгоценными металлами, монетами из драгоценных металлов в соответствии с законодательством Российской Федерации.</w:t>
      </w:r>
    </w:p>
    <w:p>
      <w:pPr>
        <w:pStyle w:val="Western"/>
        <w:bidi w:val="0"/>
        <w:spacing w:lineRule="auto" w:line="240" w:beforeAutospacing="0" w:before="0" w:after="0"/>
        <w:ind w:right="176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shd w:val="clear" w:color="auto" w:fill="FFFFFF"/>
        <w:bidi w:val="0"/>
        <w:spacing w:lineRule="exact" w:line="284" w:before="0" w:after="0"/>
        <w:ind w:right="177" w:hanging="0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>4. Пункт 4.4. Устава изложить в следующей редакции:</w:t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left="720"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Western"/>
        <w:bidi w:val="0"/>
        <w:spacing w:lineRule="auto" w:line="240" w:beforeAutospacing="0" w:before="0" w:after="0"/>
        <w:ind w:right="176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>4.4. Все банковские операции и другие сделки осуществляются в рублях, а при наличии соответствующей лицензии Банка России - и в иностранной валюте. Правила осуществления банковских операций, в том числе правила их материально-технического обеспечения, устанавливаются Банком России в соответствии с федеральными законами. Банковские операции и иные сделки с драгоценными металлами осуществляются с аффинированными золотом, серебром, платиной, палладием в слитках и (или) с золотом, серебром, платиной, палладием, учитываемыми на банковских счетах в драгоценных металлах, с монетами из драгоценных металлов.</w:t>
      </w:r>
    </w:p>
    <w:p>
      <w:pPr>
        <w:pStyle w:val="Western"/>
        <w:bidi w:val="0"/>
        <w:spacing w:lineRule="auto" w:line="240" w:beforeAutospacing="0" w:before="0" w:after="0"/>
        <w:ind w:right="176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shd w:val="clear" w:color="auto" w:fill="FFFFFF"/>
        <w:bidi w:val="0"/>
        <w:spacing w:lineRule="exact" w:line="284" w:before="0" w:after="0"/>
        <w:ind w:right="177" w:hanging="0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>5. Пункт 4.5. Устава изложить в следующей редакции:</w:t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left="720"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Web"/>
        <w:bidi w:val="0"/>
        <w:spacing w:lineRule="auto" w:line="240" w:beforeAutospacing="0" w:before="0" w:after="0"/>
        <w:jc w:val="both"/>
        <w:rPr/>
      </w:pPr>
      <w:r>
        <w:rPr>
          <w:color w:val="000000" w:themeColor="text1"/>
        </w:rPr>
        <w:t>4.5. Банку запрещается заниматься производственной, торговой и страховой деятельностью. Указанные ограничения не распространяются на заключение договоров, являющихся производными финансовыми инструментами и предусматривающих либо обязанность одной стороны договора передать другой стороне товар, либо обязанность одной стороны на условиях, определенных при заключении договора, в случае предъявления требования другой стороной купить или продать товар, если обязательство по поставке будет прекращено без исполнения в натуре, а также на заключение договоров в целях выполнения функций центрального контрагента и оператора товарных поставок в соответствии с Федеральным законом "О клиринге и клиринговой деятельности и центральном контрагенте». Указанные ограничения не распространяются также на продажу имущества, приобретенного Банком в целях обеспечения своей деятельности, и на продажу имущества, реализуемого Банком в случае обращения взыскания на предмет залога в связи с неисполнением должником обязательства, обеспеченного залогом имущества, либо полученного Банком по договору в качестве отступного. Указанные ограничения не распространяются также на куплю-продажу драгоценных металлов и монет из драгоценных металлов, указанных в п. 4.4. Устава.</w:t>
      </w:r>
    </w:p>
    <w:p>
      <w:pPr>
        <w:pStyle w:val="NormalWeb"/>
        <w:bidi w:val="0"/>
        <w:spacing w:lineRule="auto" w:line="240" w:beforeAutospacing="0" w:before="0" w:after="0"/>
        <w:jc w:val="both"/>
        <w:rPr/>
      </w:pPr>
      <w:r>
        <w:rPr>
          <w:color w:val="000000" w:themeColor="text1"/>
        </w:rPr>
        <w:t>Переводы денежных средств без открытия банковских счетов, за исключением переводов электронных денежных средств, осуществляются по поручению физических лиц.</w:t>
      </w:r>
    </w:p>
    <w:p>
      <w:pPr>
        <w:pStyle w:val="NormalWeb"/>
        <w:bidi w:val="0"/>
        <w:spacing w:lineRule="auto" w:line="240" w:beforeAutospacing="0" w:before="0" w:after="0"/>
        <w:jc w:val="both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widowControl/>
        <w:numPr>
          <w:ilvl w:val="0"/>
          <w:numId w:val="0"/>
        </w:numPr>
        <w:shd w:val="clear" w:color="auto" w:fill="FFFFFF"/>
        <w:bidi w:val="0"/>
        <w:spacing w:lineRule="exact" w:line="284" w:before="0" w:after="0"/>
        <w:ind w:right="177" w:hanging="0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>6. Пункт 4.8. Устава изложить в следующей редакции:</w:t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left="720"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Western"/>
        <w:shd w:val="clear" w:color="auto" w:fill="FFFFFF"/>
        <w:bidi w:val="0"/>
        <w:spacing w:lineRule="atLeast" w:line="272" w:beforeAutospacing="0" w:before="0" w:after="0"/>
        <w:ind w:right="176" w:hanging="0"/>
        <w:jc w:val="both"/>
        <w:rPr>
          <w:rFonts w:ascii="Times New Roman" w:hAnsi="Times New Roman" w:cs="Times New Roman"/>
          <w:color w:val="000000" w:themeColor="text1"/>
          <w:spacing w:val="-8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4.8. </w:t>
      </w:r>
      <w:r>
        <w:rPr>
          <w:rFonts w:cs="Times New Roman" w:ascii="Times New Roman" w:hAnsi="Times New Roman"/>
          <w:color w:val="000000" w:themeColor="text1"/>
          <w:spacing w:val="-8"/>
          <w:sz w:val="24"/>
          <w:szCs w:val="24"/>
        </w:rPr>
        <w:t>Банк имеет право осуществлять профессиональную деятельность на рынке ценных бумаг в соответствии с действующим законодательством Российской Федерации. Банк при осуществлении деятельности на рынке ценных бумаг (в том числе профессиональной деятельности на рынке ценных бумаг) вправе совершать операции и сделки только с ценными бумагами, включенными в котировальный список первого (высшего) уровня организатора торгов, в капитале которого участвует Банк России, и иными ценными бумагами, соответствующими требованиям Банка России для совершения банком с базовой лицензией операций и сделок с ними, в случае, если такие требования установлены нормативным актом Банка России. Банк должен соблюдать установленные Банком России ограничения в отношении объема операций и сделок с ценными бумагами.</w:t>
      </w:r>
    </w:p>
    <w:p>
      <w:pPr>
        <w:pStyle w:val="Western"/>
        <w:shd w:val="clear" w:color="auto" w:fill="FFFFFF"/>
        <w:bidi w:val="0"/>
        <w:spacing w:lineRule="atLeast" w:line="272" w:beforeAutospacing="0" w:before="0" w:after="0"/>
        <w:ind w:right="176" w:hanging="0"/>
        <w:jc w:val="both"/>
        <w:rPr>
          <w:rFonts w:ascii="Times New Roman" w:hAnsi="Times New Roman" w:cs="Times New Roman"/>
          <w:color w:val="000000" w:themeColor="text1"/>
          <w:spacing w:val="-8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pacing w:val="-8"/>
          <w:sz w:val="24"/>
          <w:szCs w:val="24"/>
        </w:rPr>
      </w:r>
    </w:p>
    <w:p>
      <w:pPr>
        <w:pStyle w:val="Normal"/>
        <w:widowControl/>
        <w:numPr>
          <w:ilvl w:val="0"/>
          <w:numId w:val="0"/>
        </w:numPr>
        <w:shd w:val="clear" w:color="auto" w:fill="FFFFFF"/>
        <w:bidi w:val="0"/>
        <w:spacing w:lineRule="exact" w:line="284" w:before="0" w:after="0"/>
        <w:ind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color w:val="000000" w:themeColor="text1"/>
          <w:sz w:val="24"/>
          <w:szCs w:val="24"/>
        </w:rPr>
        <w:t>7. Пункт 4.9. Устава изложить в следующей редакции:</w:t>
      </w:r>
    </w:p>
    <w:p>
      <w:pPr>
        <w:pStyle w:val="Normal"/>
        <w:widowControl/>
        <w:shd w:val="clear" w:color="auto" w:fill="FFFFFF"/>
        <w:bidi w:val="0"/>
        <w:spacing w:lineRule="exact" w:line="284" w:before="0" w:after="0"/>
        <w:ind w:left="720" w:right="177" w:hanging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Web"/>
        <w:bidi w:val="0"/>
        <w:spacing w:lineRule="auto" w:line="240" w:beforeAutospacing="0" w:before="0" w:after="0"/>
        <w:jc w:val="both"/>
        <w:rPr>
          <w:color w:val="000000" w:themeColor="text1"/>
        </w:rPr>
      </w:pPr>
      <w:r>
        <w:rPr>
          <w:color w:val="000000" w:themeColor="text1"/>
        </w:rPr>
        <w:t>4.9. Банк не вправе осуществлять банковские операции, предусмотренные пунктами 4.1.2, 4.1.7 и 4.1.8 с иностранными юридическими лицами, с иностранными организациями, не являющимися юридическими лицами по иностранному праву, а также с физическими лицами, личным законом которых является право иностранного государства.</w:t>
      </w:r>
    </w:p>
    <w:p>
      <w:pPr>
        <w:pStyle w:val="NormalWeb"/>
        <w:bidi w:val="0"/>
        <w:spacing w:lineRule="auto" w:line="240" w:beforeAutospacing="0" w:before="0" w:after="0"/>
        <w:jc w:val="both"/>
        <w:rPr>
          <w:color w:val="000000" w:themeColor="text1"/>
        </w:rPr>
      </w:pPr>
      <w:r>
        <w:rPr>
          <w:color w:val="000000" w:themeColor="text1"/>
        </w:rPr>
        <w:t>Не допускается открытие Банком банковских (корреспондентских) счетов в иностранных банках, за исключением открытия счета в иностранном банке для целей участия в иностранной платежной системе.</w:t>
      </w:r>
    </w:p>
    <w:p>
      <w:pPr>
        <w:pStyle w:val="NormalWeb"/>
        <w:shd w:val="clear" w:color="auto" w:fill="FFFFFF"/>
        <w:bidi w:val="0"/>
        <w:spacing w:lineRule="atLeast" w:line="272" w:beforeAutospacing="0" w:before="0" w:after="0"/>
        <w:jc w:val="both"/>
        <w:rPr/>
      </w:pPr>
      <w:r>
        <w:rPr>
          <w:color w:val="000000" w:themeColor="text1"/>
          <w:spacing w:val="-8"/>
        </w:rPr>
        <w:t>Банк не вправе приобретать права требования к субъектам, указанным в части первой настоящего пункта, осуществлять лизинговые операции с указанными субъектами, а также выдавать в отношении указанных субъектов поручительства.</w:t>
      </w:r>
    </w:p>
    <w:p>
      <w:pPr>
        <w:pStyle w:val="NormalWeb"/>
        <w:shd w:val="clear" w:color="auto" w:fill="FFFFFF"/>
        <w:bidi w:val="0"/>
        <w:spacing w:lineRule="atLeast" w:line="272" w:beforeAutospacing="0" w:before="0" w:after="0"/>
        <w:jc w:val="both"/>
        <w:rPr/>
      </w:pPr>
      <w:r>
        <w:rPr>
          <w:color w:val="000000" w:themeColor="text1"/>
          <w:spacing w:val="-8"/>
        </w:rPr>
        <w:t xml:space="preserve">Банк вправе размещать привлеченные денежные средства в ценные бумаги, соответствующие требованиям, установленным </w:t>
      </w:r>
      <w:r>
        <w:rPr>
          <w:color w:val="000000" w:themeColor="text1"/>
          <w:spacing w:val="-8"/>
        </w:rPr>
        <w:t>ч</w:t>
      </w:r>
      <w:r>
        <w:rPr>
          <w:color w:val="000000" w:themeColor="text1"/>
          <w:spacing w:val="-8"/>
        </w:rPr>
        <w:t xml:space="preserve">астью пятой статьи 24 </w:t>
      </w:r>
      <w:r>
        <w:rPr>
          <w:color w:val="000000" w:themeColor="text1"/>
          <w:spacing w:val="-8"/>
        </w:rPr>
        <w:t>Федеральн</w:t>
      </w:r>
      <w:r>
        <w:rPr>
          <w:color w:val="000000" w:themeColor="text1"/>
          <w:spacing w:val="-8"/>
        </w:rPr>
        <w:t>ого</w:t>
      </w:r>
      <w:r>
        <w:rPr>
          <w:color w:val="000000" w:themeColor="text1"/>
          <w:spacing w:val="-8"/>
        </w:rPr>
        <w:t xml:space="preserve"> закон</w:t>
      </w:r>
      <w:r>
        <w:rPr>
          <w:color w:val="000000" w:themeColor="text1"/>
          <w:spacing w:val="-8"/>
        </w:rPr>
        <w:t>а</w:t>
      </w:r>
      <w:r>
        <w:rPr>
          <w:color w:val="000000" w:themeColor="text1"/>
          <w:spacing w:val="-8"/>
        </w:rPr>
        <w:t xml:space="preserve"> от 02.12.1990 N 395-1 "О банках и банковской деятельности"</w:t>
      </w:r>
      <w:r>
        <w:rPr>
          <w:color w:val="000000" w:themeColor="text1"/>
          <w:spacing w:val="-8"/>
        </w:rPr>
        <w:t>.</w:t>
      </w:r>
    </w:p>
    <w:p>
      <w:pPr>
        <w:pStyle w:val="Normal"/>
        <w:bidi w:val="0"/>
        <w:spacing w:before="0" w:after="0"/>
        <w:jc w:val="both"/>
        <w:rPr>
          <w:color w:val="800000"/>
        </w:rPr>
      </w:pPr>
      <w:r>
        <w:rPr>
          <w:color w:val="800000"/>
        </w:rPr>
      </w:r>
    </w:p>
    <w:p>
      <w:pPr>
        <w:pStyle w:val="Normal"/>
        <w:widowControl/>
        <w:tabs>
          <w:tab w:val="left" w:pos="4479" w:leader="none"/>
          <w:tab w:val="left" w:pos="5840" w:leader="none"/>
          <w:tab w:val="left" w:pos="6322" w:leader="none"/>
          <w:tab w:val="left" w:pos="6719" w:leader="none"/>
          <w:tab w:val="left" w:pos="6974" w:leader="none"/>
          <w:tab w:val="left" w:pos="8760" w:leader="none"/>
          <w:tab w:val="left" w:pos="9100" w:leader="none"/>
          <w:tab w:val="left" w:pos="9440" w:leader="none"/>
        </w:tabs>
        <w:bidi w:val="0"/>
        <w:spacing w:before="0" w:after="0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>Изменения № 2 внесены общим собранием акционеров кредитной организации, протокол № 60 от  2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>6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 июня  2018 года.</w:t>
      </w:r>
    </w:p>
    <w:p>
      <w:pPr>
        <w:pStyle w:val="Normal"/>
        <w:widowControl/>
        <w:tabs>
          <w:tab w:val="left" w:pos="4479" w:leader="none"/>
          <w:tab w:val="left" w:pos="5840" w:leader="none"/>
          <w:tab w:val="left" w:pos="6322" w:leader="none"/>
          <w:tab w:val="left" w:pos="6719" w:leader="none"/>
          <w:tab w:val="left" w:pos="6974" w:leader="none"/>
          <w:tab w:val="left" w:pos="8760" w:leader="none"/>
          <w:tab w:val="left" w:pos="9100" w:leader="none"/>
          <w:tab w:val="left" w:pos="9440" w:leader="none"/>
        </w:tabs>
        <w:bidi w:val="0"/>
        <w:spacing w:before="0"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widowControl/>
        <w:tabs>
          <w:tab w:val="left" w:pos="4479" w:leader="none"/>
          <w:tab w:val="left" w:pos="5840" w:leader="none"/>
          <w:tab w:val="left" w:pos="6322" w:leader="none"/>
          <w:tab w:val="left" w:pos="6719" w:leader="none"/>
          <w:tab w:val="left" w:pos="6974" w:leader="none"/>
          <w:tab w:val="left" w:pos="8760" w:leader="none"/>
          <w:tab w:val="left" w:pos="9100" w:leader="none"/>
          <w:tab w:val="left" w:pos="9440" w:leader="none"/>
        </w:tabs>
        <w:bidi w:val="0"/>
        <w:spacing w:before="0"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widowControl/>
        <w:tabs>
          <w:tab w:val="left" w:pos="4479" w:leader="none"/>
          <w:tab w:val="left" w:pos="5840" w:leader="none"/>
          <w:tab w:val="left" w:pos="6322" w:leader="none"/>
          <w:tab w:val="left" w:pos="6719" w:leader="none"/>
          <w:tab w:val="left" w:pos="6974" w:leader="none"/>
          <w:tab w:val="left" w:pos="8760" w:leader="none"/>
          <w:tab w:val="left" w:pos="9100" w:leader="none"/>
          <w:tab w:val="left" w:pos="9440" w:leader="none"/>
        </w:tabs>
        <w:bidi w:val="0"/>
        <w:spacing w:before="0"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widowControl/>
        <w:bidi w:val="0"/>
        <w:spacing w:before="0" w:after="0"/>
        <w:jc w:val="left"/>
        <w:rPr>
          <w:rFonts w:ascii="Times New Roman" w:hAnsi="Times New Roman" w:cs="Times New Roman"/>
          <w:b/>
          <w:b/>
          <w:b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 w:themeColor="text1"/>
          <w:sz w:val="24"/>
          <w:szCs w:val="24"/>
        </w:rPr>
        <w:t>Председатель Совета директоров</w:t>
      </w:r>
    </w:p>
    <w:p>
      <w:pPr>
        <w:pStyle w:val="Normal"/>
        <w:widowControl/>
        <w:bidi w:val="0"/>
        <w:spacing w:before="0" w:after="0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widowControl/>
        <w:bidi w:val="0"/>
        <w:spacing w:before="0" w:after="0"/>
        <w:jc w:val="left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>АО «СЕВЗАПИНВЕСТПРОМБАНК»                               ______________ /Ильин П.В./</w:t>
      </w:r>
    </w:p>
    <w:sectPr>
      <w:footerReference w:type="default" r:id="rId2"/>
      <w:footerReference w:type="first" r:id="rId3"/>
      <w:type w:val="nextPage"/>
      <w:pgSz w:w="11906" w:h="16838"/>
      <w:pgMar w:left="1134" w:right="1134" w:header="0" w:top="1134" w:footer="1134" w:bottom="1647" w:gutter="0"/>
      <w:pgNumType w:fmt="decimal"/>
      <w:formProt w:val="false"/>
      <w:titlePg/>
      <w:textDirection w:val="lrTb"/>
      <w:docGrid w:type="default" w:linePitch="326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9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3</w:t>
    </w:r>
    <w: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9"/>
      <w:jc w:val="right"/>
      <w:rPr/>
    </w:pPr>
    <w:r>
      <w:rPr/>
    </w:r>
  </w:p>
</w:ftr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45e9d"/>
    <w:pPr>
      <w:widowControl w:val="false"/>
      <w:bidi w:val="0"/>
      <w:jc w:val="left"/>
    </w:pPr>
    <w:rPr>
      <w:rFonts w:ascii="Arial" w:hAnsi="Arial" w:eastAsia="Times New Roman" w:cs="Arial"/>
      <w:color w:val="00000A"/>
      <w:sz w:val="20"/>
      <w:szCs w:val="20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 w:customStyle="1">
    <w:name w:val="Заголовок"/>
    <w:basedOn w:val="Normal"/>
    <w:next w:val="Style15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88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486e52"/>
    <w:pPr>
      <w:widowControl/>
      <w:spacing w:lineRule="auto" w:line="288" w:beforeAutospacing="1" w:after="142"/>
    </w:pPr>
    <w:rPr>
      <w:rFonts w:ascii="Times New Roman" w:hAnsi="Times New Roman" w:cs="Times New Roman"/>
      <w:color w:val="00000A"/>
      <w:sz w:val="24"/>
      <w:szCs w:val="24"/>
    </w:rPr>
  </w:style>
  <w:style w:type="paragraph" w:styleId="Western" w:customStyle="1">
    <w:name w:val="western"/>
    <w:basedOn w:val="Normal"/>
    <w:qFormat/>
    <w:rsid w:val="00486e52"/>
    <w:pPr>
      <w:widowControl/>
      <w:spacing w:lineRule="auto" w:line="288" w:beforeAutospacing="1" w:after="142"/>
    </w:pPr>
    <w:rPr>
      <w:color w:val="00000A"/>
    </w:rPr>
  </w:style>
  <w:style w:type="paragraph" w:styleId="Style19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884</TotalTime>
  <Application>LibreOffice/5.2.7.2$Windows_x86 LibreOffice_project/2b7f1e640c46ceb28adf43ee075a6e8b8439ed10</Application>
  <Pages>3</Pages>
  <Words>800</Words>
  <Characters>5747</Characters>
  <CharactersWithSpaces>6552</CharactersWithSpaces>
  <Paragraphs>30</Paragraphs>
  <Company>nwipbank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2018-05-08T07:28:00Z</dcterms:created>
  <dc:creator>Бархатова Елена Валерьевна</dc:creator>
  <dc:description/>
  <dc:language>ru-RU</dc:language>
  <cp:lastModifiedBy/>
  <cp:lastPrinted>2018-07-18T09:38:25Z</cp:lastPrinted>
  <dcterms:modified xsi:type="dcterms:W3CDTF">2018-07-18T11:17:39Z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nwipbank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