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widowControl w:val="1"/>
        <w:spacing w:after="240"/>
        <w:ind w:left="5897"/>
        <w:rPr>
          <w:sz w:val="22"/>
        </w:rPr>
      </w:pPr>
      <w:r>
        <w:t>П</w:t>
      </w:r>
      <w:r>
        <w:rPr>
          <w:sz w:val="22"/>
        </w:rPr>
        <w:t>риложение 3</w:t>
      </w:r>
      <w:r>
        <w:rPr>
          <w:sz w:val="22"/>
        </w:rPr>
        <w:br/>
      </w:r>
      <w:r>
        <w:rPr>
          <w:sz w:val="22"/>
        </w:rPr>
        <w:t>к Положению Банка России</w:t>
      </w:r>
      <w:r>
        <w:rPr>
          <w:sz w:val="22"/>
        </w:rPr>
        <w:br/>
      </w:r>
      <w:r>
        <w:rPr>
          <w:sz w:val="22"/>
        </w:rPr>
        <w:t>от 27 марта 2020 года № 714-П</w:t>
      </w:r>
      <w:r>
        <w:rPr>
          <w:sz w:val="22"/>
        </w:rPr>
        <w:br/>
      </w:r>
      <w:r>
        <w:rPr>
          <w:sz w:val="22"/>
        </w:rPr>
        <w:t>«О раскрытии информации эмитентами эмиссионных ценных бумаг»</w:t>
      </w:r>
    </w:p>
    <w:p w14:paraId="04000000">
      <w:pPr>
        <w:widowControl w:val="1"/>
        <w:spacing w:before="1320"/>
        <w:ind/>
        <w:jc w:val="center"/>
        <w:rPr>
          <w:b w:val="1"/>
          <w:sz w:val="34"/>
        </w:rPr>
      </w:pPr>
      <w:r>
        <w:rPr>
          <w:b w:val="1"/>
          <w:sz w:val="34"/>
        </w:rPr>
        <w:t xml:space="preserve">ОТЧЕТ ЭМИТЕНТА </w:t>
      </w:r>
      <w:r>
        <w:rPr>
          <w:b w:val="1"/>
          <w:sz w:val="34"/>
        </w:rPr>
        <w:br/>
      </w:r>
      <w:r>
        <w:rPr>
          <w:b w:val="1"/>
          <w:sz w:val="34"/>
        </w:rPr>
        <w:t>ЭМИССИОННЫХ ЦЕННЫХ БУМАГ</w:t>
      </w:r>
    </w:p>
    <w:p w14:paraId="05000000">
      <w:pPr>
        <w:rPr>
          <w:sz w:val="28"/>
        </w:rPr>
      </w:pPr>
      <w:r>
        <w:rPr>
          <w:b w:val="1"/>
          <w:i w:val="1"/>
          <w:sz w:val="28"/>
        </w:rPr>
        <w:t>Публичное акционерное общество «Северное управление строительства»</w:t>
      </w:r>
    </w:p>
    <w:p w14:paraId="06000000">
      <w:pPr>
        <w:widowControl w:val="1"/>
        <w:spacing w:after="360"/>
        <w:ind/>
        <w:jc w:val="center"/>
      </w:pPr>
      <w:r>
        <w:t>(полное фирменное наименование (для коммерческой организации)</w:t>
      </w:r>
    </w:p>
    <w:tbl>
      <w:tblPr>
        <w:tblStyle w:val="Style_2"/>
        <w:tblW w:type="auto" w:w="0"/>
        <w:tblInd w:type="dxa" w:w="2552"/>
        <w:tblLayout w:type="fixed"/>
        <w:tblCellMar>
          <w:left w:type="dxa" w:w="28"/>
          <w:right w:type="dxa" w:w="28"/>
        </w:tblCellMar>
      </w:tblPr>
      <w:tblGrid>
        <w:gridCol w:w="2325"/>
        <w:gridCol w:w="3686"/>
      </w:tblGrid>
      <w:tr>
        <w:tc>
          <w:tcPr>
            <w:tcW w:type="dxa" w:w="6011"/>
            <w:gridSpan w:val="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7000000">
            <w:pPr>
              <w:rPr>
                <w:b w:val="1"/>
                <w:i w:val="1"/>
                <w:sz w:val="28"/>
              </w:rPr>
            </w:pPr>
            <w:r>
              <w:rPr>
                <w:b w:val="1"/>
                <w:sz w:val="32"/>
              </w:rPr>
              <w:t>К</w:t>
            </w:r>
            <w:r>
              <w:rPr>
                <w:b w:val="1"/>
                <w:sz w:val="25"/>
              </w:rPr>
              <w:t xml:space="preserve">ОД ЭМИТЕНТА:                     </w:t>
            </w:r>
            <w:r>
              <w:rPr>
                <w:b w:val="1"/>
                <w:i w:val="1"/>
                <w:sz w:val="28"/>
              </w:rPr>
              <w:t>04739-D</w:t>
            </w:r>
          </w:p>
        </w:tc>
      </w:tr>
      <w:tr>
        <w:tc>
          <w:tcPr>
            <w:tcW w:type="dxa" w:w="23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3686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8000000">
            <w:pPr>
              <w:widowControl w:val="1"/>
              <w:ind/>
              <w:jc w:val="center"/>
            </w:pPr>
            <w:r>
              <w:t>(уникальный код эмитента)</w:t>
            </w:r>
          </w:p>
        </w:tc>
      </w:tr>
    </w:tbl>
    <w:p w14:paraId="09000000">
      <w:pPr>
        <w:widowControl w:val="1"/>
        <w:ind w:left="2520"/>
      </w:pPr>
    </w:p>
    <w:tbl>
      <w:tblPr>
        <w:tblStyle w:val="Style_2"/>
        <w:tblW w:type="auto" w:w="0"/>
        <w:tblInd w:type="dxa" w:w="2552"/>
        <w:tblLayout w:type="fixed"/>
        <w:tblCellMar>
          <w:left w:type="dxa" w:w="28"/>
          <w:right w:type="dxa" w:w="28"/>
        </w:tblCellMar>
      </w:tblPr>
      <w:tblGrid>
        <w:gridCol w:w="425"/>
        <w:gridCol w:w="5632"/>
      </w:tblGrid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A000000">
            <w:pPr>
              <w:rPr>
                <w:b w:val="1"/>
                <w:sz w:val="25"/>
              </w:rPr>
            </w:pPr>
            <w:r>
              <w:rPr>
                <w:b w:val="1"/>
                <w:sz w:val="25"/>
              </w:rPr>
              <w:t>ЗА</w:t>
            </w:r>
          </w:p>
        </w:tc>
        <w:tc>
          <w:tcPr>
            <w:tcW w:type="dxa" w:w="5632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B000000">
            <w:pPr>
              <w:rPr>
                <w:sz w:val="25"/>
              </w:rPr>
            </w:pPr>
            <w:r>
              <w:rPr>
                <w:sz w:val="25"/>
              </w:rPr>
              <w:t>6 месяцев 2025  года</w:t>
            </w:r>
          </w:p>
        </w:tc>
      </w:tr>
      <w:tr>
        <w:tc>
          <w:tcPr>
            <w:tcW w:type="dxa" w:w="425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5632"/>
            <w:tcBorders>
              <w:top w:color="000000" w:sz="4" w:val="single"/>
              <w:left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0C000000">
            <w:pPr>
              <w:widowControl w:val="1"/>
              <w:ind/>
              <w:jc w:val="center"/>
              <w:rPr>
                <w:sz w:val="20"/>
              </w:rPr>
            </w:pPr>
            <w:r>
              <w:rPr>
                <w:sz w:val="20"/>
              </w:rPr>
              <w:t>(отчетный период, за который  составлен отчет эмитента)</w:t>
            </w:r>
          </w:p>
        </w:tc>
      </w:tr>
    </w:tbl>
    <w:p w14:paraId="0D000000">
      <w:pPr>
        <w:widowControl w:val="1"/>
        <w:spacing w:after="360" w:before="360"/>
        <w:ind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Информация, содержащаяся в настоящем отчете эмитента,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t>подлежит раскрытию в соответствии с законодательством Российской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t>Федерации о ценных бумагах.</w:t>
      </w:r>
    </w:p>
    <w:tbl>
      <w:tblPr>
        <w:tblStyle w:val="Style_2"/>
        <w:tblW w:type="auto" w:w="0"/>
        <w:tblLayout w:type="fixed"/>
        <w:tblCellMar>
          <w:left w:type="dxa" w:w="28"/>
          <w:right w:type="dxa" w:w="28"/>
        </w:tblCellMar>
      </w:tblPr>
      <w:tblGrid>
        <w:gridCol w:w="2775"/>
        <w:gridCol w:w="6067"/>
        <w:gridCol w:w="796"/>
      </w:tblGrid>
      <w:tr>
        <w:tc>
          <w:tcPr>
            <w:tcW w:type="dxa" w:w="2775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E000000">
            <w:pPr>
              <w:pageBreakBefore w:val="1"/>
              <w:widowControl w:val="1"/>
              <w:spacing w:before="24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эмитента</w:t>
            </w:r>
          </w:p>
        </w:tc>
        <w:tc>
          <w:tcPr>
            <w:tcW w:type="dxa" w:w="606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0F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188540, г. Сосновый Бор Ленинградской области, ул. Ленинградская д.7</w:t>
            </w:r>
          </w:p>
        </w:tc>
        <w:tc>
          <w:tcPr>
            <w:tcW w:type="dxa" w:w="796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0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1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200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эмитента, содержащийся в едином государственном реестре юридических лиц)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3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4000000">
            <w:pPr>
              <w:widowControl w:val="1"/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5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 xml:space="preserve">начальник юридического отдела, Голей Павел Игоревич, 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6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7000000">
            <w:pPr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800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(должность, фамилия, имя, отчество (последнее при наличии) контактного лица эмитента)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9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vMerge w:val="restart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A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Контактное лицо 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эмитента</w:t>
            </w: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B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(81369) 2-24-15 доб.77-07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C000000">
            <w:pPr>
              <w:rPr>
                <w:rFonts w:ascii="Times New Roman" w:hAnsi="Times New Roman"/>
              </w:rPr>
            </w:pPr>
          </w:p>
        </w:tc>
      </w:tr>
      <w:tr>
        <w:tc>
          <w:tcPr>
            <w:tcW w:type="dxa" w:w="2775"/>
            <w:gridSpan w:val="1"/>
            <w:vMerge w:val="continue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  <w:tc>
          <w:tcPr>
            <w:tcW w:type="dxa" w:w="606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D00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(номер (номера) телефона контактного лица эмитента)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1E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exact" w:val="204"/>
        </w:trPr>
        <w:tc>
          <w:tcPr>
            <w:tcW w:type="dxa" w:w="2775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1F000000">
            <w:pPr>
              <w:widowControl w:val="1"/>
              <w:spacing w:before="240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0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p.goley@titan2.ru</w:t>
            </w:r>
          </w:p>
        </w:tc>
        <w:tc>
          <w:tcPr>
            <w:tcW w:type="dxa" w:w="79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1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364"/>
        </w:trPr>
        <w:tc>
          <w:tcPr>
            <w:tcW w:type="dxa" w:w="2775"/>
            <w:tcBorders>
              <w:top w:sz="4" w:val="nil"/>
              <w:left w:color="000000" w:sz="4" w:val="single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2000000">
            <w:pPr>
              <w:widowControl w:val="1"/>
              <w:spacing w:after="240"/>
              <w:ind/>
              <w:rPr>
                <w:rFonts w:ascii="Times New Roman" w:hAnsi="Times New Roman"/>
              </w:rPr>
            </w:pPr>
          </w:p>
        </w:tc>
        <w:tc>
          <w:tcPr>
            <w:tcW w:type="dxa" w:w="606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3000000">
            <w:pPr>
              <w:widowControl w:val="1"/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электронной почты контактного лица (если имеется)</w:t>
            </w:r>
          </w:p>
        </w:tc>
        <w:tc>
          <w:tcPr>
            <w:tcW w:type="dxa" w:w="796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4000000">
            <w:pPr>
              <w:widowControl w:val="1"/>
              <w:spacing w:after="240"/>
              <w:ind/>
              <w:rPr>
                <w:rFonts w:ascii="Times New Roman" w:hAnsi="Times New Roman"/>
              </w:rPr>
            </w:pPr>
          </w:p>
        </w:tc>
      </w:tr>
    </w:tbl>
    <w:p w14:paraId="25000000">
      <w:pPr>
        <w:rPr>
          <w:rFonts w:ascii="Times New Roman" w:hAnsi="Times New Roman"/>
        </w:rPr>
      </w:pPr>
    </w:p>
    <w:tbl>
      <w:tblPr>
        <w:tblStyle w:val="Style_2"/>
        <w:tblW w:type="auto" w:w="0"/>
        <w:tblLayout w:type="fixed"/>
        <w:tblCellMar>
          <w:left w:type="dxa" w:w="28"/>
          <w:right w:type="dxa" w:w="28"/>
        </w:tblCellMar>
      </w:tblPr>
      <w:tblGrid>
        <w:gridCol w:w="2892"/>
        <w:gridCol w:w="227"/>
        <w:gridCol w:w="6284"/>
        <w:gridCol w:w="227"/>
        <w:gridCol w:w="76"/>
      </w:tblGrid>
      <w:tr>
        <w:tc>
          <w:tcPr>
            <w:tcW w:type="dxa" w:w="2892"/>
            <w:vMerge w:val="restart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6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страницы в сети Интернет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7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628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8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disclosure.1prime.ru/Portal/</w:t>
            </w:r>
            <w:r>
              <w:rPr>
                <w:rFonts w:ascii="Times New Roman" w:hAnsi="Times New Roman"/>
                <w:b w:val="1"/>
              </w:rPr>
              <w:t>Default.aspx?emId</w:t>
            </w:r>
            <w:r>
              <w:rPr>
                <w:rFonts w:ascii="Times New Roman" w:hAnsi="Times New Roman"/>
                <w:b w:val="1"/>
              </w:rPr>
              <w:t>=4714000211</w:t>
            </w:r>
          </w:p>
        </w:tc>
        <w:tc>
          <w:tcPr>
            <w:tcW w:type="dxa" w:w="227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9000000">
            <w:pPr>
              <w:rPr>
                <w:rFonts w:ascii="Times New Roman" w:hAnsi="Times New Roman"/>
              </w:rPr>
            </w:pPr>
          </w:p>
        </w:tc>
        <w:tc>
          <w:tcPr>
            <w:tcW w:type="dxa" w:w="76"/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</w:tr>
      <w:tr>
        <w:trPr>
          <w:trHeight w:hRule="atLeast" w:val="542"/>
        </w:trPr>
        <w:tc>
          <w:tcPr>
            <w:tcW w:type="dxa" w:w="289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/>
        </w:tc>
        <w:tc>
          <w:tcPr>
            <w:tcW w:type="dxa" w:w="6814"/>
            <w:gridSpan w:val="4"/>
            <w:tcBorders>
              <w:top w:sz="4" w:val="nil"/>
              <w:left w:sz="4" w:val="nil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2A000000">
            <w:pPr>
              <w:widowControl w:val="1"/>
              <w:spacing w:after="240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(адрес страницы в сети «Интернет», на которой раскрывается информация, содержащаяся в настоящем отчете эмитента)</w:t>
            </w:r>
          </w:p>
        </w:tc>
      </w:tr>
    </w:tbl>
    <w:p w14:paraId="2B000000">
      <w:pPr>
        <w:rPr>
          <w:rFonts w:ascii="Times New Roman" w:hAnsi="Times New Roman"/>
        </w:rPr>
      </w:pP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  <w:tblCellMar>
          <w:left w:type="dxa" w:w="28"/>
          <w:right w:type="dxa" w:w="28"/>
        </w:tblCellMar>
      </w:tblPr>
      <w:tblGrid>
        <w:gridCol w:w="169"/>
        <w:gridCol w:w="142"/>
        <w:gridCol w:w="454"/>
        <w:gridCol w:w="227"/>
        <w:gridCol w:w="1701"/>
        <w:gridCol w:w="340"/>
        <w:gridCol w:w="340"/>
        <w:gridCol w:w="2750"/>
        <w:gridCol w:w="284"/>
        <w:gridCol w:w="1134"/>
        <w:gridCol w:w="170"/>
        <w:gridCol w:w="1588"/>
        <w:gridCol w:w="339"/>
      </w:tblGrid>
      <w:tr>
        <w:trPr>
          <w:trHeight w:hRule="atLeast" w:val="490"/>
        </w:trPr>
        <w:tc>
          <w:tcPr>
            <w:tcW w:type="dxa" w:w="169"/>
            <w:tcBorders>
              <w:top w:color="000000" w:sz="4" w:val="single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C000000">
            <w:pPr>
              <w:widowControl w:val="1"/>
              <w:ind w:left="57"/>
              <w:rPr>
                <w:rFonts w:ascii="Times New Roman" w:hAnsi="Times New Roman"/>
              </w:rPr>
            </w:pPr>
          </w:p>
        </w:tc>
        <w:tc>
          <w:tcPr>
            <w:tcW w:type="dxa" w:w="5954"/>
            <w:gridSpan w:val="7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D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 w:val="1"/>
              </w:rPr>
              <w:t>Генеральный директор</w:t>
            </w:r>
            <w:r>
              <w:rPr>
                <w:rFonts w:ascii="Times New Roman" w:hAnsi="Times New Roman"/>
              </w:rPr>
              <w:t>, на основании Устава</w:t>
            </w:r>
          </w:p>
        </w:tc>
        <w:tc>
          <w:tcPr>
            <w:tcW w:type="dxa" w:w="28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E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134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2F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</w:p>
        </w:tc>
        <w:tc>
          <w:tcPr>
            <w:tcW w:type="dxa" w:w="17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0000000">
            <w:pPr>
              <w:rPr>
                <w:rFonts w:ascii="Times New Roman" w:hAnsi="Times New Roman"/>
              </w:rPr>
            </w:pPr>
          </w:p>
        </w:tc>
        <w:tc>
          <w:tcPr>
            <w:tcW w:type="dxa" w:w="1588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1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Е.А. Яценко</w:t>
            </w:r>
          </w:p>
        </w:tc>
        <w:tc>
          <w:tcPr>
            <w:tcW w:type="dxa" w:w="339"/>
            <w:tcBorders>
              <w:top w:color="000000" w:sz="4" w:val="single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2000000">
            <w:pPr>
              <w:rPr>
                <w:rFonts w:ascii="Times New Roman" w:hAnsi="Times New Roman"/>
              </w:rPr>
            </w:pPr>
          </w:p>
        </w:tc>
      </w:tr>
      <w:tr>
        <w:trPr>
          <w:trHeight w:hRule="atLeast" w:val="490"/>
        </w:trPr>
        <w:tc>
          <w:tcPr>
            <w:tcW w:type="dxa" w:w="169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3000000">
            <w:pPr>
              <w:widowControl w:val="1"/>
              <w:ind w:left="57"/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5954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4000000">
            <w:pPr>
              <w:widowControl w:val="1"/>
              <w:ind/>
              <w:jc w:val="center"/>
              <w:rPr>
                <w:rFonts w:ascii="Times New Roman" w:hAnsi="Times New Roman"/>
                <w:spacing w:val="-4"/>
                <w:sz w:val="20"/>
              </w:rPr>
            </w:pPr>
            <w:r>
              <w:rPr>
                <w:rFonts w:ascii="Times New Roman" w:hAnsi="Times New Roman"/>
                <w:spacing w:val="-4"/>
                <w:sz w:val="20"/>
              </w:rPr>
              <w:t xml:space="preserve">(наименование должности лица, осуществляющего функции единоличного исполнительного органа, или иного уполномоченного им лица, название, дата и номер документа, на основании которого указанному лицу предоставлено право подписывать отчет эмитента </w:t>
            </w:r>
            <w:r>
              <w:rPr>
                <w:rFonts w:ascii="Times New Roman" w:hAnsi="Times New Roman"/>
                <w:spacing w:val="-4"/>
                <w:sz w:val="20"/>
              </w:rPr>
              <w:br/>
            </w:r>
            <w:r>
              <w:rPr>
                <w:rFonts w:ascii="Times New Roman" w:hAnsi="Times New Roman"/>
                <w:spacing w:val="-4"/>
                <w:sz w:val="20"/>
              </w:rPr>
              <w:t>от имени эмитента)</w:t>
            </w:r>
          </w:p>
        </w:tc>
        <w:tc>
          <w:tcPr>
            <w:tcW w:type="dxa" w:w="28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5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13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6000000">
            <w:pPr>
              <w:widowControl w:val="1"/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(подпись)</w:t>
            </w:r>
          </w:p>
        </w:tc>
        <w:tc>
          <w:tcPr>
            <w:tcW w:type="dxa" w:w="17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7000000">
            <w:pPr>
              <w:rPr>
                <w:rFonts w:ascii="Times New Roman" w:hAnsi="Times New Roman"/>
                <w:spacing w:val="-4"/>
              </w:rPr>
            </w:pPr>
          </w:p>
        </w:tc>
        <w:tc>
          <w:tcPr>
            <w:tcW w:type="dxa" w:w="1588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8000000">
            <w:pPr>
              <w:widowControl w:val="1"/>
              <w:ind/>
              <w:jc w:val="center"/>
              <w:rPr>
                <w:rFonts w:ascii="Times New Roman" w:hAnsi="Times New Roman"/>
                <w:spacing w:val="-4"/>
              </w:rPr>
            </w:pPr>
            <w:r>
              <w:rPr>
                <w:rFonts w:ascii="Times New Roman" w:hAnsi="Times New Roman"/>
                <w:spacing w:val="-4"/>
              </w:rPr>
              <w:t>(И.О. Фамилия)</w:t>
            </w:r>
          </w:p>
        </w:tc>
        <w:tc>
          <w:tcPr>
            <w:tcW w:type="dxa" w:w="339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</w:tcPr>
          <w:p w14:paraId="39000000">
            <w:pPr>
              <w:rPr>
                <w:rFonts w:ascii="Times New Roman" w:hAnsi="Times New Roman"/>
                <w:spacing w:val="-4"/>
              </w:rPr>
            </w:pPr>
          </w:p>
        </w:tc>
      </w:tr>
      <w:tr>
        <w:trPr>
          <w:trHeight w:hRule="atLeast" w:val="490"/>
        </w:trPr>
        <w:tc>
          <w:tcPr>
            <w:tcW w:type="dxa" w:w="311"/>
            <w:gridSpan w:val="2"/>
            <w:tcBorders>
              <w:top w:sz="4" w:val="nil"/>
              <w:left w:color="000000" w:sz="4" w:val="single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A000000">
            <w:pPr>
              <w:widowControl w:val="1"/>
              <w:ind w:left="57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«</w:t>
            </w:r>
          </w:p>
        </w:tc>
        <w:tc>
          <w:tcPr>
            <w:tcW w:type="dxa" w:w="45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B00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</w:p>
        </w:tc>
        <w:tc>
          <w:tcPr>
            <w:tcW w:type="dxa" w:w="22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C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»</w:t>
            </w:r>
          </w:p>
        </w:tc>
        <w:tc>
          <w:tcPr>
            <w:tcW w:type="dxa" w:w="1701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D000000">
            <w:r>
              <w:t>августа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E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</w:p>
        </w:tc>
        <w:tc>
          <w:tcPr>
            <w:tcW w:type="dxa" w:w="34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3F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</w:t>
            </w:r>
          </w:p>
        </w:tc>
        <w:tc>
          <w:tcPr>
            <w:tcW w:type="dxa" w:w="6265"/>
            <w:gridSpan w:val="6"/>
            <w:tcBorders>
              <w:top w:sz="4" w:val="nil"/>
              <w:left w:sz="4" w:val="nil"/>
              <w:bottom w:sz="4" w:val="nil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 w14:paraId="40000000">
            <w:pPr>
              <w:widowControl w:val="1"/>
              <w:ind w:left="5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г.</w:t>
            </w:r>
          </w:p>
        </w:tc>
      </w:tr>
      <w:tr>
        <w:trPr>
          <w:trHeight w:hRule="atLeast" w:val="200"/>
        </w:trPr>
        <w:tc>
          <w:tcPr>
            <w:tcW w:type="dxa" w:w="9638"/>
            <w:gridSpan w:val="13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28"/>
              <w:bottom w:type="dxa" w:w="0"/>
              <w:right w:type="dxa" w:w="28"/>
            </w:tcMar>
            <w:vAlign w:val="bottom"/>
          </w:tcPr>
          <w:p/>
        </w:tc>
      </w:tr>
    </w:tbl>
    <w:p w14:paraId="41000000">
      <w:pPr>
        <w:widowControl w:val="1"/>
        <w:spacing w:before="1320"/>
        <w:ind w:firstLine="283" w:left="-283"/>
        <w:jc w:val="center"/>
        <w:rPr>
          <w:b w:val="1"/>
          <w:sz w:val="32"/>
        </w:rPr>
      </w:pPr>
      <w:r>
        <w:rPr>
          <w:b w:val="1"/>
          <w:sz w:val="34"/>
        </w:rPr>
        <w:t xml:space="preserve"> </w:t>
      </w:r>
    </w:p>
    <w:p w14:paraId="42000000"/>
    <w:p w14:paraId="43000000">
      <w:pPr>
        <w:pStyle w:val="Style_3"/>
        <w:widowControl w:val="1"/>
        <w:ind/>
        <w:jc w:val="center"/>
      </w:pPr>
      <w:r>
        <w:t>Оглавление</w:t>
      </w:r>
    </w:p>
    <w:p w14:paraId="44000000">
      <w:r>
        <w:t>В</w:t>
      </w:r>
    </w:p>
    <w:p>
      <w:pPr>
        <w:pStyle w:val="Style_4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 xml:space="preserve">TOC \h \z \u \o "1-3" \t "heading 1,1,heading 2,2,heading 3,3"</w:instrText>
      </w:r>
      <w:r>
        <w:rPr>
          <w:b w:val="1"/>
        </w:rPr>
        <w:fldChar w:fldCharType="separate"/>
      </w:r>
      <w:r>
        <w:rPr>
          <w:b w:val="1"/>
        </w:rPr>
        <w:fldChar w:fldCharType="begin"/>
      </w:r>
      <w:r>
        <w:rPr>
          <w:b w:val="1"/>
        </w:rPr>
        <w:instrText>HYPERLINK \l "__RefHeading___34"</w:instrText>
      </w:r>
      <w:r>
        <w:rPr>
          <w:b w:val="1"/>
        </w:rPr>
        <w:fldChar w:fldCharType="separate"/>
      </w:r>
      <w:r>
        <w:rPr>
          <w:b w:val="1"/>
        </w:rPr>
        <w:t>Раздел I. Управленческий отчет эмитента</w:t>
      </w:r>
      <w:r>
        <w:tab/>
      </w:r>
      <w:r>
        <w:fldChar w:fldCharType="begin"/>
      </w:r>
      <w:r>
        <w:instrText>PAGEREF __RefHeading___34 \h</w:instrText>
      </w:r>
      <w:r>
        <w:fldChar w:fldCharType="separate"/>
      </w:r>
      <w:r>
        <w:t>5</w:t>
      </w:r>
      <w:r>
        <w:fldChar w:fldCharType="end"/>
      </w:r>
      <w:r>
        <w:rPr>
          <w:b w:val="1"/>
        </w:rPr>
        <w:fldChar w:fldCharType="end"/>
      </w:r>
    </w:p>
    <w:p w14:paraId="46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"__RefHeading___35"</w:instrText>
      </w:r>
      <w:r>
        <w:rPr>
          <w:b w:val="1"/>
        </w:rPr>
        <w:fldChar w:fldCharType="separate"/>
      </w:r>
      <w:r>
        <w:rPr>
          <w:b w:val="1"/>
        </w:rPr>
        <w:t>1.1. Общие сведения об эмитенте и его деятельности</w:t>
      </w:r>
      <w:r>
        <w:tab/>
      </w:r>
      <w:r>
        <w:fldChar w:fldCharType="begin"/>
      </w:r>
      <w:r>
        <w:instrText>PAGEREF __RefHeading___35 \h</w:instrText>
      </w:r>
      <w:r>
        <w:fldChar w:fldCharType="separate"/>
      </w:r>
      <w:r>
        <w:t>5</w:t>
      </w:r>
      <w:r>
        <w:fldChar w:fldCharType="end"/>
      </w:r>
      <w:r>
        <w:rPr>
          <w:b w:val="1"/>
        </w:rPr>
        <w:fldChar w:fldCharType="end"/>
      </w:r>
    </w:p>
    <w:p w14:paraId="47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"__RefHeading___36"</w:instrText>
      </w:r>
      <w:r>
        <w:rPr>
          <w:b w:val="1"/>
        </w:rPr>
        <w:fldChar w:fldCharType="separate"/>
      </w:r>
      <w:r>
        <w:rPr>
          <w:b w:val="1"/>
        </w:rPr>
        <w:t>1.2. Сведения о положении эмитента в отрасли</w:t>
      </w:r>
      <w:r>
        <w:tab/>
      </w:r>
      <w:r>
        <w:fldChar w:fldCharType="begin"/>
      </w:r>
      <w:r>
        <w:instrText>PAGEREF __RefHeading___36 \h</w:instrText>
      </w:r>
      <w:r>
        <w:fldChar w:fldCharType="separate"/>
      </w:r>
      <w:r>
        <w:t>5</w:t>
      </w:r>
      <w:r>
        <w:fldChar w:fldCharType="end"/>
      </w:r>
      <w:r>
        <w:rPr>
          <w:b w:val="1"/>
        </w:rPr>
        <w:fldChar w:fldCharType="end"/>
      </w:r>
    </w:p>
    <w:p w14:paraId="48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"__RefHeading___37"</w:instrText>
      </w:r>
      <w:r>
        <w:rPr>
          <w:b w:val="1"/>
        </w:rPr>
        <w:fldChar w:fldCharType="separate"/>
      </w:r>
      <w:r>
        <w:rPr>
          <w:b w:val="1"/>
        </w:rPr>
        <w:t>1.3. Основные операционные показатели, характеризующие деятельность эмитента.</w:t>
      </w:r>
      <w:r>
        <w:tab/>
      </w:r>
      <w:r>
        <w:fldChar w:fldCharType="begin"/>
      </w:r>
      <w:r>
        <w:instrText>PAGEREF __RefHeading___37 \h</w:instrText>
      </w:r>
      <w:r>
        <w:fldChar w:fldCharType="separate"/>
      </w:r>
      <w:r>
        <w:t>7</w:t>
      </w:r>
      <w:r>
        <w:fldChar w:fldCharType="end"/>
      </w:r>
      <w:r>
        <w:rPr>
          <w:b w:val="1"/>
        </w:rPr>
        <w:fldChar w:fldCharType="end"/>
      </w:r>
    </w:p>
    <w:p w14:paraId="49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"__RefHeading___38"</w:instrText>
      </w:r>
      <w:r>
        <w:rPr>
          <w:b w:val="1"/>
        </w:rPr>
        <w:fldChar w:fldCharType="separate"/>
      </w:r>
      <w:r>
        <w:rPr>
          <w:b w:val="1"/>
        </w:rPr>
        <w:t>1.4. Основные финансовые показатели ПАО «СУС»</w:t>
      </w:r>
      <w:r>
        <w:tab/>
      </w:r>
      <w:r>
        <w:fldChar w:fldCharType="begin"/>
      </w:r>
      <w:r>
        <w:instrText>PAGEREF __RefHeading___38 \h</w:instrText>
      </w:r>
      <w:r>
        <w:fldChar w:fldCharType="separate"/>
      </w:r>
      <w:r>
        <w:t>9</w:t>
      </w:r>
      <w:r>
        <w:fldChar w:fldCharType="end"/>
      </w:r>
      <w:r>
        <w:rPr>
          <w:b w:val="1"/>
        </w:rPr>
        <w:fldChar w:fldCharType="end"/>
      </w:r>
    </w:p>
    <w:p w14:paraId="4A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"__RefHeading___39"</w:instrText>
      </w:r>
      <w:r>
        <w:rPr>
          <w:b w:val="1"/>
        </w:rPr>
        <w:fldChar w:fldCharType="separate"/>
      </w:r>
      <w:r>
        <w:rPr>
          <w:b w:val="1"/>
        </w:rPr>
        <w:t>1.5. Сведения об основных поставщиках эмитента</w:t>
      </w:r>
      <w:r>
        <w:tab/>
      </w:r>
      <w:r>
        <w:fldChar w:fldCharType="begin"/>
      </w:r>
      <w:r>
        <w:instrText>PAGEREF __RefHeading___39 \h</w:instrText>
      </w:r>
      <w:r>
        <w:fldChar w:fldCharType="separate"/>
      </w:r>
      <w:r>
        <w:t>9</w:t>
      </w:r>
      <w:r>
        <w:fldChar w:fldCharType="end"/>
      </w:r>
      <w:r>
        <w:rPr>
          <w:b w:val="1"/>
        </w:rPr>
        <w:fldChar w:fldCharType="end"/>
      </w:r>
    </w:p>
    <w:p w14:paraId="4B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"__RefHeading___40"</w:instrText>
      </w:r>
      <w:r>
        <w:rPr>
          <w:b w:val="1"/>
        </w:rPr>
        <w:fldChar w:fldCharType="separate"/>
      </w:r>
      <w:r>
        <w:rPr>
          <w:b w:val="1"/>
        </w:rPr>
        <w:t>1.6. Сведения об основных дебиторах эмитента</w:t>
      </w:r>
      <w:r>
        <w:tab/>
      </w:r>
      <w:r>
        <w:fldChar w:fldCharType="begin"/>
      </w:r>
      <w:r>
        <w:instrText>PAGEREF __RefHeading___40 \h</w:instrText>
      </w:r>
      <w:r>
        <w:fldChar w:fldCharType="separate"/>
      </w:r>
      <w:r>
        <w:t>9</w:t>
      </w:r>
      <w:r>
        <w:fldChar w:fldCharType="end"/>
      </w:r>
      <w:r>
        <w:rPr>
          <w:b w:val="1"/>
        </w:rPr>
        <w:fldChar w:fldCharType="end"/>
      </w:r>
    </w:p>
    <w:p w14:paraId="4C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"__RefHeading___41"</w:instrText>
      </w:r>
      <w:r>
        <w:rPr>
          <w:b w:val="1"/>
        </w:rPr>
        <w:fldChar w:fldCharType="separate"/>
      </w:r>
      <w:r>
        <w:rPr>
          <w:b w:val="1"/>
        </w:rPr>
        <w:t>1.7. Сведения об обязательствах эмитента</w:t>
      </w:r>
      <w:r>
        <w:tab/>
      </w:r>
      <w:r>
        <w:fldChar w:fldCharType="begin"/>
      </w:r>
      <w:r>
        <w:instrText>PAGEREF __RefHeading___41 \h</w:instrText>
      </w:r>
      <w:r>
        <w:fldChar w:fldCharType="separate"/>
      </w:r>
      <w:r>
        <w:t>9</w:t>
      </w:r>
      <w:r>
        <w:fldChar w:fldCharType="end"/>
      </w:r>
      <w:r>
        <w:rPr>
          <w:b w:val="1"/>
        </w:rPr>
        <w:fldChar w:fldCharType="end"/>
      </w:r>
    </w:p>
    <w:p w14:paraId="4D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"__RefHeading___42"</w:instrText>
      </w:r>
      <w:r>
        <w:rPr>
          <w:b w:val="1"/>
        </w:rPr>
        <w:fldChar w:fldCharType="separate"/>
      </w:r>
      <w:r>
        <w:rPr>
          <w:b w:val="1"/>
        </w:rPr>
        <w:t>1.8. Сведения о перспективах развития эмитента</w:t>
      </w:r>
      <w:r>
        <w:tab/>
      </w:r>
      <w:r>
        <w:fldChar w:fldCharType="begin"/>
      </w:r>
      <w:r>
        <w:instrText>PAGEREF __RefHeading___42 \h</w:instrText>
      </w:r>
      <w:r>
        <w:fldChar w:fldCharType="separate"/>
      </w:r>
      <w:r>
        <w:t>9</w:t>
      </w:r>
      <w:r>
        <w:fldChar w:fldCharType="end"/>
      </w:r>
      <w:r>
        <w:rPr>
          <w:b w:val="1"/>
        </w:rPr>
        <w:fldChar w:fldCharType="end"/>
      </w:r>
    </w:p>
    <w:p w14:paraId="4E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"__RefHeading___43"</w:instrText>
      </w:r>
      <w:r>
        <w:rPr>
          <w:b w:val="1"/>
        </w:rPr>
        <w:fldChar w:fldCharType="separate"/>
      </w:r>
      <w:r>
        <w:rPr>
          <w:b w:val="1"/>
        </w:rPr>
        <w:t>1.9. Сведения о рисках, связанных с деятельностью эмитента</w:t>
      </w:r>
      <w:r>
        <w:tab/>
      </w:r>
      <w:r>
        <w:fldChar w:fldCharType="begin"/>
      </w:r>
      <w:r>
        <w:instrText>PAGEREF __RefHeading___43 \h</w:instrText>
      </w:r>
      <w:r>
        <w:fldChar w:fldCharType="separate"/>
      </w:r>
      <w:r>
        <w:t>11</w:t>
      </w:r>
      <w:r>
        <w:fldChar w:fldCharType="end"/>
      </w:r>
      <w:r>
        <w:rPr>
          <w:b w:val="1"/>
        </w:rPr>
        <w:fldChar w:fldCharType="end"/>
      </w:r>
    </w:p>
    <w:p w14:paraId="4F000000">
      <w:pPr>
        <w:pStyle w:val="Style_4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"__RefHeading___44"</w:instrText>
      </w:r>
      <w:r>
        <w:rPr>
          <w:b w:val="1"/>
        </w:rPr>
        <w:fldChar w:fldCharType="separate"/>
      </w:r>
      <w:r>
        <w:rPr>
          <w:b w:val="1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 - хозяйственной деятельностью и внутреннего контроля, внутреннего аудита, а также сведения о работниках эмитента</w:t>
      </w:r>
      <w:r>
        <w:tab/>
      </w:r>
      <w:r>
        <w:fldChar w:fldCharType="begin"/>
      </w:r>
      <w:r>
        <w:instrText>PAGEREF __RefHeading___44 \h</w:instrText>
      </w:r>
      <w:r>
        <w:fldChar w:fldCharType="separate"/>
      </w:r>
      <w:r>
        <w:t>11</w:t>
      </w:r>
      <w:r>
        <w:fldChar w:fldCharType="end"/>
      </w:r>
      <w:r>
        <w:rPr>
          <w:b w:val="1"/>
        </w:rPr>
        <w:fldChar w:fldCharType="end"/>
      </w:r>
    </w:p>
    <w:p w14:paraId="50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"__RefHeading___45"</w:instrText>
      </w:r>
      <w:r>
        <w:rPr>
          <w:b w:val="1"/>
        </w:rPr>
        <w:fldChar w:fldCharType="separate"/>
      </w:r>
      <w:r>
        <w:rPr>
          <w:b w:val="1"/>
        </w:rPr>
        <w:t xml:space="preserve">2.1.    </w:t>
      </w:r>
      <w:r>
        <w:rPr>
          <w:b w:val="1"/>
        </w:rPr>
        <w:t>Информация о лицах, входящих в состав органов управления эмитента</w:t>
      </w:r>
      <w:r>
        <w:tab/>
      </w:r>
      <w:r>
        <w:fldChar w:fldCharType="begin"/>
      </w:r>
      <w:r>
        <w:instrText>PAGEREF __RefHeading___45 \h</w:instrText>
      </w:r>
      <w:r>
        <w:fldChar w:fldCharType="separate"/>
      </w:r>
      <w:r>
        <w:t>11</w:t>
      </w:r>
      <w:r>
        <w:fldChar w:fldCharType="end"/>
      </w:r>
      <w:r>
        <w:rPr>
          <w:b w:val="1"/>
        </w:rPr>
        <w:fldChar w:fldCharType="end"/>
      </w:r>
    </w:p>
    <w:p w14:paraId="51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"__RefHeading___46"</w:instrText>
      </w:r>
      <w:r>
        <w:rPr>
          <w:b w:val="1"/>
        </w:rPr>
        <w:fldChar w:fldCharType="separate"/>
      </w:r>
      <w:r>
        <w:rPr>
          <w:b w:val="1"/>
        </w:rPr>
        <w:t xml:space="preserve">2.2.    </w:t>
      </w:r>
      <w:r>
        <w:rPr>
          <w:b w:val="1"/>
        </w:rPr>
        <w:t>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>
        <w:tab/>
      </w:r>
      <w:r>
        <w:fldChar w:fldCharType="begin"/>
      </w:r>
      <w:r>
        <w:instrText>PAGEREF __RefHeading___46 \h</w:instrText>
      </w:r>
      <w:r>
        <w:fldChar w:fldCharType="separate"/>
      </w:r>
      <w:r>
        <w:t>19</w:t>
      </w:r>
      <w:r>
        <w:fldChar w:fldCharType="end"/>
      </w:r>
      <w:r>
        <w:rPr>
          <w:b w:val="1"/>
        </w:rPr>
        <w:fldChar w:fldCharType="end"/>
      </w:r>
    </w:p>
    <w:p w14:paraId="52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"__RefHeading___47"</w:instrText>
      </w:r>
      <w:r>
        <w:rPr>
          <w:b w:val="1"/>
        </w:rPr>
        <w:fldChar w:fldCharType="separate"/>
      </w:r>
      <w:r>
        <w:rPr>
          <w:b w:val="1"/>
        </w:rPr>
        <w:t xml:space="preserve">2.3.    </w:t>
      </w:r>
      <w:r>
        <w:rPr>
          <w:b w:val="1"/>
        </w:rPr>
        <w:t>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  <w:r>
        <w:tab/>
      </w:r>
      <w:r>
        <w:fldChar w:fldCharType="begin"/>
      </w:r>
      <w:r>
        <w:instrText>PAGEREF __RefHeading___47 \h</w:instrText>
      </w:r>
      <w:r>
        <w:fldChar w:fldCharType="separate"/>
      </w:r>
      <w:r>
        <w:t>19</w:t>
      </w:r>
      <w:r>
        <w:fldChar w:fldCharType="end"/>
      </w:r>
      <w:r>
        <w:rPr>
          <w:b w:val="1"/>
        </w:rPr>
        <w:fldChar w:fldCharType="end"/>
      </w:r>
    </w:p>
    <w:p w14:paraId="53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"__RefHeading___48"</w:instrText>
      </w:r>
      <w:r>
        <w:rPr>
          <w:b w:val="1"/>
        </w:rPr>
        <w:fldChar w:fldCharType="separate"/>
      </w:r>
      <w:r>
        <w:rPr>
          <w:b w:val="1"/>
        </w:rPr>
        <w:t xml:space="preserve">2.4.    </w:t>
      </w:r>
      <w:r>
        <w:rPr>
          <w:b w:val="1"/>
        </w:rPr>
        <w:t>Информация о лицах, ответственных в эмитенте за организацию и осуществление управления рисками, контроля за финансово - хозяйственной деятельностью и внутреннего контроля, внутреннего аудита</w:t>
      </w:r>
      <w:r>
        <w:tab/>
      </w:r>
      <w:r>
        <w:fldChar w:fldCharType="begin"/>
      </w:r>
      <w:r>
        <w:instrText>PAGEREF __RefHeading___48 \h</w:instrText>
      </w:r>
      <w:r>
        <w:fldChar w:fldCharType="separate"/>
      </w:r>
      <w:r>
        <w:t>20</w:t>
      </w:r>
      <w:r>
        <w:fldChar w:fldCharType="end"/>
      </w:r>
      <w:r>
        <w:rPr>
          <w:b w:val="1"/>
        </w:rPr>
        <w:fldChar w:fldCharType="end"/>
      </w:r>
    </w:p>
    <w:p w14:paraId="54000000">
      <w:pPr>
        <w:pStyle w:val="Style_4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"__RefHeading___49"</w:instrText>
      </w:r>
      <w:r>
        <w:rPr>
          <w:b w:val="1"/>
        </w:rPr>
        <w:fldChar w:fldCharType="separate"/>
      </w:r>
      <w:r>
        <w:rPr>
          <w:b w:val="1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  <w:r>
        <w:tab/>
      </w:r>
      <w:r>
        <w:fldChar w:fldCharType="begin"/>
      </w:r>
      <w:r>
        <w:instrText>PAGEREF __RefHeading___49 \h</w:instrText>
      </w:r>
      <w:r>
        <w:fldChar w:fldCharType="separate"/>
      </w:r>
      <w:r>
        <w:t>22</w:t>
      </w:r>
      <w:r>
        <w:fldChar w:fldCharType="end"/>
      </w:r>
      <w:r>
        <w:rPr>
          <w:b w:val="1"/>
        </w:rPr>
        <w:fldChar w:fldCharType="end"/>
      </w:r>
    </w:p>
    <w:p w14:paraId="55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"__RefHeading___50"</w:instrText>
      </w:r>
      <w:r>
        <w:rPr>
          <w:b w:val="1"/>
        </w:rPr>
        <w:fldChar w:fldCharType="separate"/>
      </w:r>
      <w:r>
        <w:rPr>
          <w:b w:val="1"/>
        </w:rPr>
        <w:t xml:space="preserve">3.1.    </w:t>
      </w:r>
      <w:r>
        <w:rPr>
          <w:b w:val="1"/>
        </w:rPr>
        <w:t>Сведения об общем количестве акционеров эмитента</w:t>
      </w:r>
      <w:r>
        <w:tab/>
      </w:r>
      <w:r>
        <w:fldChar w:fldCharType="begin"/>
      </w:r>
      <w:r>
        <w:instrText>PAGEREF __RefHeading___50 \h</w:instrText>
      </w:r>
      <w:r>
        <w:fldChar w:fldCharType="separate"/>
      </w:r>
      <w:r>
        <w:t>22</w:t>
      </w:r>
      <w:r>
        <w:fldChar w:fldCharType="end"/>
      </w:r>
      <w:r>
        <w:rPr>
          <w:b w:val="1"/>
        </w:rPr>
        <w:fldChar w:fldCharType="end"/>
      </w:r>
    </w:p>
    <w:p w14:paraId="56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"__RefHeading___51"</w:instrText>
      </w:r>
      <w:r>
        <w:rPr>
          <w:b w:val="1"/>
        </w:rPr>
        <w:fldChar w:fldCharType="separate"/>
      </w:r>
      <w:r>
        <w:rPr>
          <w:b w:val="1"/>
        </w:rPr>
        <w:t xml:space="preserve">3.2.    </w:t>
      </w:r>
      <w:r>
        <w:rPr>
          <w:b w:val="1"/>
        </w:rPr>
        <w:t>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  <w:r>
        <w:tab/>
      </w:r>
      <w:r>
        <w:fldChar w:fldCharType="begin"/>
      </w:r>
      <w:r>
        <w:instrText>PAGEREF __RefHeading___51 \h</w:instrText>
      </w:r>
      <w:r>
        <w:fldChar w:fldCharType="separate"/>
      </w:r>
      <w:r>
        <w:t>23</w:t>
      </w:r>
      <w:r>
        <w:fldChar w:fldCharType="end"/>
      </w:r>
      <w:r>
        <w:rPr>
          <w:b w:val="1"/>
        </w:rPr>
        <w:fldChar w:fldCharType="end"/>
      </w:r>
    </w:p>
    <w:p w14:paraId="57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"__RefHeading___52"</w:instrText>
      </w:r>
      <w:r>
        <w:rPr>
          <w:b w:val="1"/>
        </w:rPr>
        <w:fldChar w:fldCharType="separate"/>
      </w:r>
      <w:r>
        <w:rPr>
          <w:b w:val="1"/>
        </w:rPr>
        <w:t xml:space="preserve">3.3.    </w:t>
      </w:r>
      <w:r>
        <w:rPr>
          <w:b w:val="1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  <w:r>
        <w:tab/>
      </w:r>
      <w:r>
        <w:fldChar w:fldCharType="begin"/>
      </w:r>
      <w:r>
        <w:instrText>PAGEREF __RefHeading___52 \h</w:instrText>
      </w:r>
      <w:r>
        <w:fldChar w:fldCharType="separate"/>
      </w:r>
      <w:r>
        <w:t>24</w:t>
      </w:r>
      <w:r>
        <w:fldChar w:fldCharType="end"/>
      </w:r>
      <w:r>
        <w:rPr>
          <w:b w:val="1"/>
        </w:rPr>
        <w:fldChar w:fldCharType="end"/>
      </w:r>
    </w:p>
    <w:p w14:paraId="58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"__RefHeading___53"</w:instrText>
      </w:r>
      <w:r>
        <w:rPr>
          <w:b w:val="1"/>
        </w:rPr>
        <w:fldChar w:fldCharType="separate"/>
      </w:r>
      <w:r>
        <w:rPr>
          <w:b w:val="1"/>
        </w:rPr>
        <w:t xml:space="preserve">3.4.    </w:t>
      </w:r>
      <w:r>
        <w:rPr>
          <w:b w:val="1"/>
        </w:rPr>
        <w:t>Сделки эмитента, в совершении которых имелась заинтересованность</w:t>
      </w:r>
      <w:r>
        <w:tab/>
      </w:r>
      <w:r>
        <w:fldChar w:fldCharType="begin"/>
      </w:r>
      <w:r>
        <w:instrText>PAGEREF __RefHeading___53 \h</w:instrText>
      </w:r>
      <w:r>
        <w:fldChar w:fldCharType="separate"/>
      </w:r>
      <w:r>
        <w:t>24</w:t>
      </w:r>
      <w:r>
        <w:fldChar w:fldCharType="end"/>
      </w:r>
      <w:r>
        <w:rPr>
          <w:b w:val="1"/>
        </w:rPr>
        <w:fldChar w:fldCharType="end"/>
      </w:r>
    </w:p>
    <w:p w14:paraId="59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"__RefHeading___54"</w:instrText>
      </w:r>
      <w:r>
        <w:rPr>
          <w:b w:val="1"/>
        </w:rPr>
        <w:fldChar w:fldCharType="separate"/>
      </w:r>
      <w:r>
        <w:rPr>
          <w:b w:val="1"/>
        </w:rPr>
        <w:t xml:space="preserve">3.5.    </w:t>
      </w:r>
      <w:r>
        <w:rPr>
          <w:b w:val="1"/>
        </w:rPr>
        <w:t>Крупные сделки эмитента</w:t>
      </w:r>
      <w:r>
        <w:tab/>
      </w:r>
      <w:r>
        <w:fldChar w:fldCharType="begin"/>
      </w:r>
      <w:r>
        <w:instrText>PAGEREF __RefHeading___54 \h</w:instrText>
      </w:r>
      <w:r>
        <w:fldChar w:fldCharType="separate"/>
      </w:r>
      <w:r>
        <w:t>24</w:t>
      </w:r>
      <w:r>
        <w:fldChar w:fldCharType="end"/>
      </w:r>
      <w:r>
        <w:rPr>
          <w:b w:val="1"/>
        </w:rPr>
        <w:fldChar w:fldCharType="end"/>
      </w:r>
    </w:p>
    <w:p w14:paraId="5A000000">
      <w:pPr>
        <w:pStyle w:val="Style_4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"__RefHeading___55"</w:instrText>
      </w:r>
      <w:r>
        <w:rPr>
          <w:b w:val="1"/>
        </w:rPr>
        <w:fldChar w:fldCharType="separate"/>
      </w:r>
      <w:r>
        <w:rPr>
          <w:b w:val="1"/>
        </w:rPr>
        <w:t>Раздел 4. Дополнительные сведения об эмитенте и о размещенных им ценных бумагах</w:t>
      </w:r>
      <w:r>
        <w:tab/>
      </w:r>
      <w:r>
        <w:fldChar w:fldCharType="begin"/>
      </w:r>
      <w:r>
        <w:instrText>PAGEREF __RefHeading___55 \h</w:instrText>
      </w:r>
      <w:r>
        <w:fldChar w:fldCharType="separate"/>
      </w:r>
      <w:r>
        <w:t>24</w:t>
      </w:r>
      <w:r>
        <w:fldChar w:fldCharType="end"/>
      </w:r>
      <w:r>
        <w:rPr>
          <w:b w:val="1"/>
        </w:rPr>
        <w:fldChar w:fldCharType="end"/>
      </w:r>
    </w:p>
    <w:p w14:paraId="5B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"__RefHeading___56"</w:instrText>
      </w:r>
      <w:r>
        <w:rPr>
          <w:b w:val="1"/>
        </w:rPr>
        <w:fldChar w:fldCharType="separate"/>
      </w:r>
      <w:r>
        <w:rPr>
          <w:b w:val="1"/>
        </w:rPr>
        <w:t xml:space="preserve">4.1.    </w:t>
      </w:r>
      <w:r>
        <w:rPr>
          <w:b w:val="1"/>
        </w:rPr>
        <w:t>Подконтрольные эмитенту организации, имеющие для него существенное значение</w:t>
      </w:r>
      <w:r>
        <w:tab/>
      </w:r>
      <w:r>
        <w:fldChar w:fldCharType="begin"/>
      </w:r>
      <w:r>
        <w:instrText>PAGEREF __RefHeading___56 \h</w:instrText>
      </w:r>
      <w:r>
        <w:fldChar w:fldCharType="separate"/>
      </w:r>
      <w:r>
        <w:t>24</w:t>
      </w:r>
      <w:r>
        <w:fldChar w:fldCharType="end"/>
      </w:r>
      <w:r>
        <w:rPr>
          <w:b w:val="1"/>
        </w:rPr>
        <w:fldChar w:fldCharType="end"/>
      </w:r>
    </w:p>
    <w:p w14:paraId="5C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"__RefHeading___57"</w:instrText>
      </w:r>
      <w:r>
        <w:rPr>
          <w:b w:val="1"/>
        </w:rPr>
        <w:fldChar w:fldCharType="separate"/>
      </w:r>
      <w:r>
        <w:rPr>
          <w:b w:val="1"/>
        </w:rPr>
        <w:t xml:space="preserve">4.2.    </w:t>
      </w:r>
      <w:r>
        <w:rPr>
          <w:b w:val="1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  <w:r>
        <w:tab/>
      </w:r>
      <w:r>
        <w:fldChar w:fldCharType="begin"/>
      </w:r>
      <w:r>
        <w:instrText>PAGEREF __RefHeading___57 \h</w:instrText>
      </w:r>
      <w:r>
        <w:fldChar w:fldCharType="separate"/>
      </w:r>
      <w:r>
        <w:t>25</w:t>
      </w:r>
      <w:r>
        <w:fldChar w:fldCharType="end"/>
      </w:r>
      <w:r>
        <w:rPr>
          <w:b w:val="1"/>
        </w:rPr>
        <w:fldChar w:fldCharType="end"/>
      </w:r>
    </w:p>
    <w:p w14:paraId="5D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"__RefHeading___58"</w:instrText>
      </w:r>
      <w:r>
        <w:rPr>
          <w:b w:val="1"/>
        </w:rPr>
        <w:fldChar w:fldCharType="separate"/>
      </w:r>
      <w:r>
        <w:rPr>
          <w:b w:val="1"/>
        </w:rPr>
        <w:t xml:space="preserve">4.3.    </w:t>
      </w:r>
      <w:r>
        <w:rPr>
          <w:b w:val="1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>
        <w:tab/>
      </w:r>
      <w:r>
        <w:fldChar w:fldCharType="begin"/>
      </w:r>
      <w:r>
        <w:instrText>PAGEREF __RefHeading___58 \h</w:instrText>
      </w:r>
      <w:r>
        <w:fldChar w:fldCharType="separate"/>
      </w:r>
      <w:r>
        <w:t>25</w:t>
      </w:r>
      <w:r>
        <w:fldChar w:fldCharType="end"/>
      </w:r>
      <w:r>
        <w:rPr>
          <w:b w:val="1"/>
        </w:rPr>
        <w:fldChar w:fldCharType="end"/>
      </w:r>
    </w:p>
    <w:p w14:paraId="5E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"__RefHeading___59"</w:instrText>
      </w:r>
      <w:r>
        <w:rPr>
          <w:b w:val="1"/>
        </w:rPr>
        <w:fldChar w:fldCharType="separate"/>
      </w:r>
      <w:r>
        <w:rPr>
          <w:b w:val="1"/>
        </w:rPr>
        <w:t xml:space="preserve">4.4.    </w:t>
      </w:r>
      <w:r>
        <w:rPr>
          <w:b w:val="1"/>
        </w:rPr>
        <w:t>Сведения об объявленных и выплаченных дивидендах по акциям эмитента</w:t>
      </w:r>
      <w:r>
        <w:tab/>
      </w:r>
      <w:r>
        <w:fldChar w:fldCharType="begin"/>
      </w:r>
      <w:r>
        <w:instrText>PAGEREF __RefHeading___59 \h</w:instrText>
      </w:r>
      <w:r>
        <w:fldChar w:fldCharType="separate"/>
      </w:r>
      <w:r>
        <w:t>25</w:t>
      </w:r>
      <w:r>
        <w:fldChar w:fldCharType="end"/>
      </w:r>
      <w:r>
        <w:rPr>
          <w:b w:val="1"/>
        </w:rPr>
        <w:fldChar w:fldCharType="end"/>
      </w:r>
    </w:p>
    <w:p w14:paraId="5F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"__RefHeading___60"</w:instrText>
      </w:r>
      <w:r>
        <w:rPr>
          <w:b w:val="1"/>
        </w:rPr>
        <w:fldChar w:fldCharType="separate"/>
      </w:r>
      <w:r>
        <w:rPr>
          <w:b w:val="1"/>
        </w:rPr>
        <w:t xml:space="preserve">4.5.    </w:t>
      </w:r>
      <w:r>
        <w:rPr>
          <w:b w:val="1"/>
        </w:rPr>
        <w:t>Сведения об организациях, осуществляющих учет прав на эмиссионные ценные бумаги эмитента</w:t>
      </w:r>
      <w:r>
        <w:tab/>
      </w:r>
      <w:r>
        <w:fldChar w:fldCharType="begin"/>
      </w:r>
      <w:r>
        <w:instrText>PAGEREF __RefHeading___60 \h</w:instrText>
      </w:r>
      <w:r>
        <w:fldChar w:fldCharType="separate"/>
      </w:r>
      <w:r>
        <w:t>25</w:t>
      </w:r>
      <w:r>
        <w:fldChar w:fldCharType="end"/>
      </w:r>
      <w:r>
        <w:rPr>
          <w:b w:val="1"/>
        </w:rPr>
        <w:fldChar w:fldCharType="end"/>
      </w:r>
    </w:p>
    <w:p w14:paraId="60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"__RefHeading___61"</w:instrText>
      </w:r>
      <w:r>
        <w:rPr>
          <w:b w:val="1"/>
        </w:rPr>
        <w:fldChar w:fldCharType="separate"/>
      </w:r>
      <w:r>
        <w:rPr>
          <w:b w:val="1"/>
        </w:rPr>
        <w:t xml:space="preserve">4.5.1.    </w:t>
      </w:r>
      <w:r>
        <w:rPr>
          <w:b w:val="1"/>
        </w:rPr>
        <w:t>Сведения о регистраторе, осуществляющем ведение реестра владельцев ценных бумаг эмитента</w:t>
      </w:r>
      <w:r>
        <w:tab/>
      </w:r>
      <w:r>
        <w:fldChar w:fldCharType="begin"/>
      </w:r>
      <w:r>
        <w:instrText>PAGEREF __RefHeading___61 \h</w:instrText>
      </w:r>
      <w:r>
        <w:fldChar w:fldCharType="separate"/>
      </w:r>
      <w:r>
        <w:t>25</w:t>
      </w:r>
      <w:r>
        <w:fldChar w:fldCharType="end"/>
      </w:r>
      <w:r>
        <w:rPr>
          <w:b w:val="1"/>
        </w:rPr>
        <w:fldChar w:fldCharType="end"/>
      </w:r>
    </w:p>
    <w:p w14:paraId="61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"__RefHeading___62"</w:instrText>
      </w:r>
      <w:r>
        <w:rPr>
          <w:b w:val="1"/>
        </w:rPr>
        <w:fldChar w:fldCharType="separate"/>
      </w:r>
      <w:r>
        <w:rPr>
          <w:b w:val="1"/>
        </w:rPr>
        <w:t xml:space="preserve">4.5.2.    </w:t>
      </w:r>
      <w:r>
        <w:rPr>
          <w:b w:val="1"/>
        </w:rPr>
        <w:t>Сведения о депозитарии, осуществляющем централизованный учет прав на ценные бумаги эмитента</w:t>
      </w:r>
      <w:r>
        <w:tab/>
      </w:r>
      <w:r>
        <w:fldChar w:fldCharType="begin"/>
      </w:r>
      <w:r>
        <w:instrText>PAGEREF __RefHeading___62 \h</w:instrText>
      </w:r>
      <w:r>
        <w:fldChar w:fldCharType="separate"/>
      </w:r>
      <w:r>
        <w:t>26</w:t>
      </w:r>
      <w:r>
        <w:fldChar w:fldCharType="end"/>
      </w:r>
      <w:r>
        <w:rPr>
          <w:b w:val="1"/>
        </w:rPr>
        <w:fldChar w:fldCharType="end"/>
      </w:r>
    </w:p>
    <w:p w14:paraId="62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"__RefHeading___63"</w:instrText>
      </w:r>
      <w:r>
        <w:rPr>
          <w:b w:val="1"/>
        </w:rPr>
        <w:fldChar w:fldCharType="separate"/>
      </w:r>
      <w:r>
        <w:rPr>
          <w:b w:val="1"/>
        </w:rPr>
        <w:t xml:space="preserve">4.6.    </w:t>
      </w:r>
      <w:r>
        <w:rPr>
          <w:b w:val="1"/>
        </w:rPr>
        <w:t>Информация об аудиторе эмитента</w:t>
      </w:r>
      <w:r>
        <w:tab/>
      </w:r>
      <w:r>
        <w:fldChar w:fldCharType="begin"/>
      </w:r>
      <w:r>
        <w:instrText>PAGEREF __RefHeading___63 \h</w:instrText>
      </w:r>
      <w:r>
        <w:fldChar w:fldCharType="separate"/>
      </w:r>
      <w:r>
        <w:t>26</w:t>
      </w:r>
      <w:r>
        <w:fldChar w:fldCharType="end"/>
      </w:r>
      <w:r>
        <w:rPr>
          <w:b w:val="1"/>
        </w:rPr>
        <w:fldChar w:fldCharType="end"/>
      </w:r>
    </w:p>
    <w:p w14:paraId="63000000">
      <w:pPr>
        <w:pStyle w:val="Style_4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"__RefHeading___64"</w:instrText>
      </w:r>
      <w:r>
        <w:rPr>
          <w:b w:val="1"/>
        </w:rPr>
        <w:fldChar w:fldCharType="separate"/>
      </w:r>
      <w:r>
        <w:rPr>
          <w:b w:val="1"/>
        </w:rPr>
        <w:t>Раздел 5. Финансовая отчетность, бухгалтерская (финансовая) отчетность эмитента</w:t>
      </w:r>
      <w:r>
        <w:tab/>
      </w:r>
      <w:r>
        <w:fldChar w:fldCharType="begin"/>
      </w:r>
      <w:r>
        <w:instrText>PAGEREF __RefHeading___64 \h</w:instrText>
      </w:r>
      <w:r>
        <w:fldChar w:fldCharType="separate"/>
      </w:r>
      <w:r>
        <w:t>26</w:t>
      </w:r>
      <w:r>
        <w:fldChar w:fldCharType="end"/>
      </w:r>
      <w:r>
        <w:rPr>
          <w:b w:val="1"/>
        </w:rPr>
        <w:fldChar w:fldCharType="end"/>
      </w:r>
    </w:p>
    <w:p w14:paraId="64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"__RefHeading___65"</w:instrText>
      </w:r>
      <w:r>
        <w:rPr>
          <w:b w:val="1"/>
        </w:rPr>
        <w:fldChar w:fldCharType="separate"/>
      </w:r>
      <w:r>
        <w:rPr>
          <w:b w:val="1"/>
        </w:rPr>
        <w:t>5.1. Консолидированная финансовая отчетность (финансовая отчетность) эмитента</w:t>
      </w:r>
      <w:r>
        <w:tab/>
      </w:r>
      <w:r>
        <w:fldChar w:fldCharType="begin"/>
      </w:r>
      <w:r>
        <w:instrText>PAGEREF __RefHeading___65 \h</w:instrText>
      </w:r>
      <w:r>
        <w:fldChar w:fldCharType="separate"/>
      </w:r>
      <w:r>
        <w:t>26</w:t>
      </w:r>
      <w:r>
        <w:fldChar w:fldCharType="end"/>
      </w:r>
      <w:r>
        <w:rPr>
          <w:b w:val="1"/>
        </w:rPr>
        <w:fldChar w:fldCharType="end"/>
      </w:r>
    </w:p>
    <w:p w14:paraId="65000000">
      <w:pPr>
        <w:pStyle w:val="Style_5"/>
        <w:tabs>
          <w:tab w:leader="dot" w:pos="9780" w:val="right"/>
        </w:tabs>
        <w:ind/>
      </w:pPr>
      <w:r>
        <w:rPr>
          <w:b w:val="1"/>
        </w:rPr>
        <w:fldChar w:fldCharType="begin"/>
      </w:r>
      <w:r>
        <w:rPr>
          <w:b w:val="1"/>
        </w:rPr>
        <w:instrText>HYPERLINK \l "__RefHeading___66"</w:instrText>
      </w:r>
      <w:r>
        <w:rPr>
          <w:b w:val="1"/>
        </w:rPr>
        <w:fldChar w:fldCharType="separate"/>
      </w:r>
      <w:r>
        <w:rPr>
          <w:b w:val="1"/>
        </w:rPr>
        <w:t>5.2.     Бухгалтерская (финансовая) отчетность</w:t>
      </w:r>
      <w:r>
        <w:tab/>
      </w:r>
      <w:r>
        <w:fldChar w:fldCharType="begin"/>
      </w:r>
      <w:r>
        <w:instrText>PAGEREF __RefHeading___66 \h</w:instrText>
      </w:r>
      <w:r>
        <w:fldChar w:fldCharType="separate"/>
      </w:r>
      <w:r>
        <w:t>26</w:t>
      </w:r>
      <w:r>
        <w:fldChar w:fldCharType="end"/>
      </w:r>
      <w:r>
        <w:rPr>
          <w:b w:val="1"/>
        </w:rPr>
        <w:fldChar w:fldCharType="end"/>
      </w:r>
    </w:p>
    <w:p w14:paraId="67000000">
      <w:r>
        <w:fldChar w:fldCharType="end"/>
      </w:r>
      <w:r>
        <w:br w:type="page"/>
      </w:r>
    </w:p>
    <w:p w14:paraId="68000000">
      <w:pPr>
        <w:widowControl w:val="1"/>
        <w:ind/>
        <w:jc w:val="center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>Введение</w:t>
      </w:r>
    </w:p>
    <w:p w14:paraId="69000000">
      <w:pPr>
        <w:widowControl w:val="1"/>
        <w:spacing w:after="40" w:before="240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Информация, содержащаяся в отчете Публичного акционерного общества «Северное управление строительства» (далее – Общество, эмитент</w:t>
      </w:r>
      <w:r>
        <w:rPr>
          <w:rFonts w:ascii="Times New Roman" w:hAnsi="Times New Roman"/>
        </w:rPr>
        <w:t>) ,</w:t>
      </w:r>
      <w:r>
        <w:rPr>
          <w:rFonts w:ascii="Times New Roman" w:hAnsi="Times New Roman"/>
        </w:rPr>
        <w:t xml:space="preserve"> подлежит раскрытию на основании пункта 1 статьи 92 Федерального закона от 26.12.1995 г. №208-ФЗ  «Об акционерных обществах» (далее – Закон №208-ФЗ) и подпункта 1  пункта 4 статьи 30 Федерального закона от 22.04.1996 №39-ФЗ "О рынке ценных бумаг"(далее -Закон №39-ФЗ). </w:t>
      </w:r>
    </w:p>
    <w:p w14:paraId="6A000000">
      <w:pPr>
        <w:widowControl w:val="1"/>
        <w:spacing w:after="40" w:before="240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Основаниями возникновения у Общества обязанности осуществлять раскрытие информации в форме отчета эмитента являются- регистрация плана приватизации, зарегистрированного в качестве проспекта эмиссии ценных бумаг, а также то, что Общество является публичным.</w:t>
      </w:r>
    </w:p>
    <w:p w14:paraId="6B000000">
      <w:pPr>
        <w:widowControl w:val="1"/>
        <w:spacing w:after="40" w:before="2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лиц.</w:t>
      </w:r>
    </w:p>
    <w:p w14:paraId="6C000000">
      <w:pPr>
        <w:pStyle w:val="Style_6"/>
        <w:widowControl w:val="1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 (эмитента и лица, предоставляющего (предоставившего) обеспечение по облигациям эмитента),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деятельности, а также об основных рисках, связанных с его (их) деятельностью.</w:t>
      </w:r>
    </w:p>
    <w:p w14:paraId="6D000000">
      <w:pPr>
        <w:pStyle w:val="Style_6"/>
        <w:widowControl w:val="1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(их) планов, вероятности наступления определенных событий и совершения определенных действий.</w:t>
      </w:r>
    </w:p>
    <w:p w14:paraId="6E000000">
      <w:pPr>
        <w:pStyle w:val="Style_6"/>
        <w:widowControl w:val="1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14:paraId="6F000000">
      <w:bookmarkStart w:id="1" w:name="__RefHeading___34"/>
      <w:bookmarkEnd w:id="1"/>
      <w:pPr>
        <w:widowControl w:val="1"/>
        <w:spacing w:after="120" w:before="360"/>
        <w:ind/>
        <w:jc w:val="center"/>
        <w:outlineLvl w:val="0"/>
        <w:rPr>
          <w:rFonts w:ascii="Times New Roman" w:hAnsi="Times New Roman"/>
          <w:b w:val="1"/>
          <w:color w:val="203864"/>
        </w:rPr>
      </w:pPr>
      <w:r>
        <w:rPr>
          <w:b w:val="1"/>
          <w:sz w:val="28"/>
        </w:rPr>
        <w:br w:type="page"/>
      </w:r>
      <w:r>
        <w:rPr>
          <w:rFonts w:ascii="Times New Roman" w:hAnsi="Times New Roman"/>
          <w:b w:val="1"/>
          <w:color w:val="203864"/>
        </w:rPr>
        <w:t>Раздел I. Управленческий отчет эмитента</w:t>
      </w:r>
    </w:p>
    <w:p w14:paraId="70000000">
      <w:bookmarkStart w:id="2" w:name="__RefHeading___35"/>
      <w:bookmarkEnd w:id="2"/>
      <w:pPr>
        <w:pStyle w:val="Style_7"/>
        <w:widowControl w:val="1"/>
        <w:spacing w:before="240"/>
        <w:ind w:firstLine="425"/>
        <w:jc w:val="both"/>
        <w:rPr>
          <w:rFonts w:ascii="Times New Roman" w:hAnsi="Times New Roman"/>
          <w:b w:val="1"/>
        </w:rPr>
      </w:pPr>
      <w:bookmarkStart w:id="3" w:name="P108"/>
      <w:bookmarkEnd w:id="3"/>
      <w:r>
        <w:rPr>
          <w:rFonts w:ascii="Times New Roman" w:hAnsi="Times New Roman"/>
          <w:b w:val="1"/>
        </w:rPr>
        <w:t>1.1. Общие сведения об эмитенте и его деятельности</w:t>
      </w:r>
    </w:p>
    <w:p w14:paraId="71000000">
      <w:pPr>
        <w:widowControl w:val="1"/>
        <w:spacing w:before="240"/>
        <w:ind w:firstLine="426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Полное фирменное наименование</w:t>
      </w:r>
      <w:r>
        <w:rPr>
          <w:rFonts w:ascii="Times New Roman" w:hAnsi="Times New Roman"/>
        </w:rPr>
        <w:t>: Публичное акционерное общество "Северное управление строительства»,</w:t>
      </w:r>
    </w:p>
    <w:p w14:paraId="72000000">
      <w:pPr>
        <w:widowControl w:val="1"/>
        <w:ind w:firstLine="426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Сокращенное фирменное наименование</w:t>
      </w:r>
      <w:r>
        <w:rPr>
          <w:rFonts w:ascii="Times New Roman" w:hAnsi="Times New Roman"/>
        </w:rPr>
        <w:t>: ПАО "СУС",</w:t>
      </w:r>
    </w:p>
    <w:p w14:paraId="73000000">
      <w:pPr>
        <w:widowControl w:val="1"/>
        <w:ind w:firstLine="426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Сведения о способе и дате создания эмитента</w:t>
      </w:r>
      <w:r>
        <w:rPr>
          <w:rFonts w:ascii="Times New Roman" w:hAnsi="Times New Roman"/>
        </w:rPr>
        <w:t xml:space="preserve">: ПАО «СУС» было создано в результате приватизации путем преобразования Северного управления строительства в акционерное общество, в соответствии с Указом Президента РФ от 1 июля 1992 г. № 721, «Плана приватизации предприятий и организаций ядерно-энергетического комплекса на 1992 г». Постановлением главы администрации г. Сосновый Бор от 19.11.1992 г. № 717 принято решение о перерегистрации государственного предприятия «Северное управление строительство» в связи с реорганизацией в акционерное общество. </w:t>
      </w:r>
    </w:p>
    <w:p w14:paraId="7400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Изменения наименования эмитента</w:t>
      </w:r>
      <w:r>
        <w:rPr>
          <w:rFonts w:ascii="Times New Roman" w:hAnsi="Times New Roman"/>
        </w:rPr>
        <w:t xml:space="preserve"> в течении трех последних лет, предшествующих дате окончания отчетного периода, не было.</w:t>
      </w:r>
    </w:p>
    <w:p w14:paraId="75000000">
      <w:pPr>
        <w:widowControl w:val="1"/>
        <w:ind w:firstLine="426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Основной государственный регистрационный номер</w:t>
      </w:r>
      <w:r>
        <w:rPr>
          <w:rFonts w:ascii="Times New Roman" w:hAnsi="Times New Roman"/>
        </w:rPr>
        <w:t xml:space="preserve"> (ОГРН) 1024701762535.</w:t>
      </w:r>
    </w:p>
    <w:p w14:paraId="76000000">
      <w:pPr>
        <w:widowControl w:val="1"/>
        <w:ind w:firstLine="426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Идентификационный номер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>налогоплательщика</w:t>
      </w:r>
      <w:r>
        <w:rPr>
          <w:rFonts w:ascii="Times New Roman" w:hAnsi="Times New Roman"/>
        </w:rPr>
        <w:t xml:space="preserve"> (ИНН) 4714000211.</w:t>
      </w:r>
    </w:p>
    <w:p w14:paraId="77000000">
      <w:pPr>
        <w:widowControl w:val="1"/>
        <w:ind w:firstLine="426"/>
        <w:rPr>
          <w:rFonts w:ascii="Times New Roman" w:hAnsi="Times New Roman"/>
        </w:rPr>
      </w:pPr>
    </w:p>
    <w:p w14:paraId="78000000">
      <w:pPr>
        <w:pStyle w:val="Style_8"/>
        <w:widowControl w:val="1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Основным видом деятельности ПАО «СУС» в соответствии с ОКВЭД, является «Строительство жилых и нежилых зданий»</w:t>
      </w:r>
    </w:p>
    <w:p w14:paraId="79000000">
      <w:pPr>
        <w:pStyle w:val="Style_8"/>
        <w:widowControl w:val="1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ПАО «СУС» реализовывает свои проекты на территории нескольких субъектов Российской Федерации. Обособленные подразделения открыты в Красноярском крае, Калининградской, Томской и Курской, Смоленской, Новосибирской, Саратовской областях. Общество имеет свои филиалы в г. Москва и на территории Арабской Республики Египет (АРЕ). С 2023 года по заключённым договорам предоставляются услуги и выполняются строительно-монтажные работы в Турецкой Республике и АРЕ. </w:t>
      </w:r>
    </w:p>
    <w:p w14:paraId="7A000000">
      <w:pPr>
        <w:widowControl w:val="1"/>
        <w:ind w:firstLine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Эмитент </w:t>
      </w:r>
      <w:r>
        <w:rPr>
          <w:rFonts w:ascii="Times New Roman" w:hAnsi="Times New Roman"/>
        </w:rPr>
        <w:t xml:space="preserve">имеет </w:t>
      </w:r>
      <w:r>
        <w:rPr>
          <w:rFonts w:ascii="Times New Roman" w:hAnsi="Times New Roman"/>
        </w:rPr>
        <w:t>лицензию</w:t>
      </w:r>
      <w:r>
        <w:rPr>
          <w:rFonts w:ascii="Times New Roman" w:hAnsi="Times New Roman"/>
        </w:rPr>
        <w:t xml:space="preserve">, </w:t>
      </w:r>
      <w:bookmarkStart w:id="4" w:name="_Hlk207188684"/>
      <w:r>
        <w:rPr>
          <w:rFonts w:ascii="Times New Roman" w:hAnsi="Times New Roman"/>
        </w:rPr>
        <w:t>подтверждающую</w:t>
      </w:r>
      <w:r>
        <w:rPr>
          <w:rFonts w:ascii="Times New Roman" w:hAnsi="Times New Roman"/>
        </w:rPr>
        <w:t xml:space="preserve"> наличие права на осуществление видов деятельности, предусмотренных статьей 6 Федерального закона от 29 апреля 2008 года N 57-ФЗ "О порядке осуществления иностранных инвестиций в хозяйственные общества, имеющие стратегическое значение для обеспечения обороны страны и безопасности государства</w:t>
      </w:r>
      <w:bookmarkEnd w:id="4"/>
      <w:r>
        <w:rPr>
          <w:rFonts w:ascii="Times New Roman" w:hAnsi="Times New Roman"/>
        </w:rPr>
        <w:t>"</w:t>
      </w:r>
      <w:r>
        <w:rPr>
          <w:rFonts w:ascii="Times New Roman" w:hAnsi="Times New Roman"/>
        </w:rPr>
        <w:t xml:space="preserve"> и, тем самым,</w:t>
      </w:r>
      <w:r>
        <w:rPr>
          <w:rFonts w:ascii="Times New Roman" w:hAnsi="Times New Roman"/>
        </w:rPr>
        <w:t xml:space="preserve"> относится к хозяйственным обществам, имеющим стратегическое значение для обеспечения обороны станы и безопасности государства (пп.2 п.1 ст.3 Федерального закона от 29.04.2008 №57-ФЗ «О порядке осуществления иностранных инвестиций в хозяйственные общества, имеющие стратегическое значение для обеспечения обороны страны и безопасности государства».</w:t>
      </w:r>
    </w:p>
    <w:p w14:paraId="7B000000">
      <w:pPr>
        <w:widowControl w:val="1"/>
        <w:ind w:firstLine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в период с 01.01.2025 по 30.06.2025 г. осуществляет деятельность по использованию ядерных материалов и радиоактивных вещ</w:t>
      </w:r>
      <w:bookmarkStart w:id="5" w:name="_GoBack"/>
      <w:bookmarkEnd w:id="5"/>
      <w:r>
        <w:rPr>
          <w:rFonts w:ascii="Times New Roman" w:hAnsi="Times New Roman"/>
        </w:rPr>
        <w:t xml:space="preserve">еств при проведении работ по использованию атомной энергии в оборонных целях на объектах ФГУП «Научно- исследовательский технологический институт им. А.П. Александрова» (предприятие </w:t>
      </w:r>
      <w:r>
        <w:rPr>
          <w:rFonts w:ascii="Times New Roman" w:hAnsi="Times New Roman"/>
        </w:rPr>
        <w:t>Госкорпорации</w:t>
      </w:r>
      <w:r>
        <w:rPr>
          <w:rFonts w:ascii="Times New Roman" w:hAnsi="Times New Roman"/>
        </w:rPr>
        <w:t xml:space="preserve"> «</w:t>
      </w:r>
      <w:r>
        <w:rPr>
          <w:rFonts w:ascii="Times New Roman" w:hAnsi="Times New Roman"/>
        </w:rPr>
        <w:t>Росатом</w:t>
      </w:r>
      <w:r>
        <w:rPr>
          <w:rFonts w:ascii="Times New Roman" w:hAnsi="Times New Roman"/>
        </w:rPr>
        <w:t>») на основании выданной ГК «</w:t>
      </w:r>
      <w:r>
        <w:rPr>
          <w:rFonts w:ascii="Times New Roman" w:hAnsi="Times New Roman"/>
        </w:rPr>
        <w:t>Росатом</w:t>
      </w:r>
      <w:r>
        <w:rPr>
          <w:rFonts w:ascii="Times New Roman" w:hAnsi="Times New Roman"/>
        </w:rPr>
        <w:t>» Лицензии на осуществление деятельности по использованию ядерных материалов и радиоактивных веществ при проведении работ по использованию атомной энергии в оборонных целях № ГК-1-16-0417У со сроком действия с 21.08.2024 по 21.08.2029 г.</w:t>
      </w:r>
    </w:p>
    <w:p w14:paraId="7C000000">
      <w:pPr>
        <w:widowControl w:val="1"/>
        <w:ind w:firstLine="426"/>
        <w:rPr>
          <w:rFonts w:ascii="Times New Roman" w:hAnsi="Times New Roman"/>
        </w:rPr>
      </w:pPr>
      <w:r>
        <w:rPr>
          <w:rFonts w:ascii="Times New Roman" w:hAnsi="Times New Roman"/>
        </w:rPr>
        <w:t>Иных ограничений, связанные с участием в уставном капитале эмитента, установленных его уставом нет.</w:t>
      </w:r>
    </w:p>
    <w:p w14:paraId="7D000000">
      <w:bookmarkStart w:id="6" w:name="__RefHeading___36"/>
      <w:bookmarkEnd w:id="6"/>
      <w:pPr>
        <w:pStyle w:val="Style_7"/>
        <w:widowControl w:val="1"/>
        <w:spacing w:before="240"/>
        <w:ind w:left="425"/>
        <w:jc w:val="both"/>
        <w:rPr>
          <w:rFonts w:ascii="Times New Roman" w:hAnsi="Times New Roman"/>
          <w:b w:val="1"/>
        </w:rPr>
      </w:pPr>
      <w:bookmarkStart w:id="7" w:name="P118"/>
      <w:bookmarkEnd w:id="7"/>
      <w:r>
        <w:rPr>
          <w:rFonts w:ascii="Times New Roman" w:hAnsi="Times New Roman"/>
          <w:b w:val="1"/>
        </w:rPr>
        <w:t>1.2. Сведения о положении эмитента в отрасли</w:t>
      </w: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  <w:gridCol w:w="552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E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Коды ОКВЭД</w:t>
            </w:r>
          </w:p>
        </w:tc>
        <w:tc>
          <w:tcPr>
            <w:tcW w:type="dxa" w:w="552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7F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0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41.2</w:t>
            </w:r>
          </w:p>
        </w:tc>
        <w:tc>
          <w:tcPr>
            <w:tcW w:type="dxa" w:w="552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1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Строительство жилых и нежилых зданий</w:t>
            </w:r>
          </w:p>
        </w:tc>
      </w:tr>
    </w:tbl>
    <w:p w14:paraId="82000000">
      <w:pPr>
        <w:widowControl w:val="1"/>
        <w:ind/>
        <w:jc w:val="center"/>
        <w:rPr>
          <w:rFonts w:ascii="Times New Roman" w:hAnsi="Times New Roman"/>
          <w:highlight w:val="yellow"/>
        </w:rPr>
      </w:pPr>
    </w:p>
    <w:tbl>
      <w:tblPr>
        <w:tblStyle w:val="Style_2"/>
        <w:tblW w:type="auto" w:w="0"/>
        <w:tblLayout w:type="fixed"/>
        <w:tblCellMar>
          <w:left w:type="dxa" w:w="72"/>
          <w:right w:type="dxa" w:w="72"/>
        </w:tblCellMar>
      </w:tblPr>
      <w:tblGrid>
        <w:gridCol w:w="3758"/>
      </w:tblGrid>
      <w:tr>
        <w:tc>
          <w:tcPr>
            <w:tcW w:type="dxa" w:w="3758"/>
            <w:tcBorders>
              <w:top w:color="000000" w:sz="6" w:val="doub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3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Коды ОКВЭД (дополнительные)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4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08.12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5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6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35.12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7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35.30.2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8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35.30.5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9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A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B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49.4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C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49.20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D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  <w:highlight w:val="yellow"/>
              </w:rPr>
            </w:pPr>
            <w:r>
              <w:rPr>
                <w:rFonts w:ascii="Times New Roman" w:hAnsi="Times New Roman"/>
              </w:rPr>
              <w:t>53.20.1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E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55.90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8F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61.10.1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0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68.20.2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1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69.20.2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2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71.20.9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3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77.3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sing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4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85.42.9</w:t>
            </w:r>
          </w:p>
        </w:tc>
      </w:tr>
      <w:tr>
        <w:tc>
          <w:tcPr>
            <w:tcW w:type="dxa" w:w="3758"/>
            <w:tcBorders>
              <w:top w:color="000000" w:sz="6" w:val="single"/>
              <w:left w:color="000000" w:sz="6" w:val="double"/>
              <w:bottom w:color="000000" w:sz="6" w:val="double"/>
              <w:right w:color="000000" w:sz="6" w:val="double"/>
            </w:tcBorders>
            <w:tcMar>
              <w:top w:type="dxa" w:w="0"/>
              <w:left w:type="dxa" w:w="72"/>
              <w:bottom w:type="dxa" w:w="0"/>
              <w:right w:type="dxa" w:w="72"/>
            </w:tcMar>
          </w:tcPr>
          <w:p w14:paraId="9500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86.90.4</w:t>
            </w:r>
          </w:p>
        </w:tc>
      </w:tr>
    </w:tbl>
    <w:p w14:paraId="96000000">
      <w:pPr>
        <w:widowControl w:val="1"/>
        <w:ind w:firstLine="709"/>
        <w:jc w:val="both"/>
      </w:pPr>
      <w:bookmarkStart w:id="8" w:name="P126"/>
      <w:bookmarkEnd w:id="8"/>
    </w:p>
    <w:p w14:paraId="97000000">
      <w:pPr>
        <w:pStyle w:val="Style_8"/>
        <w:widowControl w:val="1"/>
        <w:ind w:firstLine="720"/>
        <w:jc w:val="both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sz w:val="24"/>
        </w:rPr>
        <w:t>ПАО «Северное управление строительства» осуществляет свою</w:t>
      </w:r>
      <w:r>
        <w:rPr>
          <w:rFonts w:ascii="Times New Roman" w:hAnsi="Times New Roman"/>
          <w:b w:val="1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 xml:space="preserve">финансово-экономическую деятельность в </w:t>
      </w:r>
      <w:r>
        <w:rPr>
          <w:rFonts w:ascii="Times New Roman" w:hAnsi="Times New Roman"/>
          <w:b w:val="0"/>
          <w:sz w:val="24"/>
        </w:rPr>
        <w:t>области промышленного строительства.</w:t>
      </w:r>
    </w:p>
    <w:p w14:paraId="98000000">
      <w:pPr>
        <w:pStyle w:val="Style_8"/>
        <w:widowControl w:val="1"/>
        <w:ind w:firstLine="720"/>
        <w:jc w:val="both"/>
        <w:rPr>
          <w:rFonts w:ascii="Times New Roman" w:hAnsi="Times New Roman"/>
          <w:color w:val="252525"/>
          <w:spacing w:val="3"/>
          <w:sz w:val="24"/>
        </w:rPr>
      </w:pPr>
      <w:r>
        <w:rPr>
          <w:rFonts w:ascii="Times New Roman" w:hAnsi="Times New Roman"/>
          <w:color w:val="252525"/>
          <w:spacing w:val="3"/>
          <w:sz w:val="24"/>
        </w:rPr>
        <w:t>Отличительными особенностями промышленного строительства от жилищного или социального являются: гораздо более длительный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влияние на окружающую среду и другие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14:paraId="99000000">
      <w:pPr>
        <w:pStyle w:val="Style_8"/>
        <w:widowControl w:val="1"/>
        <w:ind w:firstLine="7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color w:val="252525"/>
          <w:spacing w:val="3"/>
          <w:sz w:val="24"/>
        </w:rPr>
        <w:t>Основным направлением деятельности ПАО «СУС» является строительство АЭС и иных объектов атомной отрасли.</w:t>
      </w:r>
    </w:p>
    <w:p w14:paraId="9A00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Рассматривая процессы, происходящие в строительной отрасли РФ, можно отметить, что в 1-м полугодии 2025 года на российском рынке промышленного строительства сохранялись тенденции к росту объемов работ, вопреки стагнации в смежных секторах. </w:t>
      </w:r>
    </w:p>
    <w:p w14:paraId="9B00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Объем строительных работ, выполненных в российских регионах в первой половине 2025 года, по данным Росстата, составил 7,34 трлн руб., что превышало на 4,3% уровень годичной давности. Рост оказался меньше, чем по итогам первого квартала нынешнего года (+6,9%), но больше, чем в первом полугодии 2024го (+2,4%). Причиной ускорения относительно прошлого года стали повышенные расходы в рамках нацпроектов и выросшие вложения региональных бюджетов в инфраструктуру. Наблюдалось активное внедрение цифровых технологий, таких как ИИ и 3D-печать, а также модульное строительство, ускоряющее реализацию проектов и улучшающее их качество. Происходила реструктуризация государственных заказов, с акцентом на инфраструктурные проекты, включая развитие железнодорожной инфраструктуры. </w:t>
      </w:r>
    </w:p>
    <w:p w14:paraId="9C000000">
      <w:pPr>
        <w:widowControl w:val="1"/>
        <w:ind w:firstLine="720"/>
        <w:jc w:val="both"/>
        <w:rPr>
          <w:rFonts w:ascii="Times New Roman" w:hAnsi="Times New Roman"/>
          <w:spacing w:val="2"/>
        </w:rPr>
      </w:pPr>
      <w:r>
        <w:rPr>
          <w:rFonts w:ascii="Times New Roman" w:hAnsi="Times New Roman"/>
        </w:rPr>
        <w:t>Индекс промышленного производства вырос, а объемы строительных работ в регионах</w:t>
      </w:r>
      <w:r>
        <w:rPr>
          <w:rFonts w:ascii="Times New Roman" w:hAnsi="Times New Roman"/>
          <w:spacing w:val="2"/>
        </w:rPr>
        <w:t xml:space="preserve"> увеличились на 4,3% в первом полугодии 2025 года по сравнению с предыдущим годом. </w:t>
      </w:r>
    </w:p>
    <w:p w14:paraId="9D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ПАО «СУС» является дочерней организацией Холдинга «ТИТАН -2».</w:t>
      </w:r>
    </w:p>
    <w:p w14:paraId="9E000000">
      <w:pPr>
        <w:widowControl w:val="1"/>
        <w:ind w:firstLine="709"/>
        <w:jc w:val="both"/>
        <w:rPr>
          <w:rFonts w:ascii="Times New Roman" w:hAnsi="Times New Roman"/>
          <w:highlight w:val="white"/>
        </w:rPr>
      </w:pPr>
      <w:r>
        <w:rPr>
          <w:rFonts w:ascii="Times New Roman" w:hAnsi="Times New Roman"/>
          <w:highlight w:val="white"/>
        </w:rPr>
        <w:t>«ТИТАН-2» – российский строительный холдинг, сооружающий объекты атомной и тепловой энергетики, нефтегазовой и химической промышленности.</w:t>
      </w:r>
    </w:p>
    <w:p w14:paraId="9F000000">
      <w:pPr>
        <w:widowControl w:val="1"/>
        <w:ind w:firstLine="709"/>
        <w:jc w:val="both"/>
        <w:rPr>
          <w:rFonts w:ascii="Times New Roman" w:hAnsi="Times New Roman"/>
          <w:highlight w:val="white"/>
        </w:rPr>
      </w:pPr>
      <w:r>
        <w:rPr>
          <w:rFonts w:ascii="Times New Roman" w:hAnsi="Times New Roman"/>
          <w:highlight w:val="white"/>
        </w:rPr>
        <w:t>Холдинг объединяет ведущие строительно-монтажные и инжиниринговые организации: АО «КОНЦЕРН ТИТАН-2», АО «Монтажно-строительное управление №90», АО «СОСНОВОБОРЭЛЕКТРОМОНТАЖ», ПАО «Северное управление строительства», ООО «ТИТАН ТЕХНОЛОДЖИ ПАЙПЛАЙН», ООО «ТИТАН-ПРОЕКТ», О0О «Управление промышленных предприятий».</w:t>
      </w:r>
    </w:p>
    <w:p w14:paraId="A0000000">
      <w:pPr>
        <w:widowControl w:val="1"/>
        <w:ind w:firstLine="709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highlight w:val="white"/>
        </w:rPr>
        <w:t xml:space="preserve">Организации выполняют полный цикл строительно-монтажных работ: от разработки проектной документации до сдачи объекта в эксплуатацию. </w:t>
      </w:r>
      <w:r>
        <w:rPr>
          <w:rFonts w:ascii="Times New Roman" w:hAnsi="Times New Roman"/>
        </w:rPr>
        <w:t xml:space="preserve">На протяжении последнего десятилетия, Холдинг «ТИТАН-2» является стратегическим партнером </w:t>
      </w:r>
      <w:r>
        <w:rPr>
          <w:rFonts w:ascii="Times New Roman" w:hAnsi="Times New Roman"/>
        </w:rPr>
        <w:t>Госкорпорации</w:t>
      </w:r>
      <w:r>
        <w:rPr>
          <w:rFonts w:ascii="Times New Roman" w:hAnsi="Times New Roman"/>
        </w:rPr>
        <w:t xml:space="preserve"> «</w:t>
      </w:r>
      <w:r>
        <w:rPr>
          <w:rFonts w:ascii="Times New Roman" w:hAnsi="Times New Roman"/>
        </w:rPr>
        <w:t>Росатом</w:t>
      </w:r>
      <w:r>
        <w:rPr>
          <w:rFonts w:ascii="Times New Roman" w:hAnsi="Times New Roman"/>
        </w:rPr>
        <w:t>», возводит различные объекты промышленного и социального назначения, выполняет работы на действующих и строящихся АЭС.</w:t>
      </w:r>
      <w:r>
        <w:rPr>
          <w:rFonts w:ascii="Times New Roman" w:hAnsi="Times New Roman"/>
          <w:spacing w:val="4"/>
        </w:rPr>
        <w:t xml:space="preserve"> </w:t>
      </w:r>
    </w:p>
    <w:p w14:paraId="A1000000">
      <w:pPr>
        <w:widowControl w:val="1"/>
        <w:ind w:firstLine="709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>Холдинг «ТИТАН-2» выступает генеральным подрядчиком на сооружении новых энергоблоков Ленинградской атомной станции. Организациями холдинга осуществляются все общестроительные, монтажные и электромонтажные работы. Холдинг участвует в строительстве АЭС «</w:t>
      </w:r>
      <w:r>
        <w:rPr>
          <w:rFonts w:ascii="Times New Roman" w:hAnsi="Times New Roman"/>
          <w:spacing w:val="4"/>
        </w:rPr>
        <w:t>Аккую</w:t>
      </w:r>
      <w:r>
        <w:rPr>
          <w:rFonts w:ascii="Times New Roman" w:hAnsi="Times New Roman"/>
          <w:spacing w:val="4"/>
        </w:rPr>
        <w:t>» в Турции, АЭС «Пакш-2» в Венгрии и АЭС «Эль-</w:t>
      </w:r>
      <w:r>
        <w:rPr>
          <w:rFonts w:ascii="Times New Roman" w:hAnsi="Times New Roman"/>
          <w:spacing w:val="4"/>
        </w:rPr>
        <w:t>Дабаа</w:t>
      </w:r>
      <w:r>
        <w:rPr>
          <w:rFonts w:ascii="Times New Roman" w:hAnsi="Times New Roman"/>
          <w:spacing w:val="4"/>
        </w:rPr>
        <w:t>» в Египте.</w:t>
      </w:r>
    </w:p>
    <w:p w14:paraId="A2000000">
      <w:pPr>
        <w:widowControl w:val="1"/>
        <w:ind w:firstLine="709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 xml:space="preserve">В настоящее время, объекты использования атомной энергии - считаются самыми </w:t>
      </w:r>
      <w:r>
        <w:rPr>
          <w:rFonts w:ascii="Times New Roman" w:hAnsi="Times New Roman"/>
          <w:spacing w:val="4"/>
        </w:rPr>
        <w:t>экологичными</w:t>
      </w:r>
      <w:r>
        <w:rPr>
          <w:rFonts w:ascii="Times New Roman" w:hAnsi="Times New Roman"/>
          <w:spacing w:val="4"/>
        </w:rPr>
        <w:t xml:space="preserve"> индустриальными объектами.</w:t>
      </w:r>
    </w:p>
    <w:p w14:paraId="A3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Конкурентоспособность ПАО «СУС» основывается на уникальной материально-технической базе и кадровых ресурсах, а также опыте координации деятельности научных, проектных и конструкторских организаций.</w:t>
      </w:r>
    </w:p>
    <w:p w14:paraId="A4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Сильными сторонами ПАО «СУС», которые обуславливают его высокую конкурентоспособность в соответствующей отрасли, являются:</w:t>
      </w:r>
    </w:p>
    <w:p w14:paraId="A5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наличие долгосрочных контрактов с крупными российскими и иностранными контрагентами в сфере атомной энергетики и промышленного строительства; </w:t>
      </w:r>
    </w:p>
    <w:p w14:paraId="A6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наличие большого перечня лицензионно-разрешительной документации, существенно расширяющей возможности организации для самостоятельного проведения различных специализированных видов работ, что способствует снижению временных потерь и затрат на оплату работ и услуг сторонним контрагентам;</w:t>
      </w:r>
    </w:p>
    <w:p w14:paraId="A7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эффективный менеджмент;</w:t>
      </w:r>
    </w:p>
    <w:p w14:paraId="A8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надежность и качество выполнения строительно-монтажных работ, в том числе, за счет проведения анализа и подбора оптимальных материалов и технологий для строительства;</w:t>
      </w:r>
    </w:p>
    <w:p w14:paraId="A9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контроль качества и безопасности строительных работ;</w:t>
      </w:r>
    </w:p>
    <w:p w14:paraId="AA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соблюдение сроков строительства и контроль за бюджетом;</w:t>
      </w:r>
    </w:p>
    <w:p w14:paraId="AB000000">
      <w:pPr>
        <w:widowControl w:val="1"/>
        <w:numPr>
          <w:ilvl w:val="0"/>
          <w:numId w:val="1"/>
        </w:numPr>
        <w:tabs>
          <w:tab w:leader="none" w:pos="709" w:val="left"/>
        </w:tabs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организация работы строительных подразделений и обеспечение их материально-технической базой.</w:t>
      </w:r>
    </w:p>
    <w:p w14:paraId="AC000000">
      <w:pPr>
        <w:widowControl w:val="1"/>
        <w:tabs>
          <w:tab w:leader="none" w:pos="1134" w:val="left"/>
        </w:tabs>
        <w:ind w:firstLine="709"/>
        <w:jc w:val="both"/>
        <w:rPr>
          <w:rFonts w:ascii="Times New Roman" w:hAnsi="Times New Roman"/>
          <w:sz w:val="22"/>
        </w:rPr>
      </w:pPr>
    </w:p>
    <w:p w14:paraId="AD000000">
      <w:bookmarkStart w:id="9" w:name="__RefHeading___37"/>
      <w:bookmarkEnd w:id="9"/>
      <w:pPr>
        <w:pStyle w:val="Style_7"/>
        <w:widowControl w:val="1"/>
        <w:spacing w:before="240"/>
        <w:ind w:left="425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1.3. Основные операционные показатели, характеризующие деятельность эмитента.</w:t>
      </w:r>
    </w:p>
    <w:p w14:paraId="AE000000">
      <w:pPr>
        <w:widowControl w:val="1"/>
        <w:ind w:firstLine="709"/>
        <w:jc w:val="both"/>
        <w:rPr>
          <w:rFonts w:ascii="Times New Roman" w:hAnsi="Times New Roman"/>
        </w:rPr>
      </w:pPr>
    </w:p>
    <w:p w14:paraId="AF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Общество является одним из ведущих предприятий в г. Сосновый Бор по строительно-монтажным работам, наибольший удельный вес которых выполняется собственными силами. </w:t>
      </w:r>
    </w:p>
    <w:p w14:paraId="B0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Подразделения, входящие в ПАО «СУС» выполняют общестроительные, земляные работы, обеспечивают объекты электроэнергией, транспортом, стройматериалами и др.</w:t>
      </w:r>
    </w:p>
    <w:p w14:paraId="B1000000">
      <w:pPr>
        <w:widowControl w:val="1"/>
        <w:tabs>
          <w:tab w:leader="none" w:pos="154" w:val="left"/>
        </w:tabs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Действующая организационная структура ПАО «СУС» позволяет ответственно, оперативно и качественно решать задачи, связанные с деятельностью и развитием строительного комплекса.</w:t>
      </w:r>
    </w:p>
    <w:p w14:paraId="B2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2025 г. Общество выполняет работы, оказывает, услуги по нескольким направлениям:</w:t>
      </w:r>
    </w:p>
    <w:p w14:paraId="B3000000">
      <w:pPr>
        <w:widowControl w:val="1"/>
        <w:numPr>
          <w:ilvl w:val="0"/>
          <w:numId w:val="2"/>
        </w:numPr>
        <w:tabs>
          <w:tab w:leader="none" w:pos="709" w:val="left"/>
          <w:tab w:leader="none" w:pos="993" w:val="left"/>
        </w:tabs>
        <w:spacing w:after="200" w:line="276" w:lineRule="auto"/>
        <w:ind w:firstLine="709" w:left="0"/>
        <w:contextualSpacing w:val="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Строительство.</w:t>
      </w:r>
    </w:p>
    <w:p w14:paraId="B4000000">
      <w:pPr>
        <w:widowControl w:val="1"/>
        <w:numPr>
          <w:ilvl w:val="0"/>
          <w:numId w:val="2"/>
        </w:numPr>
        <w:tabs>
          <w:tab w:leader="none" w:pos="709" w:val="left"/>
          <w:tab w:leader="none" w:pos="993" w:val="left"/>
        </w:tabs>
        <w:spacing w:after="200" w:line="276" w:lineRule="auto"/>
        <w:ind w:firstLine="709" w:left="0"/>
        <w:contextualSpacing w:val="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Производство и монтаж металлоконструкций и внешних и внутренних защитных оболочек атомных электростанций.</w:t>
      </w:r>
    </w:p>
    <w:p w14:paraId="B5000000">
      <w:pPr>
        <w:widowControl w:val="1"/>
        <w:numPr>
          <w:ilvl w:val="0"/>
          <w:numId w:val="2"/>
        </w:numPr>
        <w:tabs>
          <w:tab w:leader="none" w:pos="709" w:val="left"/>
          <w:tab w:leader="none" w:pos="993" w:val="left"/>
        </w:tabs>
        <w:spacing w:after="200" w:line="276" w:lineRule="auto"/>
        <w:ind w:firstLine="709" w:left="0"/>
        <w:contextualSpacing w:val="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Испытательный центр строительных материалов и конструкций (лабораторное сопровождение строительства объектов с проведением испытаний строительных материалов, изделий и конструкций, а также контроль качества продукции).</w:t>
      </w:r>
    </w:p>
    <w:p w14:paraId="B6000000">
      <w:pPr>
        <w:widowControl w:val="1"/>
        <w:numPr>
          <w:ilvl w:val="0"/>
          <w:numId w:val="2"/>
        </w:numPr>
        <w:tabs>
          <w:tab w:leader="none" w:pos="709" w:val="left"/>
          <w:tab w:leader="none" w:pos="993" w:val="left"/>
        </w:tabs>
        <w:spacing w:after="200" w:line="276" w:lineRule="auto"/>
        <w:ind w:firstLine="709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Учебный центр - обучение и аттестация специалистов, занятых в строительстве и на производстве.</w:t>
      </w:r>
    </w:p>
    <w:p w14:paraId="B7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Увеличение количества проектов и объема выполняемых работ закономерно ведет к расширению штата и росту численности сотрудников.</w:t>
      </w:r>
    </w:p>
    <w:p w14:paraId="B8000000">
      <w:pPr>
        <w:widowControl w:val="1"/>
        <w:ind w:firstLine="709"/>
        <w:jc w:val="both"/>
        <w:rPr>
          <w:rFonts w:ascii="Times New Roman" w:hAnsi="Times New Roman"/>
        </w:rPr>
      </w:pPr>
    </w:p>
    <w:tbl>
      <w:tblPr>
        <w:tblStyle w:val="Style_9"/>
        <w:tblW w:type="auto" w:w="0"/>
        <w:tblLayout w:type="fixed"/>
      </w:tblPr>
      <w:tblGrid>
        <w:gridCol w:w="817"/>
        <w:gridCol w:w="3260"/>
        <w:gridCol w:w="1985"/>
        <w:gridCol w:w="1934"/>
        <w:gridCol w:w="1893"/>
      </w:tblGrid>
      <w:tr>
        <w:tc>
          <w:tcPr>
            <w:tcW w:type="dxa" w:w="817"/>
            <w:tcBorders>
              <w:bottom w:color="000000" w:sz="4" w:val="single"/>
            </w:tcBorders>
          </w:tcPr>
          <w:p w14:paraId="B9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№п/п</w:t>
            </w:r>
          </w:p>
        </w:tc>
        <w:tc>
          <w:tcPr>
            <w:tcW w:type="dxa" w:w="3260"/>
            <w:tcBorders>
              <w:bottom w:color="000000" w:sz="4" w:val="single"/>
            </w:tcBorders>
          </w:tcPr>
          <w:p w14:paraId="BA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Показатели</w:t>
            </w:r>
          </w:p>
        </w:tc>
        <w:tc>
          <w:tcPr>
            <w:tcW w:type="dxa" w:w="1985"/>
            <w:tcBorders>
              <w:bottom w:color="000000" w:sz="4" w:val="single"/>
            </w:tcBorders>
          </w:tcPr>
          <w:p w14:paraId="BB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на 30.06.2023г.</w:t>
            </w:r>
          </w:p>
        </w:tc>
        <w:tc>
          <w:tcPr>
            <w:tcW w:type="dxa" w:w="1934"/>
            <w:tcBorders>
              <w:bottom w:color="000000" w:sz="4" w:val="single"/>
            </w:tcBorders>
          </w:tcPr>
          <w:p w14:paraId="BC000000">
            <w:pPr>
              <w:widowControl w:val="1"/>
              <w:ind/>
              <w:jc w:val="center"/>
              <w:rPr>
                <w:b w:val="1"/>
              </w:rPr>
            </w:pPr>
            <w:r>
              <w:rPr>
                <w:rFonts w:ascii="Times New Roman" w:hAnsi="Times New Roman"/>
                <w:b w:val="1"/>
              </w:rPr>
              <w:t>на 30.06.2024г.</w:t>
            </w:r>
          </w:p>
        </w:tc>
        <w:tc>
          <w:tcPr>
            <w:tcW w:type="dxa" w:w="1893"/>
            <w:tcBorders>
              <w:bottom w:color="000000" w:sz="4" w:val="single"/>
            </w:tcBorders>
          </w:tcPr>
          <w:p w14:paraId="BD000000">
            <w:pPr>
              <w:widowControl w:val="1"/>
              <w:ind/>
              <w:jc w:val="center"/>
              <w:rPr>
                <w:b w:val="1"/>
              </w:rPr>
            </w:pPr>
            <w:r>
              <w:rPr>
                <w:rFonts w:ascii="Times New Roman" w:hAnsi="Times New Roman"/>
                <w:b w:val="1"/>
              </w:rPr>
              <w:t>на 30.06.2025г.</w:t>
            </w:r>
          </w:p>
        </w:tc>
      </w:tr>
      <w:tr>
        <w:tc>
          <w:tcPr>
            <w:tcW w:type="dxa" w:w="817"/>
            <w:tcBorders>
              <w:top w:color="000000" w:sz="4" w:val="single"/>
              <w:left w:color="000000" w:sz="4" w:val="single"/>
              <w:bottom w:color="000000" w:sz="4" w:val="single"/>
            </w:tcBorders>
          </w:tcPr>
          <w:p w14:paraId="BE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</w:t>
            </w:r>
          </w:p>
        </w:tc>
        <w:tc>
          <w:tcPr>
            <w:tcW w:type="dxa" w:w="3260"/>
            <w:tcBorders>
              <w:top w:color="000000" w:sz="4" w:val="single"/>
              <w:bottom w:color="000000" w:sz="4" w:val="single"/>
            </w:tcBorders>
          </w:tcPr>
          <w:p w14:paraId="BF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Общая численность персонала, всего</w:t>
            </w:r>
          </w:p>
        </w:tc>
        <w:tc>
          <w:tcPr>
            <w:tcW w:type="dxa" w:w="1985"/>
            <w:tcBorders>
              <w:top w:color="000000" w:sz="4" w:val="single"/>
              <w:bottom w:color="000000" w:sz="4" w:val="single"/>
            </w:tcBorders>
          </w:tcPr>
          <w:p w14:paraId="C0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670</w:t>
            </w:r>
          </w:p>
        </w:tc>
        <w:tc>
          <w:tcPr>
            <w:tcW w:type="dxa" w:w="1934"/>
            <w:tcBorders>
              <w:top w:color="000000" w:sz="4" w:val="single"/>
              <w:bottom w:color="000000" w:sz="4" w:val="single"/>
            </w:tcBorders>
          </w:tcPr>
          <w:p w14:paraId="C1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412</w:t>
            </w:r>
          </w:p>
        </w:tc>
        <w:tc>
          <w:tcPr>
            <w:tcW w:type="dxa" w:w="1893"/>
            <w:tcBorders>
              <w:top w:color="000000" w:sz="4" w:val="single"/>
              <w:bottom w:color="000000" w:sz="4" w:val="single"/>
              <w:right w:color="000000" w:sz="4" w:val="single"/>
            </w:tcBorders>
          </w:tcPr>
          <w:p w14:paraId="C2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3 403</w:t>
            </w:r>
          </w:p>
        </w:tc>
      </w:tr>
      <w:tr>
        <w:trPr>
          <w:trHeight w:hRule="atLeast" w:val="213"/>
        </w:trPr>
        <w:tc>
          <w:tcPr>
            <w:tcW w:type="dxa" w:w="817"/>
            <w:vMerge w:val="restart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3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</w:p>
        </w:tc>
        <w:tc>
          <w:tcPr>
            <w:tcW w:type="dxa" w:w="3260"/>
            <w:tcBorders>
              <w:top w:color="000000" w:sz="4" w:val="single"/>
              <w:left w:color="000000" w:sz="4" w:val="single"/>
              <w:bottom w:sz="4" w:val="nil"/>
              <w:right w:color="000000" w:sz="4" w:val="single"/>
            </w:tcBorders>
          </w:tcPr>
          <w:p w14:paraId="C4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из них:</w:t>
            </w:r>
          </w:p>
        </w:tc>
        <w:tc>
          <w:tcPr>
            <w:tcW w:type="dxa" w:w="1985"/>
            <w:tcBorders>
              <w:top w:color="000000" w:sz="4" w:val="single"/>
              <w:left w:color="000000" w:sz="4" w:val="single"/>
              <w:bottom w:sz="4" w:val="nil"/>
              <w:right w:color="000000" w:sz="4" w:val="single"/>
            </w:tcBorders>
          </w:tcPr>
          <w:p w14:paraId="C5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</w:p>
        </w:tc>
        <w:tc>
          <w:tcPr>
            <w:tcW w:type="dxa" w:w="1934"/>
            <w:tcBorders>
              <w:top w:color="000000" w:sz="4" w:val="single"/>
              <w:left w:color="000000" w:sz="4" w:val="single"/>
              <w:bottom w:sz="4" w:val="nil"/>
              <w:right w:color="000000" w:sz="4" w:val="single"/>
            </w:tcBorders>
          </w:tcPr>
          <w:p w14:paraId="C6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</w:p>
        </w:tc>
        <w:tc>
          <w:tcPr>
            <w:tcW w:type="dxa" w:w="1893"/>
            <w:tcBorders>
              <w:top w:color="000000" w:sz="4" w:val="single"/>
              <w:left w:color="000000" w:sz="4" w:val="single"/>
              <w:bottom w:sz="4" w:val="nil"/>
              <w:right w:color="000000" w:sz="4" w:val="single"/>
            </w:tcBorders>
          </w:tcPr>
          <w:p w14:paraId="C7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8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основные рабочие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9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444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A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229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B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2 494</w:t>
            </w: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C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ИТР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D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E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CF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0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-линейный персонал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1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2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3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234</w:t>
            </w: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4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АУП, в </w:t>
            </w:r>
            <w:r>
              <w:rPr>
                <w:rFonts w:ascii="Times New Roman" w:hAnsi="Times New Roman"/>
              </w:rPr>
              <w:t>т.ч</w:t>
            </w:r>
            <w:r>
              <w:rPr>
                <w:rFonts w:ascii="Times New Roman" w:hAnsi="Times New Roman"/>
              </w:rPr>
              <w:t>.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5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6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145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7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637</w:t>
            </w: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8000000">
            <w:pPr>
              <w:widowControl w:val="1"/>
              <w:ind w:firstLine="884"/>
              <w:rPr>
                <w:rFonts w:ascii="Times New Roman" w:hAnsi="Times New Roman"/>
                <w:i w:val="1"/>
              </w:rPr>
            </w:pPr>
            <w:r>
              <w:rPr>
                <w:rFonts w:ascii="Times New Roman" w:hAnsi="Times New Roman"/>
                <w:i w:val="1"/>
              </w:rPr>
              <w:t>- специалисты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9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A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B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227</w:t>
            </w: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C000000">
            <w:pPr>
              <w:widowControl w:val="1"/>
              <w:ind w:firstLine="884"/>
              <w:rPr>
                <w:rFonts w:ascii="Times New Roman" w:hAnsi="Times New Roman"/>
                <w:i w:val="1"/>
              </w:rPr>
            </w:pPr>
            <w:r>
              <w:rPr>
                <w:rFonts w:ascii="Times New Roman" w:hAnsi="Times New Roman"/>
                <w:i w:val="1"/>
              </w:rPr>
              <w:t>- инженеры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D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E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sz="4" w:val="nil"/>
              <w:right w:color="000000" w:sz="4" w:val="single"/>
            </w:tcBorders>
          </w:tcPr>
          <w:p w14:paraId="DF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117</w:t>
            </w:r>
          </w:p>
        </w:tc>
      </w:tr>
      <w:tr>
        <w:tc>
          <w:tcPr>
            <w:tcW w:type="dxa" w:w="817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/>
        </w:tc>
        <w:tc>
          <w:tcPr>
            <w:tcW w:type="dxa" w:w="3260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</w:tcPr>
          <w:p w14:paraId="E0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>
              <w:rPr>
                <w:rFonts w:ascii="Times New Roman" w:hAnsi="Times New Roman"/>
              </w:rPr>
              <w:t>аустаффинг</w:t>
            </w:r>
          </w:p>
        </w:tc>
        <w:tc>
          <w:tcPr>
            <w:tcW w:type="dxa" w:w="1985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</w:tcPr>
          <w:p w14:paraId="E1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type="dxa" w:w="1934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</w:tcPr>
          <w:p w14:paraId="E2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</w:t>
            </w:r>
          </w:p>
        </w:tc>
        <w:tc>
          <w:tcPr>
            <w:tcW w:type="dxa" w:w="1893"/>
            <w:tcBorders>
              <w:top w:sz="4" w:val="nil"/>
              <w:left w:color="000000" w:sz="4" w:val="single"/>
              <w:bottom w:color="000000" w:sz="4" w:val="single"/>
              <w:right w:color="000000" w:sz="4" w:val="single"/>
            </w:tcBorders>
          </w:tcPr>
          <w:p w14:paraId="E3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557</w:t>
            </w:r>
          </w:p>
        </w:tc>
      </w:tr>
      <w:tr>
        <w:tc>
          <w:tcPr>
            <w:tcW w:type="dxa" w:w="817"/>
            <w:tcBorders>
              <w:top w:color="000000" w:sz="4" w:val="single"/>
            </w:tcBorders>
          </w:tcPr>
          <w:p w14:paraId="E4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</w:t>
            </w:r>
          </w:p>
        </w:tc>
        <w:tc>
          <w:tcPr>
            <w:tcW w:type="dxa" w:w="3260"/>
            <w:tcBorders>
              <w:top w:color="000000" w:sz="4" w:val="single"/>
            </w:tcBorders>
          </w:tcPr>
          <w:p w14:paraId="E500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Среднегодовая численность, занятых в строительстве, чел.</w:t>
            </w:r>
          </w:p>
        </w:tc>
        <w:tc>
          <w:tcPr>
            <w:tcW w:type="dxa" w:w="1985"/>
            <w:tcBorders>
              <w:top w:color="000000" w:sz="4" w:val="single"/>
            </w:tcBorders>
          </w:tcPr>
          <w:p w14:paraId="E6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313</w:t>
            </w:r>
          </w:p>
        </w:tc>
        <w:tc>
          <w:tcPr>
            <w:tcW w:type="dxa" w:w="1934"/>
            <w:tcBorders>
              <w:top w:color="000000" w:sz="4" w:val="single"/>
            </w:tcBorders>
          </w:tcPr>
          <w:p w14:paraId="E7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788</w:t>
            </w:r>
          </w:p>
        </w:tc>
        <w:tc>
          <w:tcPr>
            <w:tcW w:type="dxa" w:w="1893"/>
            <w:tcBorders>
              <w:top w:color="000000" w:sz="4" w:val="single"/>
            </w:tcBorders>
          </w:tcPr>
          <w:p w14:paraId="E8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2 776</w:t>
            </w:r>
          </w:p>
        </w:tc>
      </w:tr>
    </w:tbl>
    <w:p w14:paraId="E9000000">
      <w:pPr>
        <w:widowControl w:val="1"/>
        <w:ind w:firstLine="709"/>
        <w:jc w:val="both"/>
        <w:rPr>
          <w:rFonts w:ascii="Times New Roman" w:hAnsi="Times New Roman"/>
        </w:rPr>
      </w:pPr>
    </w:p>
    <w:p w14:paraId="EA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Превышение численности персонала на 30.06.2023 году, над численностью на 30.06.2024 г. было связано с тем, что 30 июня 2023 года еще не была проведена реорганизация, в результате которой из ПАО «СУС» было выделено в отдельное предприятие подразделение, оказывающего услуги транспорта и </w:t>
      </w:r>
      <w:r>
        <w:rPr>
          <w:rFonts w:ascii="Times New Roman" w:hAnsi="Times New Roman"/>
        </w:rPr>
        <w:t>машин</w:t>
      </w:r>
      <w:r>
        <w:rPr>
          <w:rFonts w:ascii="Times New Roman" w:hAnsi="Times New Roman"/>
        </w:rPr>
        <w:t xml:space="preserve"> и механизмов. </w:t>
      </w:r>
    </w:p>
    <w:p w14:paraId="EB00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Сразу после реорганизации, началось наполнение организационной структуры предприятия строительными и производственными подразделениями. Что подтверждается ростом численности сотрудников на 30.06.2025г. </w:t>
      </w:r>
    </w:p>
    <w:p w14:paraId="EC00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Проведенная в середине 2023 года реорганизация кардинально изменила расстановку направлений деятельности. К окончанию 1 полугодия 2025г. доля СМР в структуре выручки занимает более 95%.</w:t>
      </w:r>
    </w:p>
    <w:p w14:paraId="ED000000">
      <w:pPr>
        <w:pStyle w:val="Style_10"/>
        <w:widowControl w:val="1"/>
        <w:spacing w:before="0" w:line="240" w:lineRule="auto"/>
        <w:ind w:firstLine="720" w:left="0"/>
        <w:jc w:val="both"/>
        <w:rPr>
          <w:sz w:val="22"/>
        </w:rPr>
      </w:pPr>
    </w:p>
    <w:p w14:paraId="EE000000">
      <w:pPr>
        <w:widowControl w:val="1"/>
        <w:ind w:firstLine="720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</w:rPr>
        <w:t xml:space="preserve">Основные результаты деятельности ПАО «СУС», (тыс. </w:t>
      </w:r>
      <w:r>
        <w:rPr>
          <w:rFonts w:ascii="Times New Roman" w:hAnsi="Times New Roman"/>
          <w:sz w:val="22"/>
        </w:rPr>
        <w:t>руб.)</w:t>
      </w:r>
    </w:p>
    <w:p w14:paraId="EF000000">
      <w:pPr>
        <w:widowControl w:val="1"/>
        <w:ind w:firstLine="720"/>
        <w:jc w:val="center"/>
        <w:rPr>
          <w:rFonts w:ascii="Times New Roman" w:hAnsi="Times New Roman"/>
          <w:sz w:val="22"/>
        </w:rPr>
      </w:pPr>
    </w:p>
    <w:tbl>
      <w:tblPr>
        <w:tblStyle w:val="Style_9"/>
        <w:tblW w:type="auto" w:w="0"/>
        <w:tblLayout w:type="fixed"/>
      </w:tblPr>
      <w:tblGrid>
        <w:gridCol w:w="4673"/>
        <w:gridCol w:w="1531"/>
        <w:gridCol w:w="1559"/>
        <w:gridCol w:w="1807"/>
      </w:tblGrid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F0000000">
            <w:pPr>
              <w:widowControl w:val="1"/>
              <w:spacing w:line="360" w:lineRule="auto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Наименование показателей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F1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 полугодие</w:t>
            </w:r>
          </w:p>
          <w:p w14:paraId="F2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2023 года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F3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 полугодие</w:t>
            </w:r>
          </w:p>
          <w:p w14:paraId="F4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2024 года</w:t>
            </w:r>
          </w:p>
        </w:tc>
        <w:tc>
          <w:tcPr>
            <w:tcW w:type="dxa" w:w="1807"/>
            <w:vAlign w:val="center"/>
          </w:tcPr>
          <w:p w14:paraId="F5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1 полугодие</w:t>
            </w:r>
          </w:p>
          <w:p w14:paraId="F6000000">
            <w:pPr>
              <w:widowControl w:val="1"/>
              <w:ind/>
              <w:jc w:val="center"/>
              <w:rPr>
                <w:rFonts w:ascii="Times New Roman" w:hAnsi="Times New Roman"/>
                <w:b w:val="1"/>
                <w:color w:val="FB290D"/>
              </w:rPr>
            </w:pPr>
            <w:r>
              <w:rPr>
                <w:rFonts w:ascii="Times New Roman" w:hAnsi="Times New Roman"/>
                <w:b w:val="1"/>
              </w:rPr>
              <w:t>2025 года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F700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Выручка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F8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1 742 524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F9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13 366 397</w:t>
            </w:r>
          </w:p>
        </w:tc>
        <w:tc>
          <w:tcPr>
            <w:tcW w:type="dxa" w:w="1807"/>
            <w:vAlign w:val="center"/>
          </w:tcPr>
          <w:p w14:paraId="FA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8 306 163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FB00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Себестоимость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FC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1 767 090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FD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13 950 698</w:t>
            </w:r>
          </w:p>
        </w:tc>
        <w:tc>
          <w:tcPr>
            <w:tcW w:type="dxa" w:w="1807"/>
            <w:vAlign w:val="center"/>
          </w:tcPr>
          <w:p w14:paraId="FE00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9 030 247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FF00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Убыток от продаж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bottom"/>
          </w:tcPr>
          <w:p w14:paraId="00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91 408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bottom"/>
          </w:tcPr>
          <w:p w14:paraId="01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807 914</w:t>
            </w:r>
          </w:p>
        </w:tc>
        <w:tc>
          <w:tcPr>
            <w:tcW w:type="dxa" w:w="1807"/>
            <w:vAlign w:val="bottom"/>
          </w:tcPr>
          <w:p w14:paraId="02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1 082 005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301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Убыток  до налогообложения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04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119 715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05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1 058 090</w:t>
            </w:r>
          </w:p>
        </w:tc>
        <w:tc>
          <w:tcPr>
            <w:tcW w:type="dxa" w:w="1807"/>
            <w:vAlign w:val="center"/>
          </w:tcPr>
          <w:p w14:paraId="06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1 205 021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701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Чистый убыток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08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100 658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09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785 744</w:t>
            </w:r>
          </w:p>
        </w:tc>
        <w:tc>
          <w:tcPr>
            <w:tcW w:type="dxa" w:w="1807"/>
            <w:vAlign w:val="center"/>
          </w:tcPr>
          <w:p w14:paraId="0A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914 485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B01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Сумма активов баланса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0C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3 575м997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0D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17 177 642</w:t>
            </w:r>
          </w:p>
        </w:tc>
        <w:tc>
          <w:tcPr>
            <w:tcW w:type="dxa" w:w="18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E010000">
            <w:pPr>
              <w:widowControl w:val="1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29 860 713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F01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Оборотные средства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10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2 981 549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11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16 585 422</w:t>
            </w:r>
          </w:p>
        </w:tc>
        <w:tc>
          <w:tcPr>
            <w:tcW w:type="dxa" w:w="18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2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28 169 664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301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Кредиторская задолженность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14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5 665 476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15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20 284 143</w:t>
            </w:r>
          </w:p>
        </w:tc>
        <w:tc>
          <w:tcPr>
            <w:tcW w:type="dxa" w:w="18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6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34 561 095</w:t>
            </w:r>
          </w:p>
        </w:tc>
      </w:tr>
      <w:tr>
        <w:tc>
          <w:tcPr>
            <w:tcW w:type="dxa" w:w="467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7010000">
            <w:pPr>
              <w:widowControl w:val="1"/>
              <w:spacing w:line="360" w:lineRule="auto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Чистые активы</w:t>
            </w:r>
          </w:p>
        </w:tc>
        <w:tc>
          <w:tcPr>
            <w:tcW w:type="dxa" w:w="153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18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-3 288 998</w:t>
            </w:r>
          </w:p>
        </w:tc>
        <w:tc>
          <w:tcPr>
            <w:tcW w:type="dxa" w:w="155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 w14:paraId="19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-3 745 180</w:t>
            </w:r>
          </w:p>
        </w:tc>
        <w:tc>
          <w:tcPr>
            <w:tcW w:type="dxa" w:w="180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A010000">
            <w:pPr>
              <w:widowControl w:val="1"/>
              <w:spacing w:line="360" w:lineRule="auto"/>
              <w:ind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- 4 878 543</w:t>
            </w:r>
          </w:p>
        </w:tc>
      </w:tr>
    </w:tbl>
    <w:p w14:paraId="1B010000">
      <w:pPr>
        <w:pStyle w:val="Style_10"/>
        <w:widowControl w:val="1"/>
        <w:spacing w:before="0" w:line="240" w:lineRule="auto"/>
        <w:ind w:firstLine="720" w:left="0"/>
        <w:jc w:val="center"/>
        <w:rPr>
          <w:sz w:val="22"/>
        </w:rPr>
      </w:pPr>
    </w:p>
    <w:p w14:paraId="1C010000">
      <w:pPr>
        <w:widowControl w:val="1"/>
        <w:tabs>
          <w:tab w:leader="none" w:pos="1722" w:val="left"/>
        </w:tabs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1 полугодии 2025 г. на финансово-хозяйственную деятельность ПАО «СУС» продолжают оказывать существенное влияние комплекс факторов экономического и иного характера. Среди них, геополитическая обстановка, ограничения, введенные в отношении Российской Федерации, ее экономических субъектов и граждан отдельными государствами и их объединениями, меры, принимаемые в Российской Федерации в ответ на внешнее </w:t>
      </w:r>
      <w:r>
        <w:rPr>
          <w:rFonts w:ascii="Times New Roman" w:hAnsi="Times New Roman"/>
        </w:rPr>
        <w:t>санкционное</w:t>
      </w:r>
      <w:r>
        <w:rPr>
          <w:rFonts w:ascii="Times New Roman" w:hAnsi="Times New Roman"/>
        </w:rPr>
        <w:t xml:space="preserve"> давление. </w:t>
      </w:r>
    </w:p>
    <w:p w14:paraId="1D010000">
      <w:pPr>
        <w:widowControl w:val="1"/>
        <w:tabs>
          <w:tab w:leader="none" w:pos="0" w:val="left"/>
        </w:tabs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Наиболее капиталоемким элементом в строительстве продолжают оставаться рабочая сила и эксплуатация механизмов. Существенное влияние на себестоимость оказывает рост цен на арматуру и металл, бетон и растворы, кладочные материалы, инженерные сети и др. материалы. </w:t>
      </w:r>
    </w:p>
    <w:p w14:paraId="1E010000">
      <w:pPr>
        <w:widowControl w:val="1"/>
        <w:tabs>
          <w:tab w:leader="none" w:pos="0" w:val="left"/>
        </w:tabs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Так же, рост себестоимости был обусловлен общей волатильностью на рынке и ростом инфляции.</w:t>
      </w:r>
    </w:p>
    <w:p w14:paraId="1F010000">
      <w:pPr>
        <w:pStyle w:val="Style_10"/>
        <w:widowControl w:val="1"/>
        <w:spacing w:before="0" w:line="240" w:lineRule="auto"/>
        <w:ind w:firstLine="720" w:left="0"/>
        <w:jc w:val="both"/>
        <w:rPr>
          <w:sz w:val="24"/>
        </w:rPr>
      </w:pPr>
    </w:p>
    <w:p w14:paraId="20010000">
      <w:bookmarkStart w:id="10" w:name="__RefHeading___38"/>
      <w:bookmarkEnd w:id="10"/>
      <w:pPr>
        <w:pStyle w:val="Style_7"/>
        <w:widowControl w:val="1"/>
        <w:spacing w:before="240"/>
        <w:ind w:left="425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1.4. Основные финансовые показатели ПАО «СУС»</w:t>
      </w:r>
    </w:p>
    <w:p w14:paraId="2101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22010000">
      <w:bookmarkStart w:id="11" w:name="__RefHeading___39"/>
      <w:bookmarkEnd w:id="11"/>
      <w:pPr>
        <w:pStyle w:val="Style_7"/>
        <w:widowControl w:val="1"/>
        <w:spacing w:before="240"/>
        <w:ind w:left="283"/>
        <w:jc w:val="both"/>
        <w:rPr>
          <w:rFonts w:ascii="Times New Roman" w:hAnsi="Times New Roman"/>
          <w:b w:val="1"/>
        </w:rPr>
      </w:pPr>
      <w:bookmarkStart w:id="12" w:name="P242"/>
      <w:bookmarkEnd w:id="12"/>
      <w:r>
        <w:rPr>
          <w:rFonts w:ascii="Times New Roman" w:hAnsi="Times New Roman"/>
          <w:b w:val="1"/>
        </w:rPr>
        <w:t>1.5. Сведения об основных поставщиках эмитента</w:t>
      </w:r>
    </w:p>
    <w:p w14:paraId="2301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24010000">
      <w:bookmarkStart w:id="13" w:name="__RefHeading___40"/>
      <w:bookmarkEnd w:id="13"/>
      <w:pPr>
        <w:pStyle w:val="Style_7"/>
        <w:widowControl w:val="1"/>
        <w:spacing w:before="240"/>
        <w:ind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1.6. Сведения об основных дебиторах эмитента</w:t>
      </w:r>
    </w:p>
    <w:p w14:paraId="2501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26010000">
      <w:bookmarkStart w:id="14" w:name="__RefHeading___41"/>
      <w:bookmarkEnd w:id="14"/>
      <w:pPr>
        <w:pStyle w:val="Style_7"/>
        <w:widowControl w:val="1"/>
        <w:spacing w:before="240"/>
        <w:ind w:left="283"/>
        <w:jc w:val="both"/>
        <w:rPr>
          <w:rFonts w:ascii="Times New Roman" w:hAnsi="Times New Roman"/>
          <w:b w:val="1"/>
        </w:rPr>
      </w:pPr>
      <w:bookmarkStart w:id="15" w:name="P268"/>
      <w:bookmarkEnd w:id="15"/>
      <w:r>
        <w:rPr>
          <w:rFonts w:ascii="Times New Roman" w:hAnsi="Times New Roman"/>
          <w:b w:val="1"/>
        </w:rPr>
        <w:t>1.7. Сведения об обязательствах эмитента</w:t>
      </w:r>
    </w:p>
    <w:p w14:paraId="2701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28010000">
      <w:bookmarkStart w:id="16" w:name="__RefHeading___42"/>
      <w:bookmarkEnd w:id="16"/>
      <w:pPr>
        <w:pStyle w:val="Style_7"/>
        <w:widowControl w:val="1"/>
        <w:spacing w:before="240"/>
        <w:ind w:left="283"/>
        <w:jc w:val="both"/>
        <w:rPr>
          <w:rFonts w:ascii="Times New Roman" w:hAnsi="Times New Roman"/>
          <w:b w:val="1"/>
        </w:rPr>
      </w:pPr>
      <w:bookmarkStart w:id="17" w:name="P300"/>
      <w:bookmarkEnd w:id="17"/>
      <w:r>
        <w:rPr>
          <w:rFonts w:ascii="Times New Roman" w:hAnsi="Times New Roman"/>
          <w:b w:val="1"/>
        </w:rPr>
        <w:t>1.8. Сведения о перспективах развития эмитента</w:t>
      </w:r>
    </w:p>
    <w:p w14:paraId="2901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color w:val="FB290D"/>
          <w:sz w:val="24"/>
        </w:rPr>
      </w:pPr>
      <w:bookmarkStart w:id="18" w:name="P304"/>
      <w:bookmarkEnd w:id="18"/>
      <w:r>
        <w:rPr>
          <w:rFonts w:ascii="Times New Roman" w:hAnsi="Times New Roman"/>
          <w:sz w:val="24"/>
        </w:rPr>
        <w:t>Сведения о перспективах развития общества на 2025-2029 гг. раскрыта Обществом в Годовом отчете, утвержденном Общим собранием акционеров ПАО «СУС» 30.06.2025 г. (Протокол ГОСА №1-2025 от 02.07.2025).</w:t>
      </w:r>
    </w:p>
    <w:p w14:paraId="2A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ПАО «СУС» намерено непрерывно продолжать деятельность в обозримом будущем.</w:t>
      </w:r>
    </w:p>
    <w:p w14:paraId="2B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Основными стратегическими задачами ПАО «СУС» в долгосрочной перспективе являются развитие компании, как одной из ведущих компаний в области выполнения строительно-монтажных работ как на территории Российской Федерации, так и за рубежом, повышение прибыли акционеров путем ежегодного наращивания объемов выполняемых строительно-монтажных работ, обеспечение безубыточной производственно-хозяйственной деятельности всех структурных подразделений Общества.</w:t>
      </w:r>
    </w:p>
    <w:p w14:paraId="2C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серьезность и долговременность ведения финансово-хозяйственной деятельности ПАО СУС указывают прогнозные показатели выручки, основанные на данных, уже заключенных договоров, и контрактов, находящихся в процессе согласования на период до 2034 года. </w:t>
      </w:r>
    </w:p>
    <w:p w14:paraId="2D010000">
      <w:pPr>
        <w:widowControl w:val="1"/>
        <w:ind w:firstLine="720"/>
        <w:jc w:val="both"/>
        <w:rPr>
          <w:rFonts w:ascii="Times New Roman" w:hAnsi="Times New Roman"/>
        </w:rPr>
      </w:pPr>
    </w:p>
    <w:p w14:paraId="2E010000">
      <w:pPr>
        <w:widowControl w:val="1"/>
        <w:ind w:firstLine="720"/>
        <w:jc w:val="center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Динамика прогнозируемой выручки ПАО «СУС», </w:t>
      </w:r>
      <w:r>
        <w:rPr>
          <w:rFonts w:ascii="Times New Roman" w:hAnsi="Times New Roman"/>
          <w:b w:val="1"/>
        </w:rPr>
        <w:t>тыс.руб</w:t>
      </w:r>
      <w:r>
        <w:rPr>
          <w:rFonts w:ascii="Times New Roman" w:hAnsi="Times New Roman"/>
          <w:b w:val="1"/>
        </w:rPr>
        <w:t>.</w:t>
      </w:r>
    </w:p>
    <w:p w14:paraId="2F010000">
      <w:pPr>
        <w:widowControl w:val="1"/>
        <w:ind w:firstLine="720"/>
        <w:jc w:val="both"/>
        <w:rPr>
          <w:rFonts w:ascii="Times New Roman" w:hAnsi="Times New Roman"/>
        </w:rPr>
      </w:pPr>
    </w:p>
    <w:tbl>
      <w:tblPr>
        <w:tblStyle w:val="Style_2"/>
        <w:tblW w:type="auto" w:w="0"/>
        <w:tblInd w:type="dxa" w:w="108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1985"/>
        <w:gridCol w:w="1276"/>
        <w:gridCol w:w="1417"/>
        <w:gridCol w:w="1276"/>
        <w:gridCol w:w="1134"/>
        <w:gridCol w:w="1276"/>
        <w:gridCol w:w="1417"/>
      </w:tblGrid>
      <w:tr>
        <w:trPr>
          <w:trHeight w:hRule="atLeast" w:val="315"/>
        </w:trPr>
        <w:tc>
          <w:tcPr>
            <w:tcW w:type="dxa" w:w="198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0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Показатель</w:t>
            </w:r>
          </w:p>
        </w:tc>
        <w:tc>
          <w:tcPr>
            <w:tcW w:type="dxa" w:w="12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1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2024 г.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2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2025 г.</w:t>
            </w:r>
          </w:p>
        </w:tc>
        <w:tc>
          <w:tcPr>
            <w:tcW w:type="dxa" w:w="12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3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2026 г.</w:t>
            </w:r>
          </w:p>
        </w:tc>
        <w:tc>
          <w:tcPr>
            <w:tcW w:type="dxa" w:w="11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4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2027 г.</w:t>
            </w:r>
          </w:p>
        </w:tc>
        <w:tc>
          <w:tcPr>
            <w:tcW w:type="dxa" w:w="12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5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2028 г.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6010000">
            <w:pPr>
              <w:widowControl w:val="1"/>
              <w:ind/>
              <w:jc w:val="center"/>
              <w:rPr>
                <w:rFonts w:ascii="Times New Roman" w:hAnsi="Times New Roman"/>
                <w:b w:val="1"/>
              </w:rPr>
            </w:pPr>
            <w:r>
              <w:rPr>
                <w:rFonts w:ascii="Times New Roman" w:hAnsi="Times New Roman"/>
                <w:b w:val="1"/>
              </w:rPr>
              <w:t>2029 г.</w:t>
            </w:r>
          </w:p>
        </w:tc>
      </w:tr>
      <w:tr>
        <w:trPr>
          <w:trHeight w:hRule="atLeast" w:val="315"/>
        </w:trPr>
        <w:tc>
          <w:tcPr>
            <w:tcW w:type="dxa" w:w="198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7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Выручка</w:t>
            </w:r>
          </w:p>
        </w:tc>
        <w:tc>
          <w:tcPr>
            <w:tcW w:type="dxa" w:w="12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8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13 366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9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29 298</w:t>
            </w:r>
          </w:p>
        </w:tc>
        <w:tc>
          <w:tcPr>
            <w:tcW w:type="dxa" w:w="12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A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38 761</w:t>
            </w:r>
          </w:p>
        </w:tc>
        <w:tc>
          <w:tcPr>
            <w:tcW w:type="dxa" w:w="11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B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77 167</w:t>
            </w:r>
          </w:p>
        </w:tc>
        <w:tc>
          <w:tcPr>
            <w:tcW w:type="dxa" w:w="12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C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127 528*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top w:type="dxa" w:w="0"/>
              <w:left w:type="dxa" w:w="108"/>
              <w:bottom w:type="dxa" w:w="0"/>
              <w:right w:type="dxa" w:w="108"/>
            </w:tcMar>
          </w:tcPr>
          <w:p w14:paraId="3D010000">
            <w:pPr>
              <w:widowControl w:val="1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77 242</w:t>
            </w:r>
          </w:p>
        </w:tc>
      </w:tr>
    </w:tbl>
    <w:p w14:paraId="3E010000">
      <w:pPr>
        <w:widowControl w:val="1"/>
        <w:ind w:firstLine="720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0"/>
        </w:rPr>
        <w:t>Значительный рост плановых показателей выручки в 2028 году, связан со значительными объемами по выполнению комплекса работ по строительству энергоблоков № 1,2 Смоленской АЭС-2 (в соответствии с графиками СМР).</w:t>
      </w:r>
    </w:p>
    <w:p w14:paraId="3F010000">
      <w:pPr>
        <w:widowControl w:val="1"/>
        <w:ind w:firstLine="720"/>
        <w:jc w:val="both"/>
        <w:rPr>
          <w:rFonts w:ascii="Times New Roman" w:hAnsi="Times New Roman"/>
        </w:rPr>
      </w:pPr>
    </w:p>
    <w:p w14:paraId="40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Целями ПАО «СУС», как одной из ведущих компаний в области строительства объектов атомной энергетики, в части общестроительных работ, в долгосрочной перспективе являются дальнейшее развитие компании, за счет повышения эффективности использования ресурсов и актуальных методик ценообразования на производстве объектов, расширение географии участия на строительных объектах (площадках) строительств, путем пополнения производственной программы новыми объектами, находящимися за пределами региона.</w:t>
      </w:r>
    </w:p>
    <w:p w14:paraId="41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Основным перспективным направлением деятельности ПАО «СУС» является строительно-монтажные работы на объектах:</w:t>
      </w:r>
    </w:p>
    <w:p w14:paraId="42010000">
      <w:pPr>
        <w:pStyle w:val="Style_11"/>
        <w:widowControl w:val="1"/>
        <w:numPr>
          <w:ilvl w:val="0"/>
          <w:numId w:val="3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подготовка к строительству объектов замещающих мощностей на стройплощадке ЛАЭС-2 (блоки № 3 и № 4); </w:t>
      </w:r>
    </w:p>
    <w:p w14:paraId="43010000">
      <w:pPr>
        <w:pStyle w:val="Style_11"/>
        <w:widowControl w:val="1"/>
        <w:numPr>
          <w:ilvl w:val="0"/>
          <w:numId w:val="3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реконструкция объектов (вывод из эксплуатации остановленных и реконструкция действующих) энергоблоков Ленинградской АЭС;</w:t>
      </w:r>
    </w:p>
    <w:p w14:paraId="44010000">
      <w:pPr>
        <w:pStyle w:val="Style_11"/>
        <w:widowControl w:val="1"/>
        <w:numPr>
          <w:ilvl w:val="0"/>
          <w:numId w:val="3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выполнение работ в г. Сосновый Бор, заказчиком которых выступает ФГУП «Научно- исследовательский технологический институт им. А.П. Александрова», Правительство Ленинградской области;</w:t>
      </w:r>
    </w:p>
    <w:p w14:paraId="45010000">
      <w:pPr>
        <w:pStyle w:val="Style_11"/>
        <w:widowControl w:val="1"/>
        <w:numPr>
          <w:ilvl w:val="0"/>
          <w:numId w:val="3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выполнение работ на объектах Курская АЭС, объект «Прорыв» </w:t>
      </w:r>
      <w:r>
        <w:rPr>
          <w:rFonts w:ascii="Times New Roman" w:hAnsi="Times New Roman"/>
        </w:rPr>
        <w:t>в</w:t>
      </w:r>
      <w:r>
        <w:rPr>
          <w:rFonts w:ascii="Times New Roman" w:hAnsi="Times New Roman"/>
        </w:rPr>
        <w:t xml:space="preserve"> ЗАТО г. Северск, Красноярский Край г. Норильск), Центральном, Уральском, Сибирском Федеральных округах.</w:t>
      </w:r>
    </w:p>
    <w:p w14:paraId="46010000">
      <w:pPr>
        <w:pStyle w:val="Style_11"/>
        <w:widowControl w:val="1"/>
        <w:numPr>
          <w:ilvl w:val="0"/>
          <w:numId w:val="3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выполнение строительно-монтажных работ на зарубежном проекте по строительству АЭС Эль-</w:t>
      </w:r>
      <w:r>
        <w:rPr>
          <w:rFonts w:ascii="Times New Roman" w:hAnsi="Times New Roman"/>
        </w:rPr>
        <w:t>Дабаа</w:t>
      </w:r>
      <w:r>
        <w:rPr>
          <w:rFonts w:ascii="Times New Roman" w:hAnsi="Times New Roman"/>
        </w:rPr>
        <w:t xml:space="preserve"> в АРЕ </w:t>
      </w:r>
      <w:r>
        <w:rPr>
          <w:rFonts w:ascii="Times New Roman" w:hAnsi="Times New Roman"/>
        </w:rPr>
        <w:t>Египет .</w:t>
      </w:r>
      <w:r>
        <w:rPr>
          <w:rFonts w:ascii="Times New Roman" w:hAnsi="Times New Roman"/>
        </w:rPr>
        <w:t xml:space="preserve"> </w:t>
      </w:r>
    </w:p>
    <w:p w14:paraId="47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Особое внимание ПАО «СУС» уделяет развитию в других регионах Российской Федерации. Так, с 2015 года ПАО «СУС» участвует в строительстве объектов в Северо-Западном (Ленинградская АЭС-2, ФГУП «НИТИ им. А.П. Александрова», Курская АЭС, объект «Прорыв» </w:t>
      </w:r>
      <w:r>
        <w:rPr>
          <w:rFonts w:ascii="Times New Roman" w:hAnsi="Times New Roman"/>
        </w:rPr>
        <w:t>в</w:t>
      </w:r>
      <w:r>
        <w:rPr>
          <w:rFonts w:ascii="Times New Roman" w:hAnsi="Times New Roman"/>
        </w:rPr>
        <w:t xml:space="preserve"> ЗАТО г. Северск, Красноярский Край г. Норильск), Центральном, Уральском, Сибирском Федеральных округах, а также за пределами РФ ПАО СУС участвует в строительстве атомной станции АЭС «Аль-</w:t>
      </w:r>
      <w:r>
        <w:rPr>
          <w:rFonts w:ascii="Times New Roman" w:hAnsi="Times New Roman"/>
        </w:rPr>
        <w:t>Дабаа</w:t>
      </w:r>
      <w:r>
        <w:rPr>
          <w:rFonts w:ascii="Times New Roman" w:hAnsi="Times New Roman"/>
        </w:rPr>
        <w:t>» на территории АРЕ в Египте.</w:t>
      </w:r>
    </w:p>
    <w:p w14:paraId="48010000">
      <w:pPr>
        <w:widowControl w:val="1"/>
        <w:ind w:firstLine="720"/>
        <w:jc w:val="both"/>
        <w:rPr>
          <w:rFonts w:ascii="Times New Roman" w:hAnsi="Times New Roman"/>
        </w:rPr>
      </w:pPr>
    </w:p>
    <w:p w14:paraId="4901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целях снижения себестоимости строительно-монтажных работ и улучшения финансового состояния, во втором полугодии 2025 года, планируется и далее продолжать проводимые в ПАО СУС мероприятия, в частности: </w:t>
      </w:r>
    </w:p>
    <w:p w14:paraId="4A010000">
      <w:pPr>
        <w:widowControl w:val="1"/>
        <w:ind w:firstLine="720"/>
        <w:jc w:val="both"/>
        <w:rPr>
          <w:rFonts w:ascii="Times New Roman" w:hAnsi="Times New Roman"/>
        </w:rPr>
      </w:pPr>
    </w:p>
    <w:p w14:paraId="4B010000">
      <w:pPr>
        <w:pStyle w:val="Style_11"/>
        <w:widowControl w:val="1"/>
        <w:numPr>
          <w:ilvl w:val="0"/>
          <w:numId w:val="4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повышать производительность машин и механизмов по статье «Эксплуатация машин и механизмов», особенно в отношении арендованного оборудования. </w:t>
      </w:r>
    </w:p>
    <w:p w14:paraId="4C010000">
      <w:pPr>
        <w:widowControl w:val="1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Снижение перерасхода по данной статье достигается за счет </w:t>
      </w:r>
      <w:r>
        <w:rPr>
          <w:rFonts w:ascii="Times New Roman" w:hAnsi="Times New Roman"/>
        </w:rPr>
        <w:t>отимального</w:t>
      </w:r>
      <w:r>
        <w:rPr>
          <w:rFonts w:ascii="Times New Roman" w:hAnsi="Times New Roman"/>
        </w:rPr>
        <w:t xml:space="preserve"> планирования и грамотной организации работ на строительных площадках; использования более дешевых механизмов; недопущения простоев, особенно, при использовании арендованного оборудования; контроль за фактически отработанным временем арендованной техники и выполнением физического объема работ и др.</w:t>
      </w:r>
    </w:p>
    <w:p w14:paraId="4D010000">
      <w:pPr>
        <w:widowControl w:val="1"/>
        <w:ind w:firstLine="720"/>
        <w:jc w:val="both"/>
        <w:rPr>
          <w:rFonts w:ascii="Times New Roman" w:hAnsi="Times New Roman"/>
        </w:rPr>
      </w:pPr>
    </w:p>
    <w:p w14:paraId="4E010000">
      <w:pPr>
        <w:pStyle w:val="Style_11"/>
        <w:widowControl w:val="1"/>
        <w:numPr>
          <w:ilvl w:val="0"/>
          <w:numId w:val="4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минимизировать затраты на создание временной инфраструктуры строительной площадки (временные дороги, временные ограждения, временное </w:t>
      </w:r>
      <w:r>
        <w:rPr>
          <w:rFonts w:ascii="Times New Roman" w:hAnsi="Times New Roman"/>
        </w:rPr>
        <w:t>энерго</w:t>
      </w:r>
      <w:r>
        <w:rPr>
          <w:rFonts w:ascii="Times New Roman" w:hAnsi="Times New Roman"/>
        </w:rPr>
        <w:t xml:space="preserve">- и водоснабжение) путем рациональной организации строительной площадки; </w:t>
      </w:r>
    </w:p>
    <w:p w14:paraId="4F010000">
      <w:pPr>
        <w:widowControl w:val="1"/>
        <w:ind w:firstLine="720"/>
        <w:jc w:val="both"/>
        <w:rPr>
          <w:rFonts w:ascii="Times New Roman" w:hAnsi="Times New Roman"/>
        </w:rPr>
      </w:pPr>
    </w:p>
    <w:p w14:paraId="50010000">
      <w:pPr>
        <w:pStyle w:val="Style_11"/>
        <w:widowControl w:val="1"/>
        <w:numPr>
          <w:ilvl w:val="0"/>
          <w:numId w:val="4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исключать простои рабочей силы, обеспечивая тем самым непрерывность производственных процессов на объектах строительства и повышая производительность труда.</w:t>
      </w:r>
    </w:p>
    <w:p w14:paraId="51010000">
      <w:pPr>
        <w:widowControl w:val="1"/>
        <w:ind w:left="1080"/>
        <w:jc w:val="both"/>
        <w:rPr>
          <w:rFonts w:ascii="Times New Roman" w:hAnsi="Times New Roman"/>
        </w:rPr>
      </w:pPr>
    </w:p>
    <w:p w14:paraId="52010000">
      <w:pPr>
        <w:pStyle w:val="Style_11"/>
        <w:widowControl w:val="1"/>
        <w:numPr>
          <w:ilvl w:val="0"/>
          <w:numId w:val="4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повышать производительность труда за счет роста уровня механизации строительного производства; применения новых технологий; совершенствования оперативного планирования и управления; укрепления технологической и трудовой дисциплины.</w:t>
      </w:r>
    </w:p>
    <w:p w14:paraId="53010000">
      <w:pPr>
        <w:widowControl w:val="1"/>
        <w:ind w:left="720"/>
        <w:jc w:val="both"/>
        <w:rPr>
          <w:rFonts w:ascii="Times New Roman" w:hAnsi="Times New Roman"/>
        </w:rPr>
      </w:pPr>
    </w:p>
    <w:p w14:paraId="54010000">
      <w:pPr>
        <w:pStyle w:val="Style_11"/>
        <w:widowControl w:val="1"/>
        <w:numPr>
          <w:ilvl w:val="0"/>
          <w:numId w:val="4"/>
        </w:numPr>
        <w:ind w:firstLine="1080"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проводить мероприятия по недопущению перерасхода материалов и сырья (в </w:t>
      </w:r>
      <w:r>
        <w:rPr>
          <w:rFonts w:ascii="Times New Roman" w:hAnsi="Times New Roman"/>
        </w:rPr>
        <w:t>т.ч</w:t>
      </w:r>
      <w:r>
        <w:rPr>
          <w:rFonts w:ascii="Times New Roman" w:hAnsi="Times New Roman"/>
        </w:rPr>
        <w:t>. таких как: борьба со сверхнормативными потерями в процессе транспортировки; небрежностью в обращении при производстве работ; переделкой некачественно выполненных работ; неправильным хранением, хищением и недостачами).</w:t>
      </w:r>
    </w:p>
    <w:p w14:paraId="55010000">
      <w:bookmarkStart w:id="19" w:name="__RefHeading___43"/>
      <w:bookmarkEnd w:id="19"/>
      <w:pPr>
        <w:pStyle w:val="Style_7"/>
        <w:widowControl w:val="1"/>
        <w:spacing w:before="240"/>
        <w:ind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1.9. Сведения о рисках, связанных с деятельностью эмитента</w:t>
      </w:r>
    </w:p>
    <w:p w14:paraId="5601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Ценные бумаги Эмитента не допущены к организованным торгам, поэтому данный пункт в состав отчета эмитента за 6 месяцев не включается.</w:t>
      </w:r>
    </w:p>
    <w:p w14:paraId="57010000">
      <w:bookmarkStart w:id="20" w:name="__RefHeading___44"/>
      <w:bookmarkEnd w:id="20"/>
      <w:pPr>
        <w:widowControl w:val="1"/>
        <w:spacing w:after="120" w:before="360"/>
        <w:ind/>
        <w:jc w:val="both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2. Сведения о лицах, входящих в состав органов управления эмитента, сведения об организации в эмитенте управления рисками, контроля за финансово - хозяйственной деятельностью и внутреннего контроля, внутреннего аудита, а также сведения о работниках эмитента</w:t>
      </w:r>
    </w:p>
    <w:p w14:paraId="58010000">
      <w:bookmarkStart w:id="21" w:name="__RefHeading___45"/>
      <w:bookmarkEnd w:id="21"/>
      <w:pPr>
        <w:pStyle w:val="Style_7"/>
        <w:widowControl w:val="1"/>
        <w:numPr>
          <w:ilvl w:val="1"/>
          <w:numId w:val="5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22" w:name="P380"/>
      <w:bookmarkEnd w:id="22"/>
      <w:r>
        <w:rPr>
          <w:rFonts w:ascii="Times New Roman" w:hAnsi="Times New Roman"/>
          <w:b w:val="1"/>
        </w:rPr>
        <w:t>Информация о лицах, входящих в состав органов управления эмитента</w:t>
      </w:r>
    </w:p>
    <w:p w14:paraId="59010000">
      <w:pPr>
        <w:widowControl w:val="1"/>
        <w:ind/>
        <w:jc w:val="both"/>
      </w:pPr>
    </w:p>
    <w:p w14:paraId="5A010000">
      <w:pPr>
        <w:widowControl w:val="1"/>
        <w:spacing w:after="40" w:before="20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Органами управления Общества согласно </w:t>
      </w:r>
      <w:r>
        <w:rPr>
          <w:rFonts w:ascii="Times New Roman" w:hAnsi="Times New Roman"/>
        </w:rPr>
        <w:t>уставу</w:t>
      </w:r>
      <w:r>
        <w:rPr>
          <w:rFonts w:ascii="Times New Roman" w:hAnsi="Times New Roman"/>
        </w:rPr>
        <w:t xml:space="preserve"> являются:</w:t>
      </w:r>
    </w:p>
    <w:p w14:paraId="5B010000">
      <w:pPr>
        <w:widowControl w:val="1"/>
        <w:numPr>
          <w:ilvl w:val="0"/>
          <w:numId w:val="6"/>
        </w:numPr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Общее собрание акционеров</w:t>
      </w:r>
    </w:p>
    <w:p w14:paraId="5C010000">
      <w:pPr>
        <w:widowControl w:val="1"/>
        <w:numPr>
          <w:ilvl w:val="0"/>
          <w:numId w:val="6"/>
        </w:numPr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Совет директоров</w:t>
      </w:r>
    </w:p>
    <w:p w14:paraId="5D010000">
      <w:pPr>
        <w:widowControl w:val="1"/>
        <w:numPr>
          <w:ilvl w:val="0"/>
          <w:numId w:val="6"/>
        </w:numPr>
        <w:spacing w:after="40" w:before="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Генеральный директор (исполнительный орган Общества).</w:t>
      </w:r>
    </w:p>
    <w:p w14:paraId="5E010000">
      <w:pPr>
        <w:widowControl w:val="1"/>
        <w:spacing w:after="40" w:before="20"/>
        <w:ind w:left="644"/>
        <w:jc w:val="both"/>
        <w:rPr>
          <w:rFonts w:ascii="Times New Roman" w:hAnsi="Times New Roman"/>
        </w:rPr>
      </w:pPr>
    </w:p>
    <w:p w14:paraId="5F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 xml:space="preserve">Совет Директоров </w:t>
      </w:r>
      <w:r>
        <w:rPr>
          <w:rFonts w:ascii="Times New Roman" w:hAnsi="Times New Roman"/>
        </w:rPr>
        <w:t>осуществляет общее руководство деятельностью Общества, за исключением решения вопросов, отнесенных Федеральным законом «</w:t>
      </w:r>
      <w:r>
        <w:rPr>
          <w:rFonts w:ascii="Times New Roman" w:hAnsi="Times New Roman"/>
        </w:rPr>
        <w:t>Об акционерных обществ</w:t>
      </w:r>
      <w:r>
        <w:rPr>
          <w:rFonts w:ascii="Times New Roman" w:hAnsi="Times New Roman"/>
        </w:rPr>
        <w:t xml:space="preserve"> к компетенции общего собрания акционеров.</w:t>
      </w:r>
    </w:p>
    <w:p w14:paraId="60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30 июня 2025 года в состав Совета директоров общества 30 июня 2025 года были избраны 7 членов (Протокол ГОСА №1-2025):</w:t>
      </w:r>
    </w:p>
    <w:p w14:paraId="61010000">
      <w:pPr>
        <w:widowControl w:val="1"/>
        <w:numPr>
          <w:ilvl w:val="0"/>
          <w:numId w:val="7"/>
        </w:numPr>
        <w:tabs>
          <w:tab w:leader="none" w:pos="426" w:val="left"/>
        </w:tabs>
        <w:ind/>
        <w:contextualSpacing w:val="1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 xml:space="preserve">Глазырин Андрей Владимирович </w:t>
      </w:r>
    </w:p>
    <w:p w14:paraId="62010000">
      <w:pPr>
        <w:widowControl w:val="1"/>
        <w:numPr>
          <w:ilvl w:val="0"/>
          <w:numId w:val="7"/>
        </w:numPr>
        <w:tabs>
          <w:tab w:leader="none" w:pos="426" w:val="left"/>
        </w:tabs>
        <w:ind/>
        <w:contextualSpacing w:val="1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>Яценко Евгений Анатольевич;</w:t>
      </w:r>
    </w:p>
    <w:p w14:paraId="63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>2.</w:t>
      </w:r>
      <w:r>
        <w:rPr>
          <w:rFonts w:ascii="Times New Roman" w:hAnsi="Times New Roman"/>
          <w:sz w:val="23"/>
        </w:rPr>
        <w:tab/>
      </w:r>
      <w:r>
        <w:rPr>
          <w:rFonts w:ascii="Times New Roman" w:hAnsi="Times New Roman"/>
          <w:sz w:val="23"/>
        </w:rPr>
        <w:t>Улокина Елена Валерьевна;</w:t>
      </w:r>
    </w:p>
    <w:p w14:paraId="64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>3.</w:t>
      </w:r>
      <w:r>
        <w:rPr>
          <w:rFonts w:ascii="Times New Roman" w:hAnsi="Times New Roman"/>
          <w:sz w:val="23"/>
        </w:rPr>
        <w:tab/>
      </w:r>
      <w:r>
        <w:rPr>
          <w:rFonts w:ascii="Times New Roman" w:hAnsi="Times New Roman"/>
          <w:sz w:val="23"/>
        </w:rPr>
        <w:t>Трофимова Ирина Леонидовна;</w:t>
      </w:r>
    </w:p>
    <w:p w14:paraId="65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>5.</w:t>
      </w:r>
      <w:r>
        <w:rPr>
          <w:rFonts w:ascii="Times New Roman" w:hAnsi="Times New Roman"/>
          <w:sz w:val="23"/>
        </w:rPr>
        <w:tab/>
      </w:r>
      <w:r>
        <w:rPr>
          <w:rFonts w:ascii="Times New Roman" w:hAnsi="Times New Roman"/>
          <w:sz w:val="23"/>
        </w:rPr>
        <w:t>Николаева Татьяна Павловна;</w:t>
      </w:r>
    </w:p>
    <w:p w14:paraId="66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>6.</w:t>
      </w:r>
      <w:r>
        <w:rPr>
          <w:rFonts w:ascii="Times New Roman" w:hAnsi="Times New Roman"/>
          <w:sz w:val="23"/>
        </w:rPr>
        <w:tab/>
      </w:r>
      <w:r>
        <w:rPr>
          <w:rFonts w:ascii="Times New Roman" w:hAnsi="Times New Roman"/>
          <w:sz w:val="23"/>
        </w:rPr>
        <w:t>Пашин Игорь Александрович;</w:t>
      </w:r>
    </w:p>
    <w:p w14:paraId="67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>7.</w:t>
      </w:r>
      <w:r>
        <w:rPr>
          <w:rFonts w:ascii="Times New Roman" w:hAnsi="Times New Roman"/>
          <w:sz w:val="23"/>
        </w:rPr>
        <w:tab/>
      </w:r>
      <w:r>
        <w:rPr>
          <w:rFonts w:ascii="Times New Roman" w:hAnsi="Times New Roman"/>
          <w:sz w:val="23"/>
        </w:rPr>
        <w:t>Заломина Наталья Анатольевна.</w:t>
      </w:r>
    </w:p>
    <w:p w14:paraId="68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sz w:val="23"/>
        </w:rPr>
      </w:pPr>
      <w:r>
        <w:rPr>
          <w:rFonts w:ascii="Times New Roman" w:hAnsi="Times New Roman"/>
          <w:sz w:val="23"/>
        </w:rPr>
        <w:t xml:space="preserve">В состав Совета директоров было добавлено 2 новых лица, на годовом заседании акционеров было принято решение об утверждении Устава </w:t>
      </w:r>
      <w:r>
        <w:rPr>
          <w:rFonts w:ascii="Times New Roman" w:hAnsi="Times New Roman"/>
          <w:sz w:val="23"/>
        </w:rPr>
        <w:t>общества  в</w:t>
      </w:r>
      <w:r>
        <w:rPr>
          <w:rFonts w:ascii="Times New Roman" w:hAnsi="Times New Roman"/>
          <w:sz w:val="23"/>
        </w:rPr>
        <w:t xml:space="preserve"> новой редакции.. </w:t>
      </w:r>
    </w:p>
    <w:p w14:paraId="69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6A010000">
      <w:pPr>
        <w:widowControl w:val="1"/>
        <w:numPr>
          <w:ilvl w:val="0"/>
          <w:numId w:val="8"/>
        </w:numPr>
        <w:spacing w:after="40" w:before="2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Глазырин Андрей Владимирович </w:t>
      </w:r>
    </w:p>
    <w:p w14:paraId="6B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1975</w:t>
      </w:r>
    </w:p>
    <w:p w14:paraId="6C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 Высшее: Балтийский государственный технический университет «ВОЕНМЕХ» им. Д.Ф. Устинова, квалификация – менеджмент; специальность – магистр менеджмента, 1998 г.</w:t>
      </w:r>
    </w:p>
    <w:p w14:paraId="6D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порядке, в том числе по совместительству (с указанием периода, в течение которого лицо занимало указанные должности):</w:t>
      </w:r>
    </w:p>
    <w:p w14:paraId="6E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 том числе,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3213"/>
        <w:gridCol w:w="3213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6F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0010000">
            <w:pPr>
              <w:widowControl w:val="1"/>
              <w:spacing w:after="40" w:before="20"/>
              <w:ind w:firstLine="5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1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2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02.12.2013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3010000">
            <w:pPr>
              <w:widowControl w:val="1"/>
              <w:spacing w:after="40" w:before="20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«КОНЦЕРН ТИТАН-2»,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74010000">
            <w:pPr>
              <w:widowControl w:val="1"/>
              <w:ind/>
            </w:pPr>
            <w:r>
              <w:rPr>
                <w:rFonts w:ascii="Times New Roman" w:hAnsi="Times New Roman"/>
              </w:rPr>
              <w:t>директор по экономике и финансам</w:t>
            </w:r>
          </w:p>
        </w:tc>
      </w:tr>
    </w:tbl>
    <w:p w14:paraId="75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по совместительству – нет информации.</w:t>
      </w:r>
    </w:p>
    <w:p w14:paraId="76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Доля участия лица в уставном капитале эмитента, являющегося коммерческой организацией в </w:t>
      </w:r>
      <w:r>
        <w:rPr>
          <w:rFonts w:ascii="Times New Roman" w:hAnsi="Times New Roman"/>
        </w:rPr>
        <w:t>т.ч</w:t>
      </w:r>
      <w:r>
        <w:rPr>
          <w:rFonts w:ascii="Times New Roman" w:hAnsi="Times New Roman"/>
        </w:rPr>
        <w:t>. акционерным обществом –</w:t>
      </w:r>
      <w:r>
        <w:rPr>
          <w:rFonts w:ascii="Times New Roman" w:hAnsi="Times New Roman"/>
          <w:i w:val="1"/>
        </w:rPr>
        <w:t xml:space="preserve"> отсутствует,</w:t>
      </w:r>
      <w:r>
        <w:rPr>
          <w:rFonts w:ascii="Times New Roman" w:hAnsi="Times New Roman"/>
        </w:rPr>
        <w:t xml:space="preserve"> также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77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78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79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7A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7B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7C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Глазырин А.В. является председателем Совета директоров эмитента, Иных сведений об участии (член комитета, председатель комитета) в работе комитетов совета директоров (наблюдательного </w:t>
      </w:r>
      <w:r>
        <w:rPr>
          <w:rFonts w:ascii="Times New Roman" w:hAnsi="Times New Roman"/>
        </w:rPr>
        <w:t>совета)  нет</w:t>
      </w:r>
      <w:r>
        <w:rPr>
          <w:rFonts w:ascii="Times New Roman" w:hAnsi="Times New Roman"/>
        </w:rPr>
        <w:t>,  комитеты не формировались.</w:t>
      </w:r>
    </w:p>
    <w:p w14:paraId="7D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7E010000">
      <w:pPr>
        <w:widowControl w:val="1"/>
        <w:numPr>
          <w:ilvl w:val="0"/>
          <w:numId w:val="8"/>
        </w:numPr>
        <w:spacing w:after="40" w:before="2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Яценко Евгений Анатольевич</w:t>
      </w:r>
    </w:p>
    <w:p w14:paraId="7F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1985</w:t>
      </w:r>
    </w:p>
    <w:p w14:paraId="80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 высшее, Дальневосточный инженерно-строительный институт (ФВПИ им В.В. Куйбышева), сведения об уровне образования, квалификации, специальности - промышленное и гражданское строительство, инженер; 2007 г.</w:t>
      </w:r>
    </w:p>
    <w:p w14:paraId="81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Все должности, которые лицо занимает или занимало в эмитенте и в органах управления других организаций за последние три </w:t>
      </w:r>
      <w:r>
        <w:rPr>
          <w:rFonts w:ascii="Times New Roman" w:hAnsi="Times New Roman"/>
        </w:rPr>
        <w:t>года :</w:t>
      </w:r>
    </w:p>
    <w:p w14:paraId="82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 том числе,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3213"/>
        <w:gridCol w:w="3213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3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4010000">
            <w:pPr>
              <w:widowControl w:val="1"/>
              <w:spacing w:after="40" w:before="20"/>
              <w:ind w:firstLine="142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5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6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 12 мая 2025 г. по настоящее время 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87010000">
            <w:pPr>
              <w:widowControl w:val="1"/>
              <w:spacing w:after="40" w:before="20"/>
              <w:ind w:firstLine="56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ПАО «СУС»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8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генеральный директор</w:t>
            </w:r>
          </w:p>
        </w:tc>
      </w:tr>
    </w:tbl>
    <w:p w14:paraId="89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по </w:t>
      </w:r>
      <w:r>
        <w:rPr>
          <w:rFonts w:ascii="Times New Roman" w:hAnsi="Times New Roman"/>
        </w:rPr>
        <w:t>совместительству :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3213"/>
        <w:gridCol w:w="3213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A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B010000">
            <w:pPr>
              <w:widowControl w:val="1"/>
              <w:spacing w:after="40" w:before="20"/>
              <w:ind w:firstLine="142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C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D01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сентября 2022 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E01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TSM ENERJI INSAAT SANAYI LIMITED SIRKETI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8F01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уполномоченный представитель от имени директора 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0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 марта</w:t>
            </w:r>
            <w:r>
              <w:rPr>
                <w:rFonts w:ascii="Times New Roman" w:hAnsi="Times New Roman"/>
              </w:rPr>
              <w:t xml:space="preserve"> 2020</w:t>
            </w:r>
          </w:p>
          <w:p w14:paraId="91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2010000">
            <w:pPr>
              <w:widowControl w:val="1"/>
              <w:spacing w:after="40" w:before="20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«КОНЦЕРН ТИТАН-2»,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3010000">
            <w:pPr>
              <w:widowControl w:val="1"/>
              <w:ind/>
            </w:pPr>
            <w:r>
              <w:rPr>
                <w:rFonts w:ascii="Times New Roman" w:hAnsi="Times New Roman"/>
              </w:rPr>
              <w:t xml:space="preserve">директор по строительству                     </w:t>
            </w:r>
          </w:p>
        </w:tc>
      </w:tr>
    </w:tbl>
    <w:p w14:paraId="94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95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 в </w:t>
      </w:r>
      <w:r>
        <w:rPr>
          <w:rFonts w:ascii="Times New Roman" w:hAnsi="Times New Roman"/>
          <w:i w:val="1"/>
        </w:rPr>
        <w:t>т.ч</w:t>
      </w:r>
      <w:r>
        <w:rPr>
          <w:rFonts w:ascii="Times New Roman" w:hAnsi="Times New Roman"/>
          <w:i w:val="1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96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97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98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99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9A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9B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об участии (член комитета, председатель комитета) в работе комитетов совета директоров (наблюдательного </w:t>
      </w:r>
      <w:r>
        <w:rPr>
          <w:rFonts w:ascii="Times New Roman" w:hAnsi="Times New Roman"/>
        </w:rPr>
        <w:t xml:space="preserve">совета)  </w:t>
      </w:r>
      <w:r>
        <w:rPr>
          <w:rFonts w:ascii="Times New Roman" w:hAnsi="Times New Roman"/>
          <w:i w:val="1"/>
        </w:rPr>
        <w:t>нет</w:t>
      </w:r>
      <w:r>
        <w:rPr>
          <w:rFonts w:ascii="Times New Roman" w:hAnsi="Times New Roman"/>
          <w:i w:val="1"/>
        </w:rPr>
        <w:t xml:space="preserve">, </w:t>
      </w:r>
      <w:r>
        <w:rPr>
          <w:rFonts w:ascii="Times New Roman" w:hAnsi="Times New Roman"/>
        </w:rPr>
        <w:t xml:space="preserve"> комитеты не формировались.</w:t>
      </w:r>
    </w:p>
    <w:p w14:paraId="9C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9D010000">
      <w:pPr>
        <w:widowControl w:val="1"/>
        <w:numPr>
          <w:ilvl w:val="0"/>
          <w:numId w:val="8"/>
        </w:numPr>
        <w:spacing w:after="40" w:before="2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Трофимова Ирина Леонидовна</w:t>
      </w:r>
    </w:p>
    <w:p w14:paraId="9E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1963</w:t>
      </w:r>
    </w:p>
    <w:p w14:paraId="9F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Образование: высшее, Северо-Западная академия государственной службы, сведения об уровне образования, квалификации, специальности – экономист, финансы и кредит; год окончания-2001 </w:t>
      </w:r>
    </w:p>
    <w:p w14:paraId="A0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порядке:</w:t>
      </w:r>
    </w:p>
    <w:p w14:paraId="A1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 том числе,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2794"/>
        <w:gridCol w:w="3774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2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3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4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5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01.03.2016 г. по настоящее время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6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 ТИТАН-2»,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7010000">
            <w:pPr>
              <w:widowControl w:val="1"/>
              <w:spacing w:after="40" w:before="20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Заместитель Генерального директора - внутренний аудитор </w:t>
            </w:r>
          </w:p>
        </w:tc>
      </w:tr>
    </w:tbl>
    <w:p w14:paraId="A8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по совместительству – нет информации.</w:t>
      </w:r>
    </w:p>
    <w:p w14:paraId="A9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AA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 в </w:t>
      </w:r>
      <w:r>
        <w:rPr>
          <w:rFonts w:ascii="Times New Roman" w:hAnsi="Times New Roman"/>
          <w:i w:val="1"/>
        </w:rPr>
        <w:t>т.ч</w:t>
      </w:r>
      <w:r>
        <w:rPr>
          <w:rFonts w:ascii="Times New Roman" w:hAnsi="Times New Roman"/>
          <w:i w:val="1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AB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капитале эмитента, являющегося коммерческой организацией в </w:t>
      </w:r>
      <w:r>
        <w:rPr>
          <w:rFonts w:ascii="Times New Roman" w:hAnsi="Times New Roman"/>
        </w:rPr>
        <w:t>т.ч</w:t>
      </w:r>
      <w:r>
        <w:rPr>
          <w:rFonts w:ascii="Times New Roman" w:hAnsi="Times New Roman"/>
        </w:rPr>
        <w:t>. акционерным обществом –</w:t>
      </w:r>
      <w:r>
        <w:rPr>
          <w:rFonts w:ascii="Times New Roman" w:hAnsi="Times New Roman"/>
          <w:i w:val="1"/>
        </w:rPr>
        <w:t xml:space="preserve"> отсутствует,</w:t>
      </w:r>
      <w:r>
        <w:rPr>
          <w:rFonts w:ascii="Times New Roman" w:hAnsi="Times New Roman"/>
        </w:rPr>
        <w:t xml:space="preserve"> также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AC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AD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AE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AF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B0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B1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(комитетов): к</w:t>
      </w:r>
      <w:r>
        <w:rPr>
          <w:rFonts w:ascii="Times New Roman" w:hAnsi="Times New Roman"/>
          <w:i w:val="1"/>
        </w:rPr>
        <w:t>омитеты не формировались.</w:t>
      </w:r>
    </w:p>
    <w:p w14:paraId="B2010000">
      <w:pPr>
        <w:widowControl w:val="1"/>
        <w:spacing w:before="160"/>
        <w:ind w:firstLine="567"/>
        <w:jc w:val="both"/>
        <w:rPr>
          <w:rFonts w:ascii="Times New Roman" w:hAnsi="Times New Roman"/>
          <w:shd w:fill="FFD821" w:val="clear"/>
        </w:rPr>
      </w:pPr>
    </w:p>
    <w:p w14:paraId="B3010000">
      <w:pPr>
        <w:widowControl w:val="1"/>
        <w:numPr>
          <w:ilvl w:val="0"/>
          <w:numId w:val="8"/>
        </w:numPr>
        <w:spacing w:after="40" w:before="2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Улокина Елена Валерьевна </w:t>
      </w:r>
    </w:p>
    <w:p w14:paraId="B4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1964</w:t>
      </w:r>
    </w:p>
    <w:p w14:paraId="B5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 высшее, Ленинградский ордена Ленина Государственный Университет им.  А.А. Жданова</w:t>
      </w:r>
      <w:r>
        <w:rPr>
          <w:rFonts w:ascii="Times New Roman" w:hAnsi="Times New Roman"/>
        </w:rPr>
        <w:t>.,  квалификация</w:t>
      </w:r>
      <w:r>
        <w:rPr>
          <w:rFonts w:ascii="Times New Roman" w:hAnsi="Times New Roman"/>
        </w:rPr>
        <w:t>, специальность – правоведение, юрист ; год окончания-1988.</w:t>
      </w:r>
    </w:p>
    <w:p w14:paraId="B6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порядке:</w:t>
      </w:r>
    </w:p>
    <w:p w14:paraId="B7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 том числе,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2794"/>
        <w:gridCol w:w="3774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8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9010000">
            <w:pPr>
              <w:widowControl w:val="1"/>
              <w:ind w:firstLine="567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место работы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A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BB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25.11.2016 г. по настоящее время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BC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«КОНЦЕРН ТИТАН-2»,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D010000">
            <w:pPr>
              <w:widowControl w:val="1"/>
              <w:ind/>
              <w:jc w:val="center"/>
            </w:pPr>
            <w:r>
              <w:rPr>
                <w:rFonts w:ascii="Times New Roman" w:hAnsi="Times New Roman"/>
              </w:rPr>
              <w:t>Директор по внутреннему контролю и экономической безопасности</w:t>
            </w:r>
          </w:p>
        </w:tc>
      </w:tr>
    </w:tbl>
    <w:p w14:paraId="BE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по совместительству – данных нет</w:t>
      </w:r>
    </w:p>
    <w:p w14:paraId="BF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 в т.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  <w:i w:val="1"/>
        </w:rPr>
        <w:t>ч.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C0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C1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C2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C3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C4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C5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(комитетов): к</w:t>
      </w:r>
      <w:r>
        <w:rPr>
          <w:rFonts w:ascii="Times New Roman" w:hAnsi="Times New Roman"/>
          <w:i w:val="1"/>
        </w:rPr>
        <w:t>омитеты не формировались.</w:t>
      </w:r>
    </w:p>
    <w:p w14:paraId="C6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</w:p>
    <w:p w14:paraId="C7010000">
      <w:pPr>
        <w:widowControl w:val="1"/>
        <w:numPr>
          <w:ilvl w:val="0"/>
          <w:numId w:val="8"/>
        </w:numPr>
        <w:spacing w:after="40" w:before="2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Николаева Татьяна Павловна</w:t>
      </w:r>
    </w:p>
    <w:p w14:paraId="C8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1974</w:t>
      </w:r>
    </w:p>
    <w:p w14:paraId="C9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 Высшее образование, Российская академия государственной службы при Президенте РФ, специалист, магистратура, менеджер, 2009 г.</w:t>
      </w:r>
    </w:p>
    <w:p w14:paraId="CA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порядке:</w:t>
      </w:r>
    </w:p>
    <w:p w14:paraId="CB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</w:t>
      </w:r>
      <w:r>
        <w:rPr>
          <w:rFonts w:ascii="Times New Roman" w:hAnsi="Times New Roman"/>
        </w:rPr>
        <w:t>т.ч</w:t>
      </w:r>
      <w:r>
        <w:rPr>
          <w:rFonts w:ascii="Times New Roman" w:hAnsi="Times New Roman"/>
        </w:rPr>
        <w:t>.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2794"/>
        <w:gridCol w:w="3774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C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D010000">
            <w:pPr>
              <w:widowControl w:val="1"/>
              <w:spacing w:after="40" w:before="20"/>
              <w:ind w:firstLine="56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E01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F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18.06.2012 г. по настоящее время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D0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 ТИТАН-2»,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D1010000">
            <w:pPr>
              <w:widowControl w:val="1"/>
              <w:spacing w:after="40" w:before="20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Директор по персоналу АО «КОНЦЕРН ТИТАН-2»</w:t>
            </w:r>
          </w:p>
        </w:tc>
      </w:tr>
    </w:tbl>
    <w:p w14:paraId="D2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по совместительству -информации нет,</w:t>
      </w:r>
    </w:p>
    <w:p w14:paraId="D3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 в т.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  <w:i w:val="1"/>
        </w:rPr>
        <w:t>ч.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</w:t>
      </w:r>
      <w:r>
        <w:rPr>
          <w:rFonts w:ascii="Times New Roman" w:hAnsi="Times New Roman"/>
        </w:rPr>
        <w:t>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D4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D5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D6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D7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D8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D9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(комитетов): к</w:t>
      </w:r>
      <w:r>
        <w:rPr>
          <w:rFonts w:ascii="Times New Roman" w:hAnsi="Times New Roman"/>
          <w:i w:val="1"/>
        </w:rPr>
        <w:t>омитеты не формировались.</w:t>
      </w:r>
    </w:p>
    <w:p w14:paraId="DA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указанием названия комитета (комитетов): к</w:t>
      </w:r>
      <w:r>
        <w:rPr>
          <w:rFonts w:ascii="Times New Roman" w:hAnsi="Times New Roman"/>
          <w:i w:val="1"/>
        </w:rPr>
        <w:t>омитеты не формировались.</w:t>
      </w:r>
    </w:p>
    <w:p w14:paraId="DB010000">
      <w:pPr>
        <w:widowControl w:val="1"/>
        <w:spacing w:before="160"/>
        <w:ind w:firstLine="567"/>
        <w:jc w:val="both"/>
        <w:rPr>
          <w:rFonts w:ascii="Times New Roman" w:hAnsi="Times New Roman"/>
          <w:shd w:fill="FFD821" w:val="clear"/>
        </w:rPr>
      </w:pPr>
    </w:p>
    <w:p w14:paraId="DC010000">
      <w:pPr>
        <w:widowControl w:val="1"/>
        <w:numPr>
          <w:ilvl w:val="0"/>
          <w:numId w:val="8"/>
        </w:numPr>
        <w:spacing w:after="40" w:before="20"/>
        <w:ind w:firstLine="283" w:left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Пашин Игорь Александрович</w:t>
      </w:r>
    </w:p>
    <w:p w14:paraId="DD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1977.</w:t>
      </w:r>
    </w:p>
    <w:p w14:paraId="DE010000">
      <w:pPr>
        <w:widowControl w:val="1"/>
        <w:spacing w:after="40" w:before="20"/>
        <w:ind w:firstLine="567"/>
        <w:jc w:val="both"/>
        <w:rPr>
          <w:sz w:val="22"/>
        </w:rPr>
      </w:pPr>
      <w:r>
        <w:rPr>
          <w:rFonts w:ascii="Times New Roman" w:hAnsi="Times New Roman"/>
        </w:rPr>
        <w:t>Образование: Высшее образование. окончил Санкт-Петербургский Военный инженерно-технический университет в 1999 г. по специальности - монтаж, эксплуатация и ремонт санитарно-технического оборудования, зданий и сооружений, квалификация - инженер-строитель.</w:t>
      </w:r>
    </w:p>
    <w:p w14:paraId="DF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Все должности, которые лицо занимает или занимало в эмитенте и в органах управления других организаций за последние три года в хронологическом порядке:</w:t>
      </w:r>
    </w:p>
    <w:p w14:paraId="E0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</w:t>
      </w:r>
      <w:r>
        <w:rPr>
          <w:rFonts w:ascii="Times New Roman" w:hAnsi="Times New Roman"/>
        </w:rPr>
        <w:t>т.ч</w:t>
      </w:r>
      <w:r>
        <w:rPr>
          <w:rFonts w:ascii="Times New Roman" w:hAnsi="Times New Roman"/>
        </w:rPr>
        <w:t>.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2794"/>
        <w:gridCol w:w="3774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1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2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3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4010000">
            <w:pPr>
              <w:rPr>
                <w:rFonts w:ascii="Times New Roman" w:hAnsi="Times New Roman"/>
              </w:rPr>
            </w:pPr>
            <w:r>
              <w:t>с</w:t>
            </w:r>
            <w:r>
              <w:rPr>
                <w:rFonts w:ascii="Times New Roman" w:hAnsi="Times New Roman"/>
              </w:rPr>
              <w:t xml:space="preserve"> 01.02.2022 по настоящее время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5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 КОНЦЕРН ТИТАН-2»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E6010000">
            <w:pPr>
              <w:widowControl w:val="1"/>
              <w:spacing w:after="120" w:before="120"/>
              <w:ind w:hanging="120" w:left="120" w:right="120"/>
              <w:jc w:val="both"/>
              <w:rPr>
                <w:rFonts w:ascii="Times New Roman" w:hAnsi="Times New Roman"/>
                <w:spacing w:val="2"/>
              </w:rPr>
            </w:pPr>
            <w:r>
              <w:rPr>
                <w:rFonts w:ascii="Times New Roman" w:hAnsi="Times New Roman"/>
                <w:spacing w:val="2"/>
              </w:rPr>
              <w:t>Заместитель директора по управлению стоимостью российских проектов</w:t>
            </w:r>
          </w:p>
        </w:tc>
      </w:tr>
    </w:tbl>
    <w:p w14:paraId="E7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том числе по совместительству </w:t>
      </w:r>
      <w:r>
        <w:rPr>
          <w:rFonts w:ascii="Times New Roman" w:hAnsi="Times New Roman"/>
        </w:rPr>
        <w:t>-..</w:t>
      </w:r>
      <w:r>
        <w:rPr>
          <w:rFonts w:ascii="Times New Roman" w:hAnsi="Times New Roman"/>
        </w:rPr>
        <w:t>-</w:t>
      </w:r>
      <w:r>
        <w:t xml:space="preserve"> </w:t>
      </w:r>
      <w:r>
        <w:rPr>
          <w:rFonts w:ascii="Times New Roman" w:hAnsi="Times New Roman"/>
        </w:rPr>
        <w:t>заместитель директора по строительству по ценообразованию с</w:t>
      </w:r>
      <w:r>
        <w:t xml:space="preserve"> </w:t>
      </w:r>
      <w:r>
        <w:rPr>
          <w:rFonts w:ascii="Times New Roman" w:hAnsi="Times New Roman"/>
        </w:rPr>
        <w:t>03.02.2025. (внутреннее совместительство).</w:t>
      </w:r>
    </w:p>
    <w:p w14:paraId="E8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 в </w:t>
      </w:r>
      <w:r>
        <w:rPr>
          <w:rFonts w:ascii="Times New Roman" w:hAnsi="Times New Roman"/>
          <w:i w:val="1"/>
        </w:rPr>
        <w:t>т.ч</w:t>
      </w:r>
      <w:r>
        <w:rPr>
          <w:rFonts w:ascii="Times New Roman" w:hAnsi="Times New Roman"/>
          <w:i w:val="1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</w:t>
      </w:r>
      <w:r>
        <w:rPr>
          <w:rFonts w:ascii="Times New Roman" w:hAnsi="Times New Roman"/>
        </w:rPr>
        <w:t>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E9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EA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EB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EC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ED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EE010000">
      <w:pPr>
        <w:widowControl w:val="1"/>
        <w:spacing w:before="160"/>
        <w:ind w:firstLine="567"/>
        <w:jc w:val="both"/>
        <w:rPr>
          <w:rFonts w:ascii="Times New Roman" w:hAnsi="Times New Roman"/>
          <w:b w:val="1"/>
          <w:i w:val="1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(комитетов): к</w:t>
      </w:r>
      <w:r>
        <w:rPr>
          <w:rFonts w:ascii="Times New Roman" w:hAnsi="Times New Roman"/>
          <w:i w:val="1"/>
        </w:rPr>
        <w:t>омитеты не формировались.</w:t>
      </w:r>
    </w:p>
    <w:p w14:paraId="EF010000">
      <w:pPr>
        <w:widowControl w:val="1"/>
        <w:tabs>
          <w:tab w:leader="none" w:pos="426" w:val="left"/>
        </w:tabs>
        <w:ind w:firstLine="709"/>
        <w:jc w:val="both"/>
        <w:rPr>
          <w:rFonts w:ascii="Times New Roman" w:hAnsi="Times New Roman"/>
          <w:b w:val="1"/>
          <w:sz w:val="23"/>
        </w:rPr>
      </w:pPr>
      <w:r>
        <w:rPr>
          <w:rFonts w:ascii="Times New Roman" w:hAnsi="Times New Roman"/>
          <w:b w:val="1"/>
          <w:sz w:val="23"/>
        </w:rPr>
        <w:tab/>
      </w:r>
    </w:p>
    <w:p w14:paraId="F0010000">
      <w:pPr>
        <w:widowControl w:val="1"/>
        <w:numPr>
          <w:ilvl w:val="0"/>
          <w:numId w:val="8"/>
        </w:numPr>
        <w:tabs>
          <w:tab w:leader="none" w:pos="426" w:val="left"/>
        </w:tabs>
        <w:ind w:hanging="567" w:left="1134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Заломина Наталья Анатольевна.</w:t>
      </w:r>
    </w:p>
    <w:p w14:paraId="F1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Год рождения: </w:t>
      </w:r>
      <w:r>
        <w:rPr>
          <w:rFonts w:ascii="Times New Roman" w:hAnsi="Times New Roman"/>
        </w:rPr>
        <w:t>1974 .</w:t>
      </w:r>
    </w:p>
    <w:p w14:paraId="F2010000">
      <w:pPr>
        <w:widowControl w:val="1"/>
        <w:spacing w:after="40" w:before="20"/>
        <w:ind w:firstLine="567"/>
        <w:jc w:val="both"/>
        <w:rPr>
          <w:sz w:val="22"/>
        </w:rPr>
      </w:pPr>
      <w:r>
        <w:rPr>
          <w:rFonts w:ascii="Times New Roman" w:hAnsi="Times New Roman"/>
        </w:rPr>
        <w:t>Образование: Высшее образование, окончила Санкт-Петербургская лесотехническая академия им.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С.М. Кирова в </w:t>
      </w:r>
      <w:r>
        <w:rPr>
          <w:rFonts w:ascii="Times New Roman" w:hAnsi="Times New Roman"/>
        </w:rPr>
        <w:t>1996..</w:t>
      </w:r>
      <w:r>
        <w:rPr>
          <w:rFonts w:ascii="Times New Roman" w:hAnsi="Times New Roman"/>
        </w:rPr>
        <w:t xml:space="preserve"> году по специальности бухгалтерский учет и анализ хозяйственной деятельности, квалификация- экономист.</w:t>
      </w:r>
    </w:p>
    <w:p w14:paraId="F3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лицо занимает или занимало в эмитенте и в органах управления других организаций за последние три года в хронологическом порядке:</w:t>
      </w:r>
    </w:p>
    <w:p w14:paraId="F401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</w:t>
      </w:r>
      <w:r>
        <w:rPr>
          <w:rFonts w:ascii="Times New Roman" w:hAnsi="Times New Roman"/>
        </w:rPr>
        <w:t>т.ч</w:t>
      </w:r>
      <w:r>
        <w:rPr>
          <w:rFonts w:ascii="Times New Roman" w:hAnsi="Times New Roman"/>
        </w:rPr>
        <w:t>. по основному месту работы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2794"/>
        <w:gridCol w:w="3774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5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6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701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801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03.03.2025 по настоящее время</w:t>
            </w:r>
          </w:p>
        </w:tc>
        <w:tc>
          <w:tcPr>
            <w:tcW w:type="dxa" w:w="279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9010000">
            <w:pPr>
              <w:widowControl w:val="1"/>
              <w:spacing w:after="40" w:before="20"/>
              <w:ind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 ТИТАН-2»</w:t>
            </w:r>
          </w:p>
        </w:tc>
        <w:tc>
          <w:tcPr>
            <w:tcW w:type="dxa" w:w="377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FA01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Главный бухгалтер</w:t>
            </w:r>
          </w:p>
        </w:tc>
      </w:tr>
    </w:tbl>
    <w:p w14:paraId="FB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том числе по совместительству -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данных нет,</w:t>
      </w:r>
    </w:p>
    <w:p w14:paraId="FC01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 в </w:t>
      </w:r>
      <w:r>
        <w:rPr>
          <w:rFonts w:ascii="Times New Roman" w:hAnsi="Times New Roman"/>
          <w:i w:val="1"/>
        </w:rPr>
        <w:t>т.ч</w:t>
      </w:r>
      <w:r>
        <w:rPr>
          <w:rFonts w:ascii="Times New Roman" w:hAnsi="Times New Roman"/>
          <w:i w:val="1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 xml:space="preserve"> 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акции;</w:t>
      </w:r>
    </w:p>
    <w:p w14:paraId="FD01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обществами, также доля принадлежащих такому лицу обыкновенных акций подконтрольных эмитенту акционерных обществ, имеющих для эмитента существенное </w:t>
      </w:r>
      <w:r>
        <w:rPr>
          <w:rFonts w:ascii="Times New Roman" w:hAnsi="Times New Roman"/>
        </w:rPr>
        <w:t>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акции 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FE01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FF01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0002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власти; </w:t>
      </w:r>
      <w:r>
        <w:rPr>
          <w:rFonts w:ascii="Times New Roman" w:hAnsi="Times New Roman"/>
          <w:i w:val="1"/>
        </w:rPr>
        <w:t>нет,</w:t>
      </w:r>
    </w:p>
    <w:p w14:paraId="0102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 </w:t>
      </w:r>
      <w:r>
        <w:rPr>
          <w:rFonts w:ascii="Times New Roman" w:hAnsi="Times New Roman"/>
          <w:i w:val="1"/>
        </w:rPr>
        <w:t xml:space="preserve">отсутствуют. </w:t>
      </w:r>
    </w:p>
    <w:p w14:paraId="0202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Сведения об участии в работе комитетов совета директоров (наблюдательного совета) с указанием названия комитета (комитетов): к</w:t>
      </w:r>
      <w:r>
        <w:rPr>
          <w:rFonts w:ascii="Times New Roman" w:hAnsi="Times New Roman"/>
          <w:i w:val="1"/>
        </w:rPr>
        <w:t>омитеты не формировались.</w:t>
      </w:r>
    </w:p>
    <w:p w14:paraId="03020000">
      <w:pPr>
        <w:widowControl w:val="1"/>
        <w:spacing w:after="40" w:before="20"/>
        <w:ind w:firstLine="644"/>
        <w:jc w:val="both"/>
        <w:rPr>
          <w:rFonts w:ascii="Times New Roman" w:hAnsi="Times New Roman"/>
        </w:rPr>
      </w:pPr>
    </w:p>
    <w:p w14:paraId="04020000">
      <w:pPr>
        <w:widowControl w:val="1"/>
        <w:ind w:firstLine="644"/>
        <w:jc w:val="both"/>
        <w:rPr>
          <w:rFonts w:ascii="Times New Roman" w:hAnsi="Times New Roman"/>
        </w:rPr>
      </w:pPr>
      <w:r>
        <w:rPr>
          <w:rFonts w:ascii="Times New Roman" w:hAnsi="Times New Roman"/>
          <w:b w:val="1"/>
        </w:rPr>
        <w:t>Генеральный директор</w:t>
      </w:r>
      <w:r>
        <w:rPr>
          <w:rFonts w:ascii="Times New Roman" w:hAnsi="Times New Roman"/>
        </w:rPr>
        <w:t xml:space="preserve"> является единоличным исполнительным органом Общества и осуществляет руководство его текущей </w:t>
      </w:r>
      <w:r>
        <w:rPr>
          <w:rFonts w:ascii="Times New Roman" w:hAnsi="Times New Roman"/>
        </w:rPr>
        <w:t>деятельностью .</w:t>
      </w:r>
    </w:p>
    <w:p w14:paraId="05020000">
      <w:pPr>
        <w:widowControl w:val="1"/>
        <w:spacing w:after="40" w:before="20"/>
        <w:ind w:firstLine="64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дату окончания отчетного периода обязанности генерального директора общества исполнял </w:t>
      </w:r>
      <w:r>
        <w:rPr>
          <w:rFonts w:ascii="Times New Roman" w:hAnsi="Times New Roman"/>
          <w:b w:val="1"/>
        </w:rPr>
        <w:t>Яценко Евгений Анатольевич,</w:t>
      </w:r>
      <w:r>
        <w:rPr>
          <w:rFonts w:ascii="Times New Roman" w:hAnsi="Times New Roman"/>
        </w:rPr>
        <w:t xml:space="preserve"> назначенный на должность с «12» мая 2025 года Советом директоров общества (Протокол СД №08-2025 от «07» мая 2025 г</w:t>
      </w:r>
      <w:r>
        <w:rPr>
          <w:rFonts w:ascii="Times New Roman" w:hAnsi="Times New Roman"/>
        </w:rPr>
        <w:t>) .</w:t>
      </w:r>
    </w:p>
    <w:p w14:paraId="06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Год рождения: 1985</w:t>
      </w:r>
    </w:p>
    <w:p w14:paraId="07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Образование: высшее, Дальневосточный инженерно-строительный институт (ФВПИ им В.В. Куйбышева), сведения об уровне образования, квалификации, специальности– промышленное и гражданское строительство, инженер; 2007 г.</w:t>
      </w:r>
    </w:p>
    <w:p w14:paraId="08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Все должности, которые лицо занимает или занимало в эмитенте и в органах управления других организаций за последние три </w:t>
      </w:r>
      <w:r>
        <w:rPr>
          <w:rFonts w:ascii="Times New Roman" w:hAnsi="Times New Roman"/>
        </w:rPr>
        <w:t>года :</w:t>
      </w:r>
    </w:p>
    <w:p w14:paraId="0902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 том числе, по основному месту работы: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3213"/>
        <w:gridCol w:w="3213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A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B020000">
            <w:pPr>
              <w:widowControl w:val="1"/>
              <w:spacing w:after="40" w:before="20"/>
              <w:ind w:firstLine="142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C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D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 12 мая 2025 г. по настоящее время 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0E020000">
            <w:pPr>
              <w:widowControl w:val="1"/>
              <w:spacing w:after="40" w:before="20"/>
              <w:ind w:firstLine="56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ПАО «СУС»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0F020000">
            <w:pPr>
              <w:widowControl w:val="1"/>
              <w:ind w:firstLine="56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генеральный директор</w:t>
            </w:r>
          </w:p>
        </w:tc>
      </w:tr>
    </w:tbl>
    <w:p w14:paraId="10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11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по совместительству</w:t>
      </w:r>
      <w:r>
        <w:rPr>
          <w:rFonts w:ascii="Times New Roman" w:hAnsi="Times New Roman"/>
        </w:rPr>
        <w:t xml:space="preserve"> :..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3213"/>
        <w:gridCol w:w="3213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2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Период, в течении которого лицо занимало должности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3020000">
            <w:pPr>
              <w:widowControl w:val="1"/>
              <w:spacing w:after="40" w:before="20"/>
              <w:ind w:firstLine="142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место работы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4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должности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5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сентября 2022 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6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TSM ENERJI INSAAT SANAYI LIMITED SIRKETI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7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генеральный директор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8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 марта</w:t>
            </w:r>
            <w:r>
              <w:rPr>
                <w:rFonts w:ascii="Times New Roman" w:hAnsi="Times New Roman"/>
              </w:rPr>
              <w:t xml:space="preserve"> 2020</w:t>
            </w:r>
          </w:p>
          <w:p w14:paraId="19020000">
            <w:pPr>
              <w:widowControl w:val="1"/>
              <w:ind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1A020000">
            <w:pPr>
              <w:widowControl w:val="1"/>
              <w:spacing w:after="40" w:before="20"/>
              <w:ind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АО «КОНЦЕРН ТИТАН-2»,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1B020000">
            <w:pPr>
              <w:widowControl w:val="1"/>
              <w:ind/>
            </w:pPr>
            <w:r>
              <w:rPr>
                <w:rFonts w:ascii="Times New Roman" w:hAnsi="Times New Roman"/>
              </w:rPr>
              <w:t xml:space="preserve">директор по строительству                     </w:t>
            </w:r>
          </w:p>
        </w:tc>
      </w:tr>
    </w:tbl>
    <w:p w14:paraId="1C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</w:p>
    <w:p w14:paraId="1D02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участия лица в уставном капитале эмитента, являющегося коммерческой организацией/акционерным обществом –</w:t>
      </w:r>
      <w:r>
        <w:rPr>
          <w:rFonts w:ascii="Times New Roman" w:hAnsi="Times New Roman"/>
          <w:i w:val="1"/>
        </w:rPr>
        <w:t xml:space="preserve"> отсутствует,</w:t>
      </w:r>
    </w:p>
    <w:p w14:paraId="1E02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 и количество акций эмитента каждой категории (типа), которые могут быть приобретены таким лицом в результате конвертации принадлежащих ему ценных бумаг, конвертируемых в акции</w:t>
      </w:r>
      <w:r>
        <w:rPr>
          <w:rFonts w:ascii="Times New Roman" w:hAnsi="Times New Roman"/>
          <w:i w:val="1"/>
        </w:rPr>
        <w:t xml:space="preserve"> -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i w:val="1"/>
        </w:rPr>
        <w:t>отсутствует</w:t>
      </w:r>
      <w:r>
        <w:rPr>
          <w:rFonts w:ascii="Times New Roman" w:hAnsi="Times New Roman"/>
        </w:rPr>
        <w:t>;</w:t>
      </w:r>
    </w:p>
    <w:p w14:paraId="1F02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лица в уставном капитале подконтрольных эмитенту организаций, имеющих для него существенное значение, а для тех подконтрольных эмитенту организаций, которые являются акционерными обществами –</w:t>
      </w:r>
      <w:r>
        <w:rPr>
          <w:rFonts w:ascii="Times New Roman" w:hAnsi="Times New Roman"/>
          <w:i w:val="1"/>
        </w:rPr>
        <w:t xml:space="preserve"> отсутствует,</w:t>
      </w:r>
    </w:p>
    <w:p w14:paraId="20020000">
      <w:pPr>
        <w:widowControl w:val="1"/>
        <w:spacing w:before="160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доля принадлежащих такому лицу обыкновенных акций подконтрольных эмитенту акционерных обществ, имеющих для эмитента существенное значение, и количество акций указанных акционерных обществ каждой категории (типа), которые могут быть приобретены таким лицом в результате конвертации принадлежащих ему ценных бумаг, конвертируемых в </w:t>
      </w:r>
      <w:r>
        <w:rPr>
          <w:rFonts w:ascii="Times New Roman" w:hAnsi="Times New Roman"/>
        </w:rPr>
        <w:t>акции  –</w:t>
      </w:r>
      <w:r>
        <w:rPr>
          <w:rFonts w:ascii="Times New Roman" w:hAnsi="Times New Roman"/>
          <w:color w:val="E30000"/>
        </w:rPr>
        <w:t xml:space="preserve"> .</w:t>
      </w:r>
      <w:r>
        <w:rPr>
          <w:rFonts w:ascii="Times New Roman" w:hAnsi="Times New Roman"/>
          <w:i w:val="1"/>
        </w:rPr>
        <w:t>отсутствуют;</w:t>
      </w:r>
    </w:p>
    <w:p w14:paraId="2102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совершении лицом в отчетном периоде сделки по приобретению или отчуждению акций (долей) эмитента с указанием по каждой сделке даты ее совершения, содержания сделки, категорий (типов) и количества акций (долей), являвшихся предметом сделки – </w:t>
      </w:r>
      <w:r>
        <w:rPr>
          <w:rFonts w:ascii="Times New Roman" w:hAnsi="Times New Roman"/>
          <w:i w:val="1"/>
        </w:rPr>
        <w:t>отсутствуют;</w:t>
      </w:r>
    </w:p>
    <w:p w14:paraId="22020000">
      <w:pPr>
        <w:widowControl w:val="1"/>
        <w:spacing w:after="40" w:before="2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родственных связей (супруги, родители, дети, усыновители, усыновленные, родные братья и сестры, дедушки, бабушки, внуки) с лицами, входящими в состав органов управления эмитента и (или) органов контроля за финансово - хозяйственной деятельностью эмитента, указанных в пункте 2.3 настоящего раздела – н</w:t>
      </w:r>
      <w:r>
        <w:rPr>
          <w:rFonts w:ascii="Times New Roman" w:hAnsi="Times New Roman"/>
          <w:i w:val="1"/>
        </w:rPr>
        <w:t>е установлено;</w:t>
      </w:r>
    </w:p>
    <w:p w14:paraId="2302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 - </w:t>
      </w:r>
      <w:r>
        <w:rPr>
          <w:rFonts w:ascii="Times New Roman" w:hAnsi="Times New Roman"/>
          <w:i w:val="1"/>
        </w:rPr>
        <w:t>нет,</w:t>
      </w:r>
    </w:p>
    <w:p w14:paraId="24020000">
      <w:pPr>
        <w:widowControl w:val="1"/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статьей 27 Федерального закона "О несостоятельности (банкротстве)"- </w:t>
      </w:r>
      <w:r>
        <w:rPr>
          <w:rFonts w:ascii="Times New Roman" w:hAnsi="Times New Roman"/>
          <w:i w:val="1"/>
        </w:rPr>
        <w:t xml:space="preserve">отсутствуют. </w:t>
      </w:r>
    </w:p>
    <w:p w14:paraId="25020000">
      <w:pPr>
        <w:widowControl w:val="1"/>
        <w:spacing w:before="160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Сведений об участии (член комитета, председатель комитета) в работе комитетов совета директоров (наблюдательного совета)- </w:t>
      </w:r>
      <w:r>
        <w:rPr>
          <w:rFonts w:ascii="Times New Roman" w:hAnsi="Times New Roman"/>
          <w:i w:val="1"/>
        </w:rPr>
        <w:t xml:space="preserve">нет, </w:t>
      </w:r>
      <w:r>
        <w:rPr>
          <w:rFonts w:ascii="Times New Roman" w:hAnsi="Times New Roman"/>
        </w:rPr>
        <w:t xml:space="preserve"> комитеты</w:t>
      </w:r>
      <w:r>
        <w:rPr>
          <w:rFonts w:ascii="Times New Roman" w:hAnsi="Times New Roman"/>
        </w:rPr>
        <w:t xml:space="preserve"> не формировались.</w:t>
      </w:r>
    </w:p>
    <w:p w14:paraId="26020000">
      <w:pPr>
        <w:widowControl w:val="1"/>
        <w:spacing w:before="16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составе указанной в данном пункте соответствующей информации за период между отчетной датой (30.06.2025) и датой раскрытия финансовой отчетности в составе раскрытой информации произошли следующие изменения:</w:t>
      </w:r>
    </w:p>
    <w:p w14:paraId="27020000">
      <w:pPr>
        <w:widowControl w:val="1"/>
        <w:spacing w:after="40" w:before="20"/>
        <w:ind w:firstLine="283" w:left="284"/>
        <w:jc w:val="both"/>
        <w:rPr>
          <w:rFonts w:ascii="Times New Roman" w:hAnsi="Times New Roman"/>
          <w:sz w:val="22"/>
        </w:rPr>
      </w:pPr>
    </w:p>
    <w:p w14:paraId="28020000">
      <w:bookmarkStart w:id="23" w:name="__RefHeading___46"/>
      <w:bookmarkEnd w:id="23"/>
      <w:pPr>
        <w:pStyle w:val="Style_7"/>
        <w:widowControl w:val="1"/>
        <w:numPr>
          <w:ilvl w:val="1"/>
          <w:numId w:val="5"/>
        </w:numPr>
        <w:spacing w:before="240"/>
        <w:ind w:firstLine="425" w:left="0"/>
        <w:jc w:val="both"/>
        <w:rPr>
          <w:rFonts w:ascii="Times New Roman" w:hAnsi="Times New Roman"/>
          <w:b w:val="1"/>
          <w:color w:val="000000"/>
        </w:rPr>
      </w:pPr>
      <w:bookmarkStart w:id="24" w:name="P406"/>
      <w:bookmarkEnd w:id="24"/>
      <w:r>
        <w:rPr>
          <w:rFonts w:ascii="Times New Roman" w:hAnsi="Times New Roman"/>
          <w:b w:val="1"/>
          <w:color w:val="000000"/>
        </w:rPr>
        <w:t>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14:paraId="29020000">
      <w:pPr>
        <w:widowControl w:val="1"/>
        <w:ind w:firstLine="283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На текущий момент обществом не разработано Положение о вознаграждении и компенсации расходов органам управления. Совокупный размер вознаграждений и компенсаций расходов членам органов управления за 6 месяцев 2025 г. составил 0 руб.</w:t>
      </w:r>
    </w:p>
    <w:p w14:paraId="2A020000">
      <w:pPr>
        <w:widowControl w:val="1"/>
        <w:ind w:firstLine="283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В соответствии с Положением о совете директоров, утвержденным решением внеочередного общего собрания акционеров от 14 декабря 2009 г., членам совета директоров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Размеры вознаграждений и компенсаций устанавливаются решением общего собрания акционеров.</w:t>
      </w:r>
    </w:p>
    <w:p w14:paraId="2B020000">
      <w:pPr>
        <w:widowControl w:val="1"/>
        <w:ind w:firstLine="283"/>
        <w:rPr>
          <w:rFonts w:ascii="Times New Roman" w:hAnsi="Times New Roman"/>
          <w:b w:val="1"/>
          <w:color w:val="000000"/>
        </w:rPr>
      </w:pPr>
      <w:r>
        <w:rPr>
          <w:rFonts w:ascii="Times New Roman" w:hAnsi="Times New Roman"/>
          <w:color w:val="000000"/>
        </w:rPr>
        <w:t xml:space="preserve">В отчетном году по результатам финансового года решений по вознаграждению не принималось, вознаграждение членам совета директоров в 2024 году не выплачивалось. </w:t>
      </w:r>
    </w:p>
    <w:p w14:paraId="2C020000">
      <w:bookmarkStart w:id="25" w:name="__RefHeading___47"/>
      <w:bookmarkEnd w:id="25"/>
      <w:pPr>
        <w:pStyle w:val="Style_7"/>
        <w:widowControl w:val="1"/>
        <w:numPr>
          <w:ilvl w:val="1"/>
          <w:numId w:val="5"/>
        </w:numPr>
        <w:spacing w:before="240"/>
        <w:ind w:firstLine="425" w:left="0"/>
        <w:jc w:val="both"/>
        <w:rPr>
          <w:rFonts w:ascii="Times New Roman" w:hAnsi="Times New Roman"/>
          <w:b w:val="1"/>
          <w:color w:val="000000"/>
        </w:rPr>
      </w:pPr>
      <w:bookmarkStart w:id="26" w:name="P413"/>
      <w:bookmarkEnd w:id="26"/>
      <w:r>
        <w:rPr>
          <w:rFonts w:ascii="Times New Roman" w:hAnsi="Times New Roman"/>
          <w:b w:val="1"/>
          <w:color w:val="000000"/>
        </w:rPr>
        <w:t>Сведения об организации в эмитенте управления рисками, контроля за финансово-хозяйственной деятельностью, внутреннего контроля и внутреннего аудита</w:t>
      </w:r>
    </w:p>
    <w:p w14:paraId="2D020000">
      <w:pPr>
        <w:widowControl w:val="1"/>
        <w:ind w:firstLine="540"/>
        <w:jc w:val="both"/>
        <w:rPr>
          <w:rFonts w:ascii="Times New Roman" w:hAnsi="Times New Roman"/>
          <w:color w:val="000000"/>
        </w:rPr>
      </w:pPr>
    </w:p>
    <w:p w14:paraId="2E020000">
      <w:pPr>
        <w:widowControl w:val="1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Руководство Общества вполне осознает значение рисков, которые могут возникнуть в процессе </w:t>
      </w:r>
      <w:r>
        <w:rPr>
          <w:rFonts w:ascii="Times New Roman" w:hAnsi="Times New Roman"/>
        </w:rPr>
        <w:t>производственно</w:t>
      </w:r>
      <w:r>
        <w:rPr>
          <w:rFonts w:ascii="Times New Roman" w:hAnsi="Times New Roman"/>
        </w:rPr>
        <w:t xml:space="preserve"> - хозяйственной деятельности и принимает все возможные меры к их минимизации. Общество осуществляет управление рисками, контроль за финансово - хозяйственной деятельностью, внутренний контроль и внутренний аудит в соответствии с уставом (учредительным документом) эмитента, внутренними документами эмитента и решениями уполномоченных органов управления эмитента.</w:t>
      </w:r>
    </w:p>
    <w:p w14:paraId="2F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>Оценка надежности и управления рисками в соответствии с п.2 ст.87.1 Федерального закона от 26.12.1995 №208-ФЗ «Об акционерных обществах» в Обществе осуществляет внутренний аудит.</w:t>
      </w:r>
      <w:r>
        <w:rPr>
          <w:rFonts w:ascii="Times New Roman" w:hAnsi="Times New Roman"/>
          <w:color w:val="FB290D"/>
        </w:rPr>
        <w:t xml:space="preserve"> </w:t>
      </w:r>
      <w:r>
        <w:rPr>
          <w:rFonts w:ascii="Times New Roman" w:hAnsi="Times New Roman"/>
          <w:color w:val="000000"/>
        </w:rPr>
        <w:t>В организационной структуре Общества</w:t>
      </w:r>
      <w:r>
        <w:rPr>
          <w:rFonts w:ascii="Times New Roman" w:hAnsi="Times New Roman"/>
          <w:color w:val="000000"/>
        </w:rPr>
        <w:t xml:space="preserve"> введена штатная единица – </w:t>
      </w:r>
      <w:r>
        <w:rPr>
          <w:rFonts w:ascii="Times New Roman" w:hAnsi="Times New Roman"/>
          <w:color w:val="000000"/>
        </w:rPr>
        <w:t>специалист по внутреннему аудиту.</w:t>
      </w:r>
    </w:p>
    <w:p w14:paraId="30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Функции и задачи внутреннего аудитора прописаны в Политике в области организации внутреннего аудита публичного акционерного общества «Северное управление строительства», утвержденной Решением Совета директоров Общества 15.08.2023 г. (Протокол заседания Совета директоров № 11-2023). </w:t>
      </w:r>
    </w:p>
    <w:p w14:paraId="31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Политика в области организации внутреннего аудита публичного акционерного общества «Северное управление строительства» обязательна к применению всеми структурными подразделениями Общества, она определяет:</w:t>
      </w:r>
    </w:p>
    <w:p w14:paraId="32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- цели и задачи внутреннего аудита;</w:t>
      </w:r>
    </w:p>
    <w:p w14:paraId="33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- принципы осуществления внутреннего аудита;</w:t>
      </w:r>
    </w:p>
    <w:p w14:paraId="34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- функции внутреннего аудита;</w:t>
      </w:r>
    </w:p>
    <w:p w14:paraId="35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- полномочия внутренних аудиторов и корреспондирующие им обязанности руководства и работников </w:t>
      </w:r>
      <w:r>
        <w:rPr>
          <w:rFonts w:ascii="Times New Roman" w:hAnsi="Times New Roman"/>
          <w:color w:val="000000"/>
        </w:rPr>
        <w:t>аудируемых</w:t>
      </w:r>
      <w:r>
        <w:rPr>
          <w:rFonts w:ascii="Times New Roman" w:hAnsi="Times New Roman"/>
          <w:color w:val="000000"/>
        </w:rPr>
        <w:t xml:space="preserve"> подразделений;</w:t>
      </w:r>
    </w:p>
    <w:p w14:paraId="36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- кодекс этики и требования к внутренним аудиторам Общества;</w:t>
      </w:r>
    </w:p>
    <w:p w14:paraId="37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- контроль за деятельностью внутренних аудиторов и предоставление отчетности.</w:t>
      </w:r>
    </w:p>
    <w:p w14:paraId="38020000">
      <w:pPr>
        <w:widowControl w:val="1"/>
        <w:ind w:firstLine="54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Комитета совета директоров (наблюдательного совета) по </w:t>
      </w:r>
      <w:r>
        <w:rPr>
          <w:rFonts w:ascii="Times New Roman" w:hAnsi="Times New Roman"/>
          <w:color w:val="000000"/>
        </w:rPr>
        <w:t>аудиту  не</w:t>
      </w:r>
      <w:r>
        <w:rPr>
          <w:rFonts w:ascii="Times New Roman" w:hAnsi="Times New Roman"/>
          <w:color w:val="000000"/>
        </w:rPr>
        <w:t xml:space="preserve"> создавалось.</w:t>
      </w:r>
    </w:p>
    <w:p w14:paraId="39020000">
      <w:pPr>
        <w:widowControl w:val="1"/>
        <w:ind w:firstLine="54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Отдельного структурного подразделения (подразделений) по управлению рисками и (или) внутреннему контролю в обществе нет. </w:t>
      </w:r>
    </w:p>
    <w:p w14:paraId="3A020000">
      <w:pPr>
        <w:widowControl w:val="1"/>
        <w:ind w:firstLine="54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Контроль за финансово - хозяйственной деятельностью общества осуществляется ревизионной комиссией общества. </w:t>
      </w:r>
    </w:p>
    <w:p w14:paraId="3B020000">
      <w:pPr>
        <w:widowControl w:val="1"/>
        <w:ind w:firstLine="567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Ревизионная комиссия Общества действует согласно Уставу Общества. Полномочия и компетенция ревизионной комиссии регулируется положениями Устава (раздел 17), а также Федеральным законом от 26.12.1995 N 208-ФЗ (ред. от 30.11.2024) «Об акционерных обществах».</w:t>
      </w:r>
    </w:p>
    <w:p w14:paraId="3C020000">
      <w:pPr>
        <w:widowControl w:val="1"/>
        <w:ind w:firstLine="54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Комитета совета директоров (наблюдательного совета) по аудиту не 30.06.2025 не создавалось.</w:t>
      </w:r>
    </w:p>
    <w:p w14:paraId="3D020000">
      <w:pPr>
        <w:widowControl w:val="1"/>
        <w:ind w:firstLine="54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Отдельного структурного подразделения (подразделений) по управлению рисками в обществе нет.</w:t>
      </w:r>
    </w:p>
    <w:p w14:paraId="3E020000">
      <w:pPr>
        <w:widowControl w:val="1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В период между отчетной датой и датой раскрытия бухгалтерской (финансовой) отчетности в составе указанной в пункте информации произошли следующие изменения:</w:t>
      </w:r>
    </w:p>
    <w:p w14:paraId="3F020000">
      <w:pPr>
        <w:widowControl w:val="1"/>
        <w:spacing w:before="16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Решением Совет директоров общества №12-2025 от 21.07.2025 г. был сформирован Комитет Совета директоров по аудиту. Избран персональный состав Комитета Совета директоров по аудиту из числа следующих членов Совета директоров Общества:</w:t>
      </w:r>
    </w:p>
    <w:p w14:paraId="40020000">
      <w:pPr>
        <w:widowControl w:val="1"/>
        <w:numPr>
          <w:ilvl w:val="0"/>
          <w:numId w:val="9"/>
        </w:numPr>
        <w:spacing w:after="40" w:before="40"/>
        <w:ind w:firstLine="142"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Трофимова Ирина Леонидовна;</w:t>
      </w:r>
    </w:p>
    <w:p w14:paraId="41020000">
      <w:pPr>
        <w:widowControl w:val="1"/>
        <w:numPr>
          <w:ilvl w:val="0"/>
          <w:numId w:val="9"/>
        </w:numPr>
        <w:spacing w:after="40" w:before="40"/>
        <w:ind w:firstLine="142"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Пашин Игорь Александрович;</w:t>
      </w:r>
    </w:p>
    <w:p w14:paraId="42020000">
      <w:pPr>
        <w:widowControl w:val="1"/>
        <w:numPr>
          <w:ilvl w:val="0"/>
          <w:numId w:val="9"/>
        </w:numPr>
        <w:spacing w:after="40" w:before="40"/>
        <w:ind w:firstLine="142"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Заломина Наталья Анатольевна;</w:t>
      </w:r>
    </w:p>
    <w:p w14:paraId="43020000">
      <w:pPr>
        <w:widowControl w:val="1"/>
        <w:spacing w:after="40" w:before="40"/>
        <w:ind w:firstLine="142"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Утверждено Положение о Комитете Совета директоров по аудиту ПАО «СУС»</w:t>
      </w:r>
    </w:p>
    <w:p w14:paraId="44020000">
      <w:pPr>
        <w:widowControl w:val="1"/>
        <w:spacing w:after="40" w:before="40"/>
        <w:ind w:firstLine="567"/>
        <w:jc w:val="both"/>
        <w:rPr>
          <w:rFonts w:ascii="Times New Roman" w:hAnsi="Times New Roman"/>
        </w:rPr>
      </w:pPr>
    </w:p>
    <w:p w14:paraId="45020000">
      <w:bookmarkStart w:id="27" w:name="__RefHeading___48"/>
      <w:bookmarkEnd w:id="27"/>
      <w:pPr>
        <w:pStyle w:val="Style_7"/>
        <w:widowControl w:val="1"/>
        <w:numPr>
          <w:ilvl w:val="1"/>
          <w:numId w:val="5"/>
        </w:numPr>
        <w:spacing w:before="240"/>
        <w:ind w:firstLine="567" w:left="0"/>
        <w:jc w:val="both"/>
        <w:rPr>
          <w:rFonts w:ascii="Times New Roman" w:hAnsi="Times New Roman"/>
          <w:b w:val="1"/>
          <w:color w:val="000000"/>
        </w:rPr>
      </w:pPr>
      <w:r>
        <w:rPr>
          <w:rFonts w:ascii="Times New Roman" w:hAnsi="Times New Roman"/>
          <w:b w:val="1"/>
          <w:color w:val="000000"/>
        </w:rPr>
        <w:t>Информация о лицах, ответственных в эмитенте за организацию и осуществление управления рисками, контроля за финансово - хозяйственной деятельностью и внутреннего контроля, внутреннего аудита</w:t>
      </w:r>
    </w:p>
    <w:p w14:paraId="46020000">
      <w:pPr>
        <w:widowControl w:val="1"/>
        <w:spacing w:before="22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заседании годового собрания акционеров, которое </w:t>
      </w:r>
      <w:r>
        <w:rPr>
          <w:rFonts w:ascii="Times New Roman" w:hAnsi="Times New Roman"/>
        </w:rPr>
        <w:t xml:space="preserve">состоялось «30» июня 2025 года </w:t>
      </w:r>
      <w:r>
        <w:rPr>
          <w:rFonts w:ascii="Times New Roman" w:hAnsi="Times New Roman"/>
        </w:rPr>
        <w:t>т.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е. в дату оконч</w:t>
      </w:r>
      <w:r>
        <w:rPr>
          <w:rFonts w:ascii="Times New Roman" w:hAnsi="Times New Roman"/>
        </w:rPr>
        <w:t>ания отчетного периода не рассма</w:t>
      </w:r>
      <w:r>
        <w:rPr>
          <w:rFonts w:ascii="Times New Roman" w:hAnsi="Times New Roman"/>
        </w:rPr>
        <w:t>тривался вопро</w:t>
      </w:r>
      <w:r>
        <w:rPr>
          <w:rFonts w:ascii="Times New Roman" w:hAnsi="Times New Roman"/>
        </w:rPr>
        <w:t>с о переи</w:t>
      </w:r>
      <w:r>
        <w:rPr>
          <w:rFonts w:ascii="Times New Roman" w:hAnsi="Times New Roman"/>
        </w:rPr>
        <w:t>збрании ревизионной комиссии по причине ее ликвидации и утверждения новой редакции Устав общества (Прот</w:t>
      </w:r>
      <w:r>
        <w:rPr>
          <w:rFonts w:ascii="Times New Roman" w:hAnsi="Times New Roman"/>
        </w:rPr>
        <w:t>о</w:t>
      </w:r>
      <w:r>
        <w:rPr>
          <w:rFonts w:ascii="Times New Roman" w:hAnsi="Times New Roman"/>
        </w:rPr>
        <w:t>кол №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1-2025 от 02.06.2025).</w:t>
      </w:r>
    </w:p>
    <w:p w14:paraId="47020000">
      <w:pPr>
        <w:widowControl w:val="1"/>
        <w:spacing w:before="22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>Политика</w:t>
      </w:r>
      <w:r>
        <w:rPr>
          <w:rFonts w:ascii="Times New Roman" w:hAnsi="Times New Roman"/>
        </w:rPr>
        <w:t xml:space="preserve"> в</w:t>
      </w:r>
      <w:r>
        <w:rPr>
          <w:rFonts w:ascii="Times New Roman" w:hAnsi="Times New Roman"/>
        </w:rPr>
        <w:t xml:space="preserve"> области организации внутреннего аудита публичного акционерного общества «Северное управление строительства» (далее - Политика) разработана в соответствии с законодательством Российской Федерации, в том числе Федеральным законом от 26.12.1995 № 208-ФЗ «Об акционерных обществах» и Уставом Общества и утверждена Советом директоров 15.08.2023, Протокол №11-2023. Политика является внутренним документом Общества и обязательна к применению всеми структурными подразделениями Общества.</w:t>
      </w:r>
    </w:p>
    <w:p w14:paraId="48020000">
      <w:pPr>
        <w:widowControl w:val="1"/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Внутренний аудитор – лицо, ответственное за осуществление внутреннего аудита в Обществе, который осуществляется с использованием риск-ориентированного подхода, предусматривающего планирование и проведение проверочных мероприятий на основе оценки рисков – для концентрации внимания на наиболее уязвимых объектах и направлениях деятельности.</w:t>
      </w:r>
    </w:p>
    <w:p w14:paraId="49020000">
      <w:pPr>
        <w:widowControl w:val="1"/>
        <w:tabs>
          <w:tab w:leader="none" w:pos="0" w:val="left"/>
        </w:tabs>
        <w:ind/>
        <w:jc w:val="both"/>
        <w:rPr>
          <w:rFonts w:ascii="Times New Roman" w:hAnsi="Times New Roman"/>
        </w:rPr>
      </w:pPr>
    </w:p>
    <w:p w14:paraId="4A020000">
      <w:pPr>
        <w:widowControl w:val="1"/>
        <w:tabs>
          <w:tab w:leader="none" w:pos="0" w:val="left"/>
        </w:tabs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25.02.2025 г на заседании Совета директоров общества на должность директора по внутреннему аудиту и контролю был согласован </w:t>
      </w:r>
      <w:r>
        <w:rPr>
          <w:rFonts w:ascii="Times New Roman" w:hAnsi="Times New Roman"/>
          <w:b w:val="1"/>
        </w:rPr>
        <w:t>Дементьев Михаил Игоревич (</w:t>
      </w:r>
      <w:r>
        <w:rPr>
          <w:rFonts w:ascii="Times New Roman" w:hAnsi="Times New Roman"/>
        </w:rPr>
        <w:t>Протокол Совета Директоров №3-2025 от 26.02.2025.)</w:t>
      </w:r>
    </w:p>
    <w:p w14:paraId="4B020000">
      <w:pPr>
        <w:widowControl w:val="1"/>
        <w:tabs>
          <w:tab w:leader="none" w:pos="0" w:val="left"/>
        </w:tabs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Год рождения: 1978,</w:t>
      </w:r>
    </w:p>
    <w:p w14:paraId="4C020000">
      <w:pPr>
        <w:widowControl w:val="1"/>
        <w:tabs>
          <w:tab w:leader="none" w:pos="0" w:val="left"/>
        </w:tabs>
        <w:ind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Сведения об уровне образования: высшее, окончил в 2001 г. Санкт-Петербургский государственный морской технический университет по специальности - кораблестроение., квалификация инженер - строитель.</w:t>
      </w:r>
    </w:p>
    <w:p w14:paraId="4D020000">
      <w:pPr>
        <w:widowControl w:val="1"/>
        <w:spacing w:before="160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Все должности, которые специалист занимает или занимал в эмитенте в том числе по совместительству: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3213"/>
        <w:gridCol w:w="3213"/>
        <w:gridCol w:w="3213"/>
      </w:tblGrid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E020000">
            <w:r>
              <w:t>период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4F020000">
            <w:r>
              <w:t>организация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0020000">
            <w:r>
              <w:t>должность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1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02.07.2024 по 17.10.2024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2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ООО «БАЛТНЕВА»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3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Руководитель проекта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4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09.08.2016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5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ООО «ОРГКОНСАЛИТНГ»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6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Генеральный директор</w:t>
            </w:r>
          </w:p>
        </w:tc>
      </w:tr>
      <w:tr>
        <w:trPr>
          <w:trHeight w:hRule="atLeast" w:val="360"/>
        </w:trPr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7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  26.02.2025 по настоящее время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5802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ПАО «СУС»</w:t>
            </w:r>
          </w:p>
        </w:tc>
        <w:tc>
          <w:tcPr>
            <w:tcW w:type="dxa" w:w="321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59020000">
            <w:r>
              <w:rPr>
                <w:rFonts w:ascii="Times New Roman" w:hAnsi="Times New Roman"/>
              </w:rPr>
              <w:t>директор по внутреннему аудиту и контролю</w:t>
            </w:r>
          </w:p>
        </w:tc>
      </w:tr>
    </w:tbl>
    <w:p w14:paraId="5A020000">
      <w:pPr>
        <w:widowControl w:val="1"/>
        <w:spacing w:before="160"/>
        <w:ind w:firstLine="54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>Доля участия Дементьева М.И. в уставном (складочном) капитале эмитента, а также доли принадлежащих специалисту обыкновенных акций эмитента и количества акций эмитента каждой категории (типа), которые могут быть приобретены специалистом в результате конвертации принадлежащих ему ценных бумаг, конвертируемых в акции–</w:t>
      </w:r>
      <w:r>
        <w:rPr>
          <w:rFonts w:ascii="Times New Roman" w:hAnsi="Times New Roman"/>
          <w:i w:val="1"/>
        </w:rPr>
        <w:t xml:space="preserve"> нет;</w:t>
      </w:r>
    </w:p>
    <w:p w14:paraId="5B020000">
      <w:pPr>
        <w:widowControl w:val="1"/>
        <w:spacing w:before="160"/>
        <w:ind w:firstLine="54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Доля участия в уставном (складочном) капитале подконтрольных эмитенту организаций, имеющих для эмитента существенное значение, а для тех подконтрольных эмитенту организаций, которые имеют для него существенное значение и являются акционерными обществами, - также доли принадлежащих специалисту обыкновенных акций подконтрольных эмитенту акционерных обществ, имеющих для эмитента существенное значение, и количества акций указанных акционерных обществ каждой категории (типа), которые могут быть приобретены специалистом в результате конвертации принадлежащих ему ценных бумаг, конвертируемых в акции- </w:t>
      </w:r>
      <w:r>
        <w:rPr>
          <w:rFonts w:ascii="Times New Roman" w:hAnsi="Times New Roman"/>
          <w:i w:val="1"/>
        </w:rPr>
        <w:t>нет;</w:t>
      </w:r>
    </w:p>
    <w:p w14:paraId="5C020000">
      <w:pPr>
        <w:widowControl w:val="1"/>
        <w:tabs>
          <w:tab w:leader="none" w:pos="0" w:val="left"/>
        </w:tabs>
        <w:ind w:firstLine="567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    Родственных связей (супруги, родители, дети, усыновители, усыновленные, родные братья и сестры, дедушки, бабушки, внуки) между Дементьевым М.И. и членами совета директоров, лицом, занимающим должность (осуществляющим функции) единоличного исполнительного органа эмитента:</w:t>
      </w:r>
      <w:r>
        <w:rPr>
          <w:rFonts w:ascii="Times New Roman" w:hAnsi="Times New Roman"/>
          <w:i w:val="1"/>
        </w:rPr>
        <w:t xml:space="preserve"> не установлено;</w:t>
      </w:r>
    </w:p>
    <w:p w14:paraId="5D020000">
      <w:pPr>
        <w:widowControl w:val="1"/>
        <w:spacing w:before="160"/>
        <w:ind w:firstLine="54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сведений о привлечении Дементьева М.И. к административной ответственности за правонарушения в области финансов, налогов и сборов, страхования, рынка ценных бумаг или </w:t>
      </w:r>
      <w:r>
        <w:rPr>
          <w:rFonts w:ascii="Times New Roman" w:hAnsi="Times New Roman"/>
        </w:rPr>
        <w:t xml:space="preserve">к уголовной ответственности (о наличии судимости) за преступления в сфере экономики и (или) за преступления против государственной власти- </w:t>
      </w:r>
      <w:r>
        <w:rPr>
          <w:rFonts w:ascii="Times New Roman" w:hAnsi="Times New Roman"/>
          <w:i w:val="1"/>
        </w:rPr>
        <w:t>нет;</w:t>
      </w:r>
    </w:p>
    <w:p w14:paraId="5E020000">
      <w:pPr>
        <w:widowControl w:val="1"/>
        <w:spacing w:before="160"/>
        <w:ind w:firstLine="540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</w:rPr>
        <w:t xml:space="preserve">сведений о занятии Дементьева М.И.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r>
        <w:rPr>
          <w:rFonts w:ascii="Times New Roman" w:hAnsi="Times New Roman"/>
          <w:color w:val="0000FF"/>
        </w:rPr>
        <w:fldChar w:fldCharType="begin"/>
      </w:r>
      <w:r>
        <w:rPr>
          <w:rFonts w:ascii="Times New Roman" w:hAnsi="Times New Roman"/>
          <w:color w:val="0000FF"/>
        </w:rPr>
        <w:instrText>HYPERLINK "https://login.consultant.ru/link/?req=doc&amp;base=LAW&amp;n=483133&amp;dst=570"</w:instrText>
      </w:r>
      <w:r>
        <w:rPr>
          <w:rFonts w:ascii="Times New Roman" w:hAnsi="Times New Roman"/>
          <w:color w:val="0000FF"/>
        </w:rPr>
        <w:fldChar w:fldCharType="separate"/>
      </w:r>
      <w:r>
        <w:rPr>
          <w:rFonts w:ascii="Times New Roman" w:hAnsi="Times New Roman"/>
          <w:color w:val="0000FF"/>
        </w:rPr>
        <w:t>статьей 27</w:t>
      </w:r>
      <w:r>
        <w:rPr>
          <w:rFonts w:ascii="Times New Roman" w:hAnsi="Times New Roman"/>
          <w:color w:val="0000FF"/>
        </w:rPr>
        <w:fldChar w:fldCharType="end"/>
      </w:r>
      <w:r>
        <w:rPr>
          <w:rFonts w:ascii="Times New Roman" w:hAnsi="Times New Roman"/>
        </w:rPr>
        <w:t xml:space="preserve"> Федерального закона "О несостоятельности (банкротстве)" -</w:t>
      </w:r>
      <w:r>
        <w:rPr>
          <w:rFonts w:ascii="Times New Roman" w:hAnsi="Times New Roman"/>
          <w:i w:val="1"/>
        </w:rPr>
        <w:t>нет.</w:t>
      </w:r>
    </w:p>
    <w:p w14:paraId="5F020000">
      <w:pPr>
        <w:widowControl w:val="1"/>
        <w:tabs>
          <w:tab w:leader="none" w:pos="0" w:val="left"/>
        </w:tabs>
        <w:ind/>
        <w:jc w:val="both"/>
        <w:rPr>
          <w:rFonts w:ascii="Times New Roman" w:hAnsi="Times New Roman"/>
          <w:i w:val="1"/>
        </w:rPr>
      </w:pPr>
    </w:p>
    <w:p w14:paraId="60020000">
      <w:pPr>
        <w:pStyle w:val="Style_8"/>
        <w:widowControl w:val="1"/>
        <w:spacing w:before="220"/>
        <w:ind/>
        <w:jc w:val="both"/>
        <w:rPr>
          <w:rFonts w:ascii="Times New Roman" w:hAnsi="Times New Roman"/>
          <w:sz w:val="24"/>
        </w:rPr>
      </w:pPr>
      <w:bookmarkStart w:id="28" w:name="P433"/>
      <w:bookmarkEnd w:id="28"/>
      <w:r>
        <w:rPr>
          <w:rFonts w:ascii="Times New Roman" w:hAnsi="Times New Roman"/>
          <w:b w:val="1"/>
          <w:sz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14:paraId="61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Обязательства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эмитента, отсутствуют. Каких-либо соглашений не заключалось.</w:t>
      </w:r>
    </w:p>
    <w:p w14:paraId="62020000">
      <w:bookmarkStart w:id="29" w:name="__RefHeading___49"/>
      <w:bookmarkEnd w:id="29"/>
      <w:pPr>
        <w:widowControl w:val="1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14:paraId="63020000">
      <w:bookmarkStart w:id="30" w:name="__RefHeading___50"/>
      <w:bookmarkEnd w:id="30"/>
      <w:pPr>
        <w:pStyle w:val="Style_7"/>
        <w:widowControl w:val="1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1" w:name="P447"/>
      <w:bookmarkEnd w:id="31"/>
      <w:r>
        <w:rPr>
          <w:rFonts w:ascii="Times New Roman" w:hAnsi="Times New Roman"/>
          <w:b w:val="1"/>
        </w:rPr>
        <w:t>Сведения об общем количестве акционеров эмитента</w:t>
      </w:r>
    </w:p>
    <w:p w14:paraId="64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Fonts w:ascii="Times New Roman" w:hAnsi="Times New Roman"/>
          <w:b w:val="0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>4320</w:t>
      </w:r>
      <w:r>
        <w:rPr>
          <w:rFonts w:ascii="Times New Roman" w:hAnsi="Times New Roman"/>
          <w:b w:val="1"/>
          <w:sz w:val="24"/>
        </w:rPr>
        <w:t xml:space="preserve"> (</w:t>
      </w:r>
      <w:r>
        <w:rPr>
          <w:rFonts w:ascii="Times New Roman" w:hAnsi="Times New Roman"/>
          <w:sz w:val="24"/>
        </w:rPr>
        <w:t xml:space="preserve">в </w:t>
      </w:r>
      <w:r>
        <w:rPr>
          <w:rFonts w:ascii="Times New Roman" w:hAnsi="Times New Roman"/>
          <w:sz w:val="24"/>
        </w:rPr>
        <w:t>т.ч</w:t>
      </w:r>
      <w:r>
        <w:rPr>
          <w:rFonts w:ascii="Times New Roman" w:hAnsi="Times New Roman"/>
          <w:sz w:val="24"/>
        </w:rPr>
        <w:t>. владельцы 3-х счетов совместного владения</w:t>
      </w:r>
      <w:r>
        <w:rPr>
          <w:rFonts w:ascii="Times New Roman" w:hAnsi="Times New Roman"/>
          <w:sz w:val="24"/>
        </w:rPr>
        <w:t>) .</w:t>
      </w:r>
    </w:p>
    <w:p w14:paraId="65020000">
      <w:pPr>
        <w:widowControl w:val="1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Общее количество лиц, зарегистрированных в реестре акционеров номинальными держателями акций эмитента:</w:t>
      </w:r>
      <w:r>
        <w:rPr>
          <w:rFonts w:ascii="Times New Roman" w:hAnsi="Times New Roman"/>
          <w:b w:val="1"/>
        </w:rPr>
        <w:t xml:space="preserve"> 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счет  «</w:t>
      </w:r>
      <w:r>
        <w:rPr>
          <w:rFonts w:ascii="Times New Roman" w:hAnsi="Times New Roman"/>
        </w:rPr>
        <w:t>нулевой» с  марта 2017 года.</w:t>
      </w:r>
    </w:p>
    <w:p w14:paraId="66020000">
      <w:pPr>
        <w:widowControl w:val="1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В соответствии с пунктом 1 статьи 30.3 Закона N 39-</w:t>
      </w:r>
      <w:r>
        <w:rPr>
          <w:rFonts w:ascii="Times New Roman" w:hAnsi="Times New Roman"/>
        </w:rPr>
        <w:t>ФЗ  за</w:t>
      </w:r>
      <w:r>
        <w:rPr>
          <w:rFonts w:ascii="Times New Roman" w:hAnsi="Times New Roman"/>
        </w:rPr>
        <w:t xml:space="preserve"> эмитентами, в реестрах которых открыт лицевой счет номинального держателя центрального депозитария (счет НДЦД), закрепляется особая обязанность - предоставление информации, связанной с осуществлением прав по ценным бумагам, центральному депозитарию. При этом наличие «нулевого» остатка (отсутствие депонентов) на счете НДЦД не освобождает эмитента от исполнения этой обязанности.</w:t>
      </w:r>
    </w:p>
    <w:p w14:paraId="67020000">
      <w:pPr>
        <w:pStyle w:val="Style_8"/>
        <w:widowControl w:val="1"/>
        <w:ind w:firstLine="540"/>
        <w:jc w:val="both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sz w:val="24"/>
        </w:rP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Fonts w:ascii="Times New Roman" w:hAnsi="Times New Roman"/>
          <w:b w:val="0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>4 320.</w:t>
      </w:r>
    </w:p>
    <w:p w14:paraId="68020000">
      <w:pPr>
        <w:pStyle w:val="Style_8"/>
        <w:widowControl w:val="1"/>
        <w:ind w:firstLine="540"/>
        <w:jc w:val="both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sz w:val="24"/>
        </w:rP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и, для составления которого,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Fonts w:ascii="Times New Roman" w:hAnsi="Times New Roman"/>
          <w:b w:val="0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>06.06.2025.</w:t>
      </w:r>
    </w:p>
    <w:p w14:paraId="69020000">
      <w:pPr>
        <w:pStyle w:val="Style_8"/>
        <w:widowControl w:val="1"/>
        <w:ind w:firstLine="540"/>
        <w:jc w:val="both"/>
        <w:rPr>
          <w:rFonts w:ascii="Times New Roman" w:hAnsi="Times New Roman"/>
          <w:b w:val="1"/>
          <w:sz w:val="24"/>
        </w:rPr>
      </w:pPr>
      <w:r>
        <w:rPr>
          <w:rFonts w:ascii="Times New Roman" w:hAnsi="Times New Roman"/>
          <w:sz w:val="24"/>
        </w:rPr>
        <w:t>Владельцы обыкновенных акций эмитента, которые подлежали включению в такой список:</w:t>
      </w:r>
      <w:r>
        <w:rPr>
          <w:rFonts w:ascii="Times New Roman" w:hAnsi="Times New Roman"/>
          <w:b w:val="0"/>
          <w:sz w:val="24"/>
        </w:rPr>
        <w:t xml:space="preserve"> </w:t>
      </w:r>
      <w:r>
        <w:rPr>
          <w:rFonts w:ascii="Times New Roman" w:hAnsi="Times New Roman"/>
          <w:b w:val="0"/>
          <w:sz w:val="24"/>
        </w:rPr>
        <w:t xml:space="preserve">3 431. </w:t>
      </w:r>
    </w:p>
    <w:p w14:paraId="6A020000">
      <w:pPr>
        <w:pStyle w:val="Style_8"/>
        <w:widowControl w:val="1"/>
        <w:ind w:firstLine="540"/>
        <w:jc w:val="both"/>
        <w:rPr>
          <w:rFonts w:ascii="Times New Roman" w:hAnsi="Times New Roman"/>
          <w:b w:val="0"/>
          <w:sz w:val="24"/>
        </w:rPr>
      </w:pPr>
      <w:r>
        <w:rPr>
          <w:rFonts w:ascii="Times New Roman" w:hAnsi="Times New Roman"/>
          <w:sz w:val="24"/>
        </w:rPr>
        <w:t xml:space="preserve">Владельцы привилегированных акций эмитента, которые подлежали включению в такой список: </w:t>
      </w:r>
      <w:r>
        <w:rPr>
          <w:rFonts w:ascii="Times New Roman" w:hAnsi="Times New Roman"/>
          <w:b w:val="0"/>
          <w:sz w:val="24"/>
        </w:rPr>
        <w:t>3 722.</w:t>
      </w:r>
    </w:p>
    <w:p w14:paraId="6B020000">
      <w:pPr>
        <w:pStyle w:val="Style_8"/>
        <w:widowControl w:val="1"/>
        <w:ind w:firstLine="54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 xml:space="preserve">Информация о количестве собственных акций, находящихся на балансе эмитента на дату окончания отчетного периода: </w:t>
      </w:r>
      <w:r>
        <w:rPr>
          <w:rFonts w:ascii="Times New Roman" w:hAnsi="Times New Roman"/>
          <w:i w:val="1"/>
          <w:sz w:val="24"/>
        </w:rPr>
        <w:t>нет.</w:t>
      </w:r>
    </w:p>
    <w:p w14:paraId="6C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Информация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по каждой категории (типу) акций- нет.</w:t>
      </w:r>
    </w:p>
    <w:p w14:paraId="6D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 xml:space="preserve">Информация о количестве акций эмитента, принадлежащих подконтрольным ему организациям: Акций эмитента, принадлежащих подконтрольным ему организациям, </w:t>
      </w:r>
      <w:r>
        <w:rPr>
          <w:rFonts w:ascii="Times New Roman" w:hAnsi="Times New Roman"/>
          <w:i w:val="1"/>
          <w:sz w:val="24"/>
        </w:rPr>
        <w:t>не имеется.</w:t>
      </w:r>
    </w:p>
    <w:p w14:paraId="6E020000">
      <w:bookmarkStart w:id="32" w:name="__RefHeading___51"/>
      <w:bookmarkEnd w:id="32"/>
      <w:pPr>
        <w:pStyle w:val="Style_7"/>
        <w:widowControl w:val="1"/>
        <w:numPr>
          <w:ilvl w:val="1"/>
          <w:numId w:val="10"/>
        </w:numPr>
        <w:spacing w:before="240"/>
        <w:ind w:firstLine="567" w:left="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14:paraId="6F020000">
      <w:pPr>
        <w:pStyle w:val="Style_8"/>
        <w:widowControl w:val="1"/>
        <w:spacing w:before="220"/>
        <w:ind w:firstLine="425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Акционером Общества, владеющим не менее чем пятью процентами его уставного капитала и имеющим право распоряжаться не менее чем пятью процентами голосов, приходящихся на голосующие акции, составляющие уставный капитал эмитента является юридическое лицо:</w:t>
      </w:r>
    </w:p>
    <w:p w14:paraId="70020000">
      <w:pPr>
        <w:widowControl w:val="1"/>
        <w:spacing w:after="40" w:before="20"/>
        <w:ind w:firstLine="567"/>
        <w:rPr>
          <w:rFonts w:ascii="Times New Roman" w:hAnsi="Times New Roman"/>
        </w:rPr>
      </w:pPr>
      <w:r>
        <w:rPr>
          <w:rFonts w:ascii="Times New Roman" w:hAnsi="Times New Roman"/>
        </w:rPr>
        <w:t>Полное фирменное наименование:</w:t>
      </w:r>
      <w:r>
        <w:rPr>
          <w:rFonts w:ascii="Times New Roman" w:hAnsi="Times New Roman"/>
          <w:b w:val="1"/>
          <w:i w:val="1"/>
        </w:rPr>
        <w:t xml:space="preserve"> А</w:t>
      </w:r>
      <w:r>
        <w:rPr>
          <w:rFonts w:ascii="Times New Roman" w:hAnsi="Times New Roman"/>
          <w:b w:val="1"/>
        </w:rPr>
        <w:t>кционерное общество «ТИТАН-2»</w:t>
      </w:r>
    </w:p>
    <w:p w14:paraId="71020000">
      <w:pPr>
        <w:widowControl w:val="1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АО «ТИТАН-2»</w:t>
      </w:r>
    </w:p>
    <w:p w14:paraId="72020000">
      <w:pPr>
        <w:widowControl w:val="1"/>
        <w:spacing w:after="40" w:before="240"/>
        <w:ind w:firstLine="36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188540 Российская Федерация, Ленинградская область, г. Сосновый Бор, </w:t>
      </w:r>
      <w:r>
        <w:rPr>
          <w:rFonts w:ascii="Times New Roman" w:hAnsi="Times New Roman"/>
        </w:rPr>
        <w:t>Копорское</w:t>
      </w:r>
      <w:r>
        <w:rPr>
          <w:rFonts w:ascii="Times New Roman" w:hAnsi="Times New Roman"/>
        </w:rPr>
        <w:t xml:space="preserve"> шоссе 64</w:t>
      </w:r>
    </w:p>
    <w:p w14:paraId="73020000">
      <w:pPr>
        <w:widowControl w:val="1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4714020401    ОГРН: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1074714000570</w:t>
      </w:r>
    </w:p>
    <w:p w14:paraId="74020000">
      <w:pPr>
        <w:widowControl w:val="1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Размер доли голосов в процентах, приходящихся на голосующие акции, составляющие уставный капитал эмитента, которой имеет право распоряжаться лицо: </w:t>
      </w:r>
      <w:r>
        <w:rPr>
          <w:rFonts w:ascii="Times New Roman" w:hAnsi="Times New Roman"/>
          <w:b w:val="1"/>
        </w:rPr>
        <w:t>99.5149%</w:t>
      </w:r>
    </w:p>
    <w:p w14:paraId="75020000">
      <w:pPr>
        <w:widowControl w:val="1"/>
        <w:spacing w:after="40" w:before="20"/>
        <w:ind w:firstLine="367"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лицу обыкновенных акций эмитента:</w:t>
      </w:r>
      <w:r>
        <w:rPr>
          <w:rFonts w:ascii="Times New Roman" w:hAnsi="Times New Roman"/>
          <w:b w:val="1"/>
          <w:i w:val="1"/>
        </w:rPr>
        <w:t xml:space="preserve"> </w:t>
      </w:r>
      <w:r>
        <w:rPr>
          <w:rFonts w:ascii="Times New Roman" w:hAnsi="Times New Roman"/>
          <w:b w:val="1"/>
        </w:rPr>
        <w:t>99.7228%</w:t>
      </w:r>
    </w:p>
    <w:p w14:paraId="76020000">
      <w:pPr>
        <w:widowControl w:val="1"/>
        <w:spacing w:before="16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Вид права распоряжения голосами, приходящимися на голосующие акции (доли), составляющие уставный капитал эмитента, которым обладает лицо-прямое распоряжение.</w:t>
      </w:r>
    </w:p>
    <w:p w14:paraId="77020000">
      <w:pPr>
        <w:widowControl w:val="1"/>
        <w:spacing w:before="16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Лица, контролирующие акционера эмитента, владеющего не менее чем 5 процентами его уставного (складочного) капитала или не менее чем 5 процентами его обыкновенных акций отсутствуют.</w:t>
      </w:r>
    </w:p>
    <w:p w14:paraId="78020000">
      <w:pPr>
        <w:widowControl w:val="1"/>
        <w:spacing w:before="16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Сведения о лицах, владеющих не менее чем 20 процентами уставного капитала или не менее чем 20 процентами обыкновенных акций акционера эмитента– АО «ТИТАН-2», который владеет не менее чем 5 процентами уставного (складочного) капитала эмитента или не менее чем 5 процентами его обыкновенных акций:</w:t>
      </w:r>
    </w:p>
    <w:p w14:paraId="79020000">
      <w:pPr>
        <w:widowControl w:val="1"/>
        <w:numPr>
          <w:ilvl w:val="0"/>
          <w:numId w:val="11"/>
        </w:numPr>
        <w:spacing w:after="40" w:before="2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>Закрытое акционерное общество "Н-2"</w:t>
      </w:r>
    </w:p>
    <w:p w14:paraId="7A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ЗАО "Н-2"</w:t>
      </w:r>
    </w:p>
    <w:p w14:paraId="7B020000">
      <w:pPr>
        <w:widowControl w:val="1"/>
        <w:spacing w:after="4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</w:t>
      </w:r>
      <w:r>
        <w:rPr>
          <w:rFonts w:ascii="Times New Roman" w:hAnsi="Times New Roman"/>
          <w:i w:val="1"/>
        </w:rPr>
        <w:t>1</w:t>
      </w:r>
      <w:r>
        <w:rPr>
          <w:rFonts w:ascii="Times New Roman" w:hAnsi="Times New Roman"/>
        </w:rPr>
        <w:t xml:space="preserve">88540 Российская Федерация, Ленинградская o6n., r. </w:t>
      </w:r>
      <w:r>
        <w:rPr>
          <w:rFonts w:ascii="Times New Roman" w:hAnsi="Times New Roman"/>
        </w:rPr>
        <w:t>Cocновый</w:t>
      </w:r>
      <w:r>
        <w:rPr>
          <w:rFonts w:ascii="Times New Roman" w:hAnsi="Times New Roman"/>
        </w:rPr>
        <w:t xml:space="preserve"> Бор, ул. Ленинградская 32</w:t>
      </w:r>
    </w:p>
    <w:p w14:paraId="7C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4714020257     ОГРН: 1074714000283</w:t>
      </w:r>
    </w:p>
    <w:p w14:paraId="7D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лица в уставном капитале акционера эмитента. %:50</w:t>
      </w:r>
    </w:p>
    <w:p w14:paraId="7E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принадлежащих ему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7F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80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81020000">
      <w:pPr>
        <w:widowControl w:val="1"/>
        <w:spacing w:after="40" w:before="20"/>
        <w:ind w:left="200"/>
        <w:rPr>
          <w:rFonts w:ascii="Times New Roman" w:hAnsi="Times New Roman"/>
        </w:rPr>
      </w:pPr>
    </w:p>
    <w:p w14:paraId="82020000">
      <w:pPr>
        <w:widowControl w:val="1"/>
        <w:numPr>
          <w:ilvl w:val="0"/>
          <w:numId w:val="11"/>
        </w:numPr>
        <w:spacing w:after="40" w:before="240"/>
        <w:ind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Полное фирменное наименование: </w:t>
      </w:r>
      <w:r>
        <w:rPr>
          <w:rFonts w:ascii="Times New Roman" w:hAnsi="Times New Roman"/>
          <w:b w:val="1"/>
        </w:rPr>
        <w:t>Закрытое акционерное общество "СЛ-ЦЕНТР"</w:t>
      </w:r>
    </w:p>
    <w:p w14:paraId="83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Сокращенное фирменное наименование: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ЗАО "СЛ-ЦЕНТР"</w:t>
      </w:r>
    </w:p>
    <w:p w14:paraId="84020000">
      <w:pPr>
        <w:widowControl w:val="1"/>
        <w:spacing w:after="4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Место нахождения: 191025, Российская Федерация, г. </w:t>
      </w:r>
      <w:r>
        <w:rPr>
          <w:rFonts w:ascii="Times New Roman" w:hAnsi="Times New Roman"/>
        </w:rPr>
        <w:t>Caнкт</w:t>
      </w:r>
      <w:r>
        <w:rPr>
          <w:rFonts w:ascii="Times New Roman" w:hAnsi="Times New Roman"/>
        </w:rPr>
        <w:t xml:space="preserve"> - </w:t>
      </w:r>
      <w:r>
        <w:rPr>
          <w:rFonts w:ascii="Times New Roman" w:hAnsi="Times New Roman"/>
        </w:rPr>
        <w:t>Пeтербург</w:t>
      </w:r>
      <w:r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np</w:t>
      </w:r>
      <w:r>
        <w:rPr>
          <w:rFonts w:ascii="Times New Roman" w:hAnsi="Times New Roman"/>
        </w:rPr>
        <w:t xml:space="preserve"> - </w:t>
      </w:r>
      <w:r>
        <w:rPr>
          <w:rFonts w:ascii="Times New Roman" w:hAnsi="Times New Roman"/>
        </w:rPr>
        <w:t>кт</w:t>
      </w:r>
      <w:r>
        <w:rPr>
          <w:rFonts w:ascii="Times New Roman" w:hAnsi="Times New Roman"/>
        </w:rPr>
        <w:t xml:space="preserve"> Невский 104, стр. лит. А</w:t>
      </w:r>
    </w:p>
    <w:p w14:paraId="85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ИНН:</w:t>
      </w:r>
      <w:r>
        <w:rPr>
          <w:rFonts w:ascii="Times New Roman" w:hAnsi="Times New Roman"/>
          <w:i w:val="1"/>
        </w:rPr>
        <w:t xml:space="preserve"> 7</w:t>
      </w:r>
      <w:r>
        <w:rPr>
          <w:rFonts w:ascii="Times New Roman" w:hAnsi="Times New Roman"/>
        </w:rPr>
        <w:t>841355332    ОГРН:</w:t>
      </w:r>
      <w:r>
        <w:rPr>
          <w:rFonts w:ascii="Times New Roman" w:hAnsi="Times New Roman"/>
          <w:i w:val="1"/>
        </w:rPr>
        <w:t xml:space="preserve"> </w:t>
      </w:r>
      <w:r>
        <w:rPr>
          <w:rFonts w:ascii="Times New Roman" w:hAnsi="Times New Roman"/>
        </w:rPr>
        <w:t>1077847050258</w:t>
      </w:r>
    </w:p>
    <w:p w14:paraId="86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акционера эмитента, %:</w:t>
      </w:r>
      <w:r>
        <w:rPr>
          <w:rFonts w:ascii="Times New Roman" w:hAnsi="Times New Roman"/>
          <w:b w:val="1"/>
          <w:i w:val="1"/>
        </w:rPr>
        <w:t>50</w:t>
      </w:r>
    </w:p>
    <w:p w14:paraId="87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акционера эмитента, %:</w:t>
      </w:r>
      <w:r>
        <w:rPr>
          <w:rFonts w:ascii="Times New Roman" w:hAnsi="Times New Roman"/>
          <w:b w:val="1"/>
          <w:i w:val="1"/>
        </w:rPr>
        <w:t xml:space="preserve"> 50</w:t>
      </w:r>
    </w:p>
    <w:p w14:paraId="88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Размер доли такого лица в уставном (складочном) капитале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89020000">
      <w:pPr>
        <w:widowControl w:val="1"/>
        <w:spacing w:after="40" w:before="20"/>
        <w:ind w:left="200"/>
        <w:rPr>
          <w:rFonts w:ascii="Times New Roman" w:hAnsi="Times New Roman"/>
        </w:rPr>
      </w:pPr>
      <w:r>
        <w:rPr>
          <w:rFonts w:ascii="Times New Roman" w:hAnsi="Times New Roman"/>
        </w:rPr>
        <w:t>Доля принадлежащих такому лицу обыкновенных акций эмитента, %:</w:t>
      </w:r>
      <w:r>
        <w:rPr>
          <w:rFonts w:ascii="Times New Roman" w:hAnsi="Times New Roman"/>
          <w:b w:val="1"/>
          <w:i w:val="1"/>
        </w:rPr>
        <w:t xml:space="preserve"> 0</w:t>
      </w:r>
    </w:p>
    <w:p w14:paraId="8A020000">
      <w:pPr>
        <w:pStyle w:val="Style_8"/>
        <w:widowControl w:val="1"/>
        <w:spacing w:before="220"/>
        <w:ind w:firstLine="284"/>
        <w:jc w:val="both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sz w:val="24"/>
        </w:rPr>
        <w:t xml:space="preserve">Иные сведения, указываемые эмитентом по собственному усмотрению: </w:t>
      </w:r>
      <w:r>
        <w:rPr>
          <w:rFonts w:ascii="Times New Roman" w:hAnsi="Times New Roman"/>
          <w:i w:val="1"/>
          <w:sz w:val="24"/>
        </w:rPr>
        <w:t>иные сведения</w:t>
      </w:r>
      <w:r>
        <w:rPr>
          <w:rFonts w:ascii="Times New Roman" w:hAnsi="Times New Roman"/>
          <w:i w:val="1"/>
          <w:sz w:val="24"/>
        </w:rPr>
        <w:t xml:space="preserve"> отсутствуют.</w:t>
      </w:r>
    </w:p>
    <w:p w14:paraId="8B020000">
      <w:bookmarkStart w:id="33" w:name="__RefHeading___52"/>
      <w:bookmarkEnd w:id="33"/>
      <w:pPr>
        <w:pStyle w:val="Style_7"/>
        <w:widowControl w:val="1"/>
        <w:numPr>
          <w:ilvl w:val="1"/>
          <w:numId w:val="10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bookmarkStart w:id="34" w:name="P486"/>
      <w:bookmarkEnd w:id="34"/>
      <w:r>
        <w:rPr>
          <w:rFonts w:ascii="Times New Roman" w:hAnsi="Times New Roman"/>
          <w:b w:val="1"/>
        </w:rPr>
        <w:t>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14:paraId="8C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Сведения об управляющих государственными, муниципальными пакетами акций: Указанных лиц нет.</w:t>
      </w:r>
    </w:p>
    <w:p w14:paraId="8D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эмитента: Указанных лиц нет.</w:t>
      </w:r>
    </w:p>
    <w:p w14:paraId="8E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акции'): Указанное право не предусмотрено.</w:t>
      </w:r>
    </w:p>
    <w:p w14:paraId="8F020000">
      <w:bookmarkStart w:id="35" w:name="__RefHeading___53"/>
      <w:bookmarkEnd w:id="35"/>
      <w:pPr>
        <w:pStyle w:val="Style_7"/>
        <w:widowControl w:val="1"/>
        <w:numPr>
          <w:ilvl w:val="1"/>
          <w:numId w:val="10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36" w:name="P492"/>
      <w:bookmarkEnd w:id="36"/>
      <w:r>
        <w:rPr>
          <w:rStyle w:val="Style_7_ch"/>
          <w:rFonts w:ascii="Times New Roman" w:hAnsi="Times New Roman"/>
          <w:b w:val="1"/>
        </w:rPr>
        <w:t>Сделки эмитента, в совершении которых имелась заинтересованность</w:t>
      </w:r>
    </w:p>
    <w:p w14:paraId="90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Style w:val="Style_7_ch"/>
          <w:rFonts w:ascii="Times New Roman" w:hAnsi="Times New Roman"/>
        </w:rPr>
        <w:t xml:space="preserve">Информация, предусмотренная </w:t>
      </w:r>
      <w:r>
        <w:rPr>
          <w:rStyle w:val="Style_7_ch"/>
          <w:rFonts w:ascii="Times New Roman" w:hAnsi="Times New Roman"/>
        </w:rPr>
        <w:fldChar w:fldCharType="begin"/>
      </w:r>
      <w:r>
        <w:rPr>
          <w:rStyle w:val="Style_7_ch"/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Style w:val="Style_7_ch"/>
          <w:rFonts w:ascii="Times New Roman" w:hAnsi="Times New Roman"/>
        </w:rPr>
        <w:fldChar w:fldCharType="separate"/>
      </w:r>
      <w:r>
        <w:rPr>
          <w:rStyle w:val="Style_7_ch"/>
          <w:rFonts w:ascii="Times New Roman" w:hAnsi="Times New Roman"/>
        </w:rPr>
        <w:t xml:space="preserve">пунктом </w:t>
      </w:r>
      <w:r>
        <w:rPr>
          <w:rStyle w:val="Style_7_ch"/>
          <w:rFonts w:ascii="Times New Roman" w:hAnsi="Times New Roman"/>
        </w:rPr>
        <w:fldChar w:fldCharType="end"/>
      </w:r>
      <w:r>
        <w:rPr>
          <w:rStyle w:val="Style_7_ch"/>
          <w:rFonts w:ascii="Times New Roman" w:hAnsi="Times New Roman"/>
        </w:rPr>
        <w:t>раскрывается эмитентами, акции которых допущены к орган</w:t>
      </w:r>
      <w:r>
        <w:rPr>
          <w:rStyle w:val="Style_8_ch"/>
          <w:rFonts w:ascii="Times New Roman" w:hAnsi="Times New Roman"/>
          <w:sz w:val="24"/>
        </w:rPr>
        <w:t>изованным торгам.</w:t>
      </w:r>
    </w:p>
    <w:p w14:paraId="91020000">
      <w:bookmarkStart w:id="37" w:name="__RefHeading___54"/>
      <w:bookmarkEnd w:id="37"/>
      <w:pPr>
        <w:pStyle w:val="Style_7"/>
        <w:widowControl w:val="1"/>
        <w:numPr>
          <w:ilvl w:val="1"/>
          <w:numId w:val="10"/>
        </w:numPr>
        <w:spacing w:before="240"/>
        <w:ind w:firstLine="425" w:left="0"/>
        <w:jc w:val="both"/>
        <w:rPr>
          <w:rFonts w:ascii="Times New Roman" w:hAnsi="Times New Roman"/>
          <w:b w:val="1"/>
        </w:rPr>
      </w:pPr>
      <w:r>
        <w:rPr>
          <w:rStyle w:val="Style_8_ch"/>
          <w:rFonts w:ascii="Times New Roman" w:hAnsi="Times New Roman"/>
          <w:sz w:val="24"/>
        </w:rPr>
        <w:t xml:space="preserve"> </w:t>
      </w:r>
      <w:bookmarkStart w:id="38" w:name="P497"/>
      <w:bookmarkEnd w:id="38"/>
      <w:r>
        <w:rPr>
          <w:rStyle w:val="Style_8_ch"/>
          <w:rFonts w:ascii="Times New Roman" w:hAnsi="Times New Roman"/>
          <w:b w:val="1"/>
          <w:sz w:val="24"/>
        </w:rPr>
        <w:t>Крупные сделки эмитента</w:t>
      </w:r>
    </w:p>
    <w:p w14:paraId="92020000">
      <w:pPr>
        <w:pStyle w:val="Style_8"/>
        <w:widowControl w:val="1"/>
        <w:spacing w:before="220"/>
        <w:ind/>
        <w:jc w:val="both"/>
        <w:rPr>
          <w:rFonts w:ascii="Times New Roman" w:hAnsi="Times New Roman"/>
        </w:rPr>
      </w:pPr>
      <w:r>
        <w:rPr>
          <w:rStyle w:val="Style_7_ch"/>
          <w:rFonts w:ascii="Times New Roman" w:hAnsi="Times New Roman"/>
          <w:b w:val="1"/>
        </w:rPr>
        <w:t xml:space="preserve">       </w:t>
      </w:r>
      <w:r>
        <w:rPr>
          <w:rStyle w:val="Style_7_ch"/>
          <w:rFonts w:ascii="Times New Roman" w:hAnsi="Times New Roman"/>
        </w:rPr>
        <w:t xml:space="preserve">  Информация, предусмотренная </w:t>
      </w:r>
      <w:r>
        <w:rPr>
          <w:rStyle w:val="Style_7_ch"/>
          <w:rFonts w:ascii="Times New Roman" w:hAnsi="Times New Roman"/>
        </w:rPr>
        <w:fldChar w:fldCharType="begin"/>
      </w:r>
      <w:r>
        <w:rPr>
          <w:rStyle w:val="Style_7_ch"/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Style w:val="Style_7_ch"/>
          <w:rFonts w:ascii="Times New Roman" w:hAnsi="Times New Roman"/>
        </w:rPr>
        <w:fldChar w:fldCharType="separate"/>
      </w:r>
      <w:r>
        <w:rPr>
          <w:rStyle w:val="Style_7_ch"/>
          <w:rFonts w:ascii="Times New Roman" w:hAnsi="Times New Roman"/>
        </w:rPr>
        <w:t xml:space="preserve">пунктом </w:t>
      </w:r>
      <w:r>
        <w:rPr>
          <w:rStyle w:val="Style_7_ch"/>
          <w:rFonts w:ascii="Times New Roman" w:hAnsi="Times New Roman"/>
        </w:rPr>
        <w:fldChar w:fldCharType="end"/>
      </w:r>
      <w:r>
        <w:rPr>
          <w:rStyle w:val="Style_7_ch"/>
          <w:rFonts w:ascii="Times New Roman" w:hAnsi="Times New Roman"/>
        </w:rPr>
        <w:t>раскрывается эмитентами, акции которых допущен к организованным торгам.</w:t>
      </w:r>
    </w:p>
    <w:p w14:paraId="93020000">
      <w:bookmarkStart w:id="39" w:name="__RefHeading___55"/>
      <w:bookmarkEnd w:id="39"/>
      <w:pPr>
        <w:widowControl w:val="1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4. Дополнительные сведения об эмитенте и о размещенных им ценных бумагах</w:t>
      </w:r>
    </w:p>
    <w:p w14:paraId="94020000">
      <w:bookmarkStart w:id="40" w:name="__RefHeading___56"/>
      <w:bookmarkEnd w:id="40"/>
      <w:pPr>
        <w:pStyle w:val="Style_7"/>
        <w:widowControl w:val="1"/>
        <w:numPr>
          <w:ilvl w:val="1"/>
          <w:numId w:val="12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1" w:name="P511"/>
      <w:bookmarkEnd w:id="41"/>
      <w:r>
        <w:rPr>
          <w:rFonts w:ascii="Times New Roman" w:hAnsi="Times New Roman"/>
          <w:b w:val="1"/>
        </w:rPr>
        <w:t>Подконтрольные эмитенту организации, имеющие для него существенное значение</w:t>
      </w:r>
    </w:p>
    <w:p w14:paraId="95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На 30.06.2025 г. эмитент имеет подконтрольные эмитенту организации, имеющие для него существенное значение:</w:t>
      </w:r>
    </w:p>
    <w:tbl>
      <w:tblPr>
        <w:tblStyle w:val="Style_2"/>
        <w:tblW w:type="auto" w:w="0"/>
        <w:jc w:val="center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2144"/>
        <w:gridCol w:w="1576"/>
        <w:gridCol w:w="2126"/>
        <w:gridCol w:w="2268"/>
        <w:gridCol w:w="1524"/>
      </w:tblGrid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602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полное и сокращенное (при наличии) наименования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702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ИНН/№ в коммерческом  (торговом) реестре  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9802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ОГРН/ ЕРН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9902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место нахождения</w:t>
            </w:r>
          </w:p>
          <w:p w14:paraId="9A02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B020000">
            <w:pPr>
              <w:widowControl w:val="1"/>
              <w:ind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вид контроля, под которым находится организация</w:t>
            </w: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C02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Открытое акционерное общество «Управление промышленных предприятий» (ОАО «УПП»)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9D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4714001737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9E020000">
            <w:pPr>
              <w:widowControl w:val="1"/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1024701760313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9F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</w:t>
            </w:r>
          </w:p>
          <w:p w14:paraId="A0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г. Сосновый Бор, </w:t>
            </w:r>
            <w:r>
              <w:rPr>
                <w:rFonts w:ascii="Times New Roman" w:hAnsi="Times New Roman"/>
                <w:sz w:val="22"/>
              </w:rPr>
              <w:t>Копорское</w:t>
            </w:r>
            <w:r>
              <w:rPr>
                <w:rFonts w:ascii="Times New Roman" w:hAnsi="Times New Roman"/>
                <w:sz w:val="22"/>
              </w:rPr>
              <w:t xml:space="preserve"> шоссе д.56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1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  <w:p w14:paraId="A2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3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Общество с ограниченной ответственностью «УМИАТ» (ООО «УМИАТ»)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4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4707051769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5020000">
            <w:pPr>
              <w:widowControl w:val="1"/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1234700019179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6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188540, Ленинградская область, </w:t>
            </w:r>
          </w:p>
          <w:p w14:paraId="A7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г. Сосновый Бор, </w:t>
            </w:r>
            <w:r>
              <w:rPr>
                <w:rFonts w:ascii="Times New Roman" w:hAnsi="Times New Roman"/>
                <w:sz w:val="22"/>
              </w:rPr>
              <w:t>Копорское</w:t>
            </w:r>
            <w:r>
              <w:rPr>
                <w:rFonts w:ascii="Times New Roman" w:hAnsi="Times New Roman"/>
                <w:sz w:val="22"/>
              </w:rPr>
              <w:t xml:space="preserve"> шоссе д.30 помещ.1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8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  <w:tr>
        <w:tc>
          <w:tcPr>
            <w:tcW w:type="dxa" w:w="9638"/>
            <w:gridSpan w:val="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9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</w:tr>
      <w:tr>
        <w:trPr>
          <w:trHeight w:hRule="atLeast" w:val="778"/>
        </w:trP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A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СУС Египет управление проектами (ООО)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B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701–775– 017      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AC020000">
            <w:pPr>
              <w:widowControl w:val="1"/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10530 00001 95055</w:t>
            </w:r>
          </w:p>
          <w:p w14:paraId="AD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E020000">
            <w:pPr>
              <w:widowControl w:val="1"/>
              <w:ind w:left="-64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Египет, Каир, </w:t>
            </w:r>
            <w:r>
              <w:rPr>
                <w:rFonts w:ascii="Times New Roman" w:hAnsi="Times New Roman"/>
                <w:sz w:val="22"/>
              </w:rPr>
              <w:t>Наср</w:t>
            </w:r>
            <w:r>
              <w:rPr>
                <w:rFonts w:ascii="Times New Roman" w:hAnsi="Times New Roman"/>
                <w:sz w:val="22"/>
              </w:rPr>
              <w:t xml:space="preserve">  Сити, </w:t>
            </w:r>
            <w:r>
              <w:rPr>
                <w:rFonts w:ascii="Times New Roman" w:hAnsi="Times New Roman"/>
                <w:sz w:val="22"/>
              </w:rPr>
              <w:t>ул.Эль</w:t>
            </w:r>
            <w:r>
              <w:rPr>
                <w:rFonts w:ascii="Times New Roman" w:hAnsi="Times New Roman"/>
                <w:sz w:val="22"/>
              </w:rPr>
              <w:t xml:space="preserve"> </w:t>
            </w:r>
            <w:r>
              <w:rPr>
                <w:rFonts w:ascii="Times New Roman" w:hAnsi="Times New Roman"/>
                <w:sz w:val="22"/>
              </w:rPr>
              <w:t>Таяран</w:t>
            </w:r>
            <w:r>
              <w:rPr>
                <w:rFonts w:ascii="Times New Roman" w:hAnsi="Times New Roman"/>
                <w:sz w:val="22"/>
              </w:rPr>
              <w:t xml:space="preserve"> 24, 5 этаж, офис 11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AF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  <w:p w14:paraId="B0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</w:p>
        </w:tc>
      </w:tr>
      <w:tr>
        <w:tc>
          <w:tcPr>
            <w:tcW w:type="dxa" w:w="214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B1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SUS </w:t>
            </w:r>
            <w:r>
              <w:rPr>
                <w:rFonts w:ascii="Times New Roman" w:hAnsi="Times New Roman"/>
                <w:sz w:val="22"/>
              </w:rPr>
              <w:t>Hungary</w:t>
            </w:r>
          </w:p>
        </w:tc>
        <w:tc>
          <w:tcPr>
            <w:tcW w:type="dxa" w:w="157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B2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32130962-2-17</w:t>
            </w:r>
          </w:p>
        </w:tc>
        <w:tc>
          <w:tcPr>
            <w:tcW w:type="dxa" w:w="212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vAlign w:val="center"/>
          </w:tcPr>
          <w:p w14:paraId="B3020000">
            <w:pPr>
              <w:widowControl w:val="1"/>
              <w:ind/>
              <w:jc w:val="right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17-09-013472/10</w:t>
            </w:r>
          </w:p>
        </w:tc>
        <w:tc>
          <w:tcPr>
            <w:tcW w:type="dxa" w:w="226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402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Венгрия</w:t>
            </w:r>
          </w:p>
          <w:p w14:paraId="B5020000">
            <w:pPr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</w:rPr>
              <w:t xml:space="preserve">7030, </w:t>
            </w:r>
            <w:r>
              <w:rPr>
                <w:rFonts w:ascii="Times New Roman" w:hAnsi="Times New Roman"/>
              </w:rPr>
              <w:t>Пакш</w:t>
            </w:r>
            <w:r>
              <w:rPr>
                <w:rFonts w:ascii="Times New Roman" w:hAnsi="Times New Roman"/>
              </w:rPr>
              <w:t xml:space="preserve">, </w:t>
            </w:r>
            <w:r>
              <w:rPr>
                <w:rFonts w:ascii="Times New Roman" w:hAnsi="Times New Roman"/>
              </w:rPr>
              <w:t>Ипари</w:t>
            </w:r>
            <w:r>
              <w:rPr>
                <w:rFonts w:ascii="Times New Roman" w:hAnsi="Times New Roman"/>
              </w:rPr>
              <w:t xml:space="preserve"> парк 4703/28 </w:t>
            </w:r>
          </w:p>
        </w:tc>
        <w:tc>
          <w:tcPr>
            <w:tcW w:type="dxa" w:w="152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6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  <w:sz w:val="22"/>
              </w:rPr>
              <w:t>Прямой контроль</w:t>
            </w:r>
          </w:p>
        </w:tc>
      </w:tr>
    </w:tbl>
    <w:p w14:paraId="B7020000">
      <w:pPr>
        <w:pStyle w:val="Style_8"/>
        <w:widowControl w:val="1"/>
        <w:spacing w:before="22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Признак осуществления эмитентом контроля над организацией, в отношении которой он является контролирующим лицом- право прямо распоряжаться в силу участия в подконтрольной организации более 50 процентами голосов в высшем органе управления подконтрольной эмитенту организации; право назначать (избирать) единоличный исполнительный орган подконтрольной эмитенту организации.</w:t>
      </w:r>
    </w:p>
    <w:tbl>
      <w:tblPr>
        <w:tblStyle w:val="Style_2"/>
        <w:tblW w:type="auto" w:w="0"/>
        <w:tblBorders>
          <w:top w:color="000000" w:sz="4" w:val="single"/>
          <w:left w:color="000000" w:sz="4" w:val="single"/>
          <w:bottom w:color="000000" w:sz="4" w:val="single"/>
          <w:right w:color="000000" w:sz="4" w:val="single"/>
          <w:insideH w:color="000000" w:sz="4" w:val="single"/>
          <w:insideV w:color="000000" w:sz="4" w:val="single"/>
        </w:tblBorders>
        <w:tblLayout w:type="fixed"/>
      </w:tblPr>
      <w:tblGrid>
        <w:gridCol w:w="1809"/>
        <w:gridCol w:w="1560"/>
        <w:gridCol w:w="1984"/>
        <w:gridCol w:w="4217"/>
      </w:tblGrid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8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Размер доли,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9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количество</w:t>
            </w: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A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общая номинальная стоимость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B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общая балансовая стоимость обыкновенных акций подконтрольной организации, принадлежащих эмитенту</w:t>
            </w:r>
          </w:p>
          <w:p w14:paraId="BC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(руб.)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D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E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4 120 000</w:t>
            </w: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BF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20 600 000,00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0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230 000 000,00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1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2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3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1 000 000,00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4020000">
            <w:pPr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9570"/>
            <w:gridSpan w:val="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5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6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7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8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35 000 долл. США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9020000">
            <w:pPr>
              <w:widowControl w:val="1"/>
              <w:ind w:right="190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  2 180 941,00</w:t>
            </w:r>
          </w:p>
        </w:tc>
      </w:tr>
      <w:tr>
        <w:tc>
          <w:tcPr>
            <w:tcW w:type="dxa" w:w="1809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A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100%</w:t>
            </w:r>
          </w:p>
        </w:tc>
        <w:tc>
          <w:tcPr>
            <w:tcW w:type="dxa" w:w="1560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B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</w:p>
        </w:tc>
        <w:tc>
          <w:tcPr>
            <w:tcW w:type="dxa" w:w="198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C020000">
            <w:pPr>
              <w:widowControl w:val="1"/>
              <w:ind/>
              <w:jc w:val="both"/>
              <w:rPr>
                <w:rFonts w:ascii="Times New Roman" w:hAnsi="Times New Roman"/>
                <w:sz w:val="22"/>
                <w:highlight w:val="yellow"/>
              </w:rPr>
            </w:pPr>
            <w:r>
              <w:rPr>
                <w:rFonts w:ascii="Times New Roman" w:hAnsi="Times New Roman"/>
              </w:rPr>
              <w:t>3.000.000 HUF</w:t>
            </w:r>
          </w:p>
        </w:tc>
        <w:tc>
          <w:tcPr>
            <w:tcW w:type="dxa" w:w="42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</w:tcPr>
          <w:p w14:paraId="CD020000">
            <w:pPr>
              <w:widowControl w:val="1"/>
              <w:ind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    439 470,00 </w:t>
            </w:r>
          </w:p>
        </w:tc>
      </w:tr>
    </w:tbl>
    <w:p w14:paraId="CE020000">
      <w:pPr>
        <w:pStyle w:val="Style_8"/>
        <w:widowControl w:val="1"/>
        <w:spacing w:before="24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 - ОАО «УПП»: производство товарного бетона (ОКВЭД 23.63).</w:t>
      </w:r>
    </w:p>
    <w:p w14:paraId="CF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D0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D1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Арканов Сергей Александрович (с 04.04.2023 г).</w:t>
      </w:r>
    </w:p>
    <w:p w14:paraId="D2020000">
      <w:pPr>
        <w:pStyle w:val="Style_8"/>
        <w:widowControl w:val="1"/>
        <w:spacing w:after="24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D3020000">
      <w:pPr>
        <w:pStyle w:val="Style_8"/>
        <w:widowControl w:val="1"/>
        <w:spacing w:before="24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Основной вид деятельности подконтрольной эмитенту организации - ООО «УМИАТ»: деятельность автомобильного грузового транспорта (ОКВЭД 49.41).</w:t>
      </w:r>
    </w:p>
    <w:p w14:paraId="D4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Совет директоров у подконтрольной организации в уставе не предусмотрен.</w:t>
      </w:r>
    </w:p>
    <w:p w14:paraId="D5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Коллегиальный исполнительный орган уставом не предусмотрен.</w:t>
      </w:r>
    </w:p>
    <w:p w14:paraId="D6020000">
      <w:pPr>
        <w:pStyle w:val="Style_8"/>
        <w:widowControl w:val="1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Лицо, занимающее должность (осуществляющее функции) единоличного исполнительного органа подконтрольной эмитенту организации - Генерального директора: Шелемехов Сергей Сергеевич (с 01.08.2023 г).</w:t>
      </w:r>
    </w:p>
    <w:p w14:paraId="D7020000">
      <w:pPr>
        <w:pStyle w:val="Style_8"/>
        <w:widowControl w:val="1"/>
        <w:spacing w:after="24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Доля, принадлежащая указанному лицу обыкновенных акций эмитента – 0%.</w:t>
      </w:r>
    </w:p>
    <w:p w14:paraId="D8020000">
      <w:bookmarkStart w:id="42" w:name="__RefHeading___57"/>
      <w:bookmarkEnd w:id="42"/>
      <w:pPr>
        <w:pStyle w:val="Style_7"/>
        <w:widowControl w:val="1"/>
        <w:numPr>
          <w:ilvl w:val="1"/>
          <w:numId w:val="12"/>
        </w:numPr>
        <w:spacing w:before="240"/>
        <w:ind/>
        <w:jc w:val="both"/>
        <w:rPr>
          <w:rFonts w:ascii="Times New Roman" w:hAnsi="Times New Roman"/>
          <w:b w:val="1"/>
          <w:sz w:val="22"/>
        </w:rPr>
      </w:pPr>
      <w:r>
        <w:rPr>
          <w:rFonts w:ascii="Times New Roman" w:hAnsi="Times New Roman"/>
          <w:b w:val="1"/>
          <w:sz w:val="22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</w:t>
      </w:r>
    </w:p>
    <w:p w14:paraId="D9020000">
      <w:pPr>
        <w:pStyle w:val="Style_8"/>
        <w:widowControl w:val="1"/>
        <w:spacing w:after="240" w:before="24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Эмитент не идентифицирует выпуск облигаций.</w:t>
      </w:r>
    </w:p>
    <w:p w14:paraId="DA020000">
      <w:bookmarkStart w:id="43" w:name="__RefHeading___58"/>
      <w:bookmarkEnd w:id="43"/>
      <w:pPr>
        <w:pStyle w:val="Style_7"/>
        <w:widowControl w:val="1"/>
        <w:numPr>
          <w:ilvl w:val="1"/>
          <w:numId w:val="12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14:paraId="DB020000">
      <w:pPr>
        <w:pStyle w:val="Style_8"/>
        <w:widowControl w:val="1"/>
        <w:spacing w:after="240" w:before="24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регистрировал проспект или публично не размещал (размещение путем открытой подписки) облигаций с обеспечением.</w:t>
      </w:r>
    </w:p>
    <w:p w14:paraId="DC020000">
      <w:bookmarkStart w:id="44" w:name="__RefHeading___59"/>
      <w:bookmarkEnd w:id="44"/>
      <w:pPr>
        <w:pStyle w:val="Style_7"/>
        <w:widowControl w:val="1"/>
        <w:numPr>
          <w:ilvl w:val="1"/>
          <w:numId w:val="12"/>
        </w:numPr>
        <w:spacing w:before="240"/>
        <w:ind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 xml:space="preserve">  Сведения об объявленных и выплаченных дивидендах по акциям эмитента</w:t>
      </w:r>
    </w:p>
    <w:p w14:paraId="DD020000">
      <w:pPr>
        <w:widowControl w:val="1"/>
        <w:spacing w:before="20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Информация, предусмотренная </w:t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>HYPERLINK "consultantplus://offline/ref=BFC33E0FE7007EF23CCBE03443DECD839EA96283CA38124717313FE902773D57A788E9BC468C05E64A660A8A6F3CB6F96F698BC38E49A31EzAH8L"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t xml:space="preserve">пунктом </w:t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t>раскрывается эмитентами, акции которых допущены к организованным торгам.</w:t>
      </w:r>
    </w:p>
    <w:p w14:paraId="DE020000">
      <w:bookmarkStart w:id="45" w:name="__RefHeading___60"/>
      <w:bookmarkEnd w:id="45"/>
      <w:pPr>
        <w:pStyle w:val="Style_7"/>
        <w:widowControl w:val="1"/>
        <w:numPr>
          <w:ilvl w:val="1"/>
          <w:numId w:val="12"/>
        </w:numPr>
        <w:spacing w:before="240"/>
        <w:ind w:hanging="567" w:left="85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об организациях, осуществляющих учет прав на эмиссионные ценные бумаги эмитента</w:t>
      </w:r>
    </w:p>
    <w:p w14:paraId="DF020000">
      <w:bookmarkStart w:id="46" w:name="__RefHeading___61"/>
      <w:bookmarkEnd w:id="46"/>
      <w:pPr>
        <w:pStyle w:val="Style_7"/>
        <w:widowControl w:val="1"/>
        <w:numPr>
          <w:ilvl w:val="2"/>
          <w:numId w:val="13"/>
        </w:numPr>
        <w:spacing w:before="240"/>
        <w:ind w:hanging="528" w:left="1378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регистраторе, осуществляющем ведение реестра владельцев ценных бумаг эмитента</w:t>
      </w:r>
    </w:p>
    <w:p w14:paraId="E0020000">
      <w:pPr>
        <w:widowControl w:val="1"/>
        <w:ind w:firstLine="720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      </w:t>
      </w:r>
    </w:p>
    <w:p w14:paraId="E1020000">
      <w:pPr>
        <w:widowControl w:val="1"/>
        <w:ind w:firstLine="283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Регистратором общества в соответствии с заключенным договором об оказании услуг по ведению реестра владельцев ценных бумаг №2018/78-ДВР-641 от «26» марта 2025 г. является Акционерное общество «Независимая регистрационная компания «Р.О.С.Т.» (</w:t>
      </w:r>
      <w:r>
        <w:rPr>
          <w:rFonts w:ascii="Times New Roman" w:hAnsi="Times New Roman"/>
          <w:color w:val="333333"/>
        </w:rPr>
        <w:t>АО «НРК - Р.О.С.Т.»)</w:t>
      </w:r>
    </w:p>
    <w:p w14:paraId="E202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Информация опубликована эмитентом на странице в сети Интернет: </w:t>
      </w:r>
      <w:r>
        <w:rPr>
          <w:rStyle w:val="Style_12_ch"/>
          <w:rFonts w:ascii="Times New Roman" w:hAnsi="Times New Roman"/>
        </w:rPr>
        <w:fldChar w:fldCharType="begin"/>
      </w:r>
      <w:r>
        <w:rPr>
          <w:rStyle w:val="Style_12_ch"/>
          <w:rFonts w:ascii="Times New Roman" w:hAnsi="Times New Roman"/>
        </w:rPr>
        <w:instrText>HYPERLINK "https://disclosure.1prime.ru/Portal/Default.aspx?emId=4714000211"</w:instrText>
      </w:r>
      <w:r>
        <w:rPr>
          <w:rStyle w:val="Style_12_ch"/>
          <w:rFonts w:ascii="Times New Roman" w:hAnsi="Times New Roman"/>
        </w:rPr>
        <w:fldChar w:fldCharType="separate"/>
      </w:r>
      <w:r>
        <w:rPr>
          <w:rStyle w:val="Style_12_ch"/>
          <w:rFonts w:ascii="Times New Roman" w:hAnsi="Times New Roman"/>
        </w:rPr>
        <w:t>https://disclosure.1prime.ru/Portal/Default.aspx?emId=4714000211</w:t>
      </w:r>
      <w:r>
        <w:rPr>
          <w:rStyle w:val="Style_12_ch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.</w:t>
      </w:r>
    </w:p>
    <w:p w14:paraId="E3020000">
      <w:pPr>
        <w:widowControl w:val="1"/>
        <w:ind w:firstLine="56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составе </w:t>
      </w:r>
      <w:r>
        <w:rPr>
          <w:rFonts w:ascii="Times New Roman" w:hAnsi="Times New Roman"/>
        </w:rPr>
        <w:t>указанной  о</w:t>
      </w:r>
      <w:r>
        <w:rPr>
          <w:rFonts w:ascii="Times New Roman" w:hAnsi="Times New Roman"/>
        </w:rPr>
        <w:t xml:space="preserve"> регистраторе эмитента информации, раскрытой в отчете эмитента за 12 месяцев 2024 г. существенных изменений не произошло.</w:t>
      </w:r>
    </w:p>
    <w:p w14:paraId="E4020000">
      <w:bookmarkStart w:id="47" w:name="__RefHeading___62"/>
      <w:bookmarkEnd w:id="47"/>
      <w:pPr>
        <w:pStyle w:val="Style_7"/>
        <w:widowControl w:val="1"/>
        <w:numPr>
          <w:ilvl w:val="2"/>
          <w:numId w:val="13"/>
        </w:numPr>
        <w:spacing w:before="240"/>
        <w:ind w:hanging="528" w:left="1378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Сведения о депозитарии, осуществляющем централизованный учет прав на ценные бумаги эмитента</w:t>
      </w:r>
    </w:p>
    <w:p w14:paraId="E5020000">
      <w:pPr>
        <w:widowControl w:val="1"/>
        <w:spacing w:before="240"/>
        <w:ind w:firstLine="567"/>
        <w:jc w:val="both"/>
        <w:rPr>
          <w:rFonts w:ascii="Times New Roman" w:hAnsi="Times New Roman"/>
          <w:color w:themeColor="dark1" w:val="000000"/>
          <w:sz w:val="24"/>
        </w:rPr>
      </w:pPr>
      <w:r>
        <w:rPr>
          <w:rFonts w:ascii="Times New Roman" w:hAnsi="Times New Roman"/>
          <w:color w:themeColor="dark1" w:val="000000"/>
          <w:sz w:val="24"/>
        </w:rPr>
        <w:t>Эмитент имеет открытый</w:t>
      </w:r>
      <w:r>
        <w:rPr>
          <w:rFonts w:ascii="Times New Roman" w:hAnsi="Times New Roman"/>
          <w:sz w:val="24"/>
        </w:rPr>
        <w:t xml:space="preserve"> лицевой счет номинального держателя Центрального депозитария - </w:t>
      </w:r>
      <w:r>
        <w:rPr>
          <w:rFonts w:ascii="Times New Roman" w:hAnsi="Times New Roman"/>
          <w:color w:themeColor="dark1" w:val="000000"/>
          <w:sz w:val="24"/>
        </w:rPr>
        <w:t>«Небанковской кредитной организации акционерное общество "Национальный расчетный депозитарий" (НКО АО НРД</w:t>
      </w:r>
      <w:r>
        <w:rPr>
          <w:rFonts w:ascii="Times New Roman" w:hAnsi="Times New Roman"/>
          <w:color w:themeColor="dark1" w:val="000000"/>
          <w:sz w:val="24"/>
        </w:rPr>
        <w:t>) ,</w:t>
      </w:r>
      <w:r>
        <w:rPr>
          <w:rFonts w:ascii="Times New Roman" w:hAnsi="Times New Roman"/>
          <w:color w:themeColor="dark1" w:val="000000"/>
          <w:sz w:val="24"/>
        </w:rPr>
        <w:t xml:space="preserve"> однако, в </w:t>
      </w:r>
      <w:r>
        <w:rPr>
          <w:rFonts w:ascii="Times New Roman" w:hAnsi="Times New Roman"/>
          <w:sz w:val="24"/>
        </w:rPr>
        <w:t>настоящее время в обращении у эмитента нет ценных бумаг с централизованным учетом прав.</w:t>
      </w:r>
    </w:p>
    <w:p w14:paraId="E6020000">
      <w:bookmarkStart w:id="48" w:name="__RefHeading___63"/>
      <w:bookmarkEnd w:id="48"/>
      <w:pPr>
        <w:pStyle w:val="Style_7"/>
        <w:widowControl w:val="1"/>
        <w:numPr>
          <w:ilvl w:val="1"/>
          <w:numId w:val="12"/>
        </w:numPr>
        <w:spacing w:before="240"/>
        <w:ind/>
        <w:jc w:val="both"/>
        <w:rPr>
          <w:rFonts w:ascii="Times New Roman" w:hAnsi="Times New Roman"/>
          <w:b w:val="1"/>
        </w:rPr>
      </w:pPr>
      <w:bookmarkStart w:id="49" w:name="P1125"/>
      <w:bookmarkEnd w:id="49"/>
      <w:r>
        <w:rPr>
          <w:rFonts w:ascii="Times New Roman" w:hAnsi="Times New Roman"/>
          <w:b w:val="1"/>
        </w:rPr>
        <w:t>Информация об аудиторе эмитента</w:t>
      </w:r>
    </w:p>
    <w:p w14:paraId="E7020000">
      <w:pPr>
        <w:widowControl w:val="1"/>
        <w:ind w:firstLine="567"/>
        <w:rPr>
          <w:rFonts w:ascii="Times New Roman" w:hAnsi="Times New Roman"/>
          <w:b w:val="1"/>
        </w:rPr>
      </w:pPr>
      <w:r>
        <w:rPr>
          <w:rFonts w:ascii="Times New Roman" w:hAnsi="Times New Roman"/>
        </w:rPr>
        <w:t xml:space="preserve"> В составе </w:t>
      </w:r>
      <w:r>
        <w:rPr>
          <w:rFonts w:ascii="Times New Roman" w:hAnsi="Times New Roman"/>
        </w:rPr>
        <w:t>указанной  об</w:t>
      </w:r>
      <w:r>
        <w:rPr>
          <w:rFonts w:ascii="Times New Roman" w:hAnsi="Times New Roman"/>
        </w:rPr>
        <w:t xml:space="preserve"> аудиторе эмитента информации, раскрытой в отчете эмитента за 12 месяцев 2024 г. существенных изменений не произошло.</w:t>
      </w:r>
    </w:p>
    <w:p w14:paraId="E8020000">
      <w:pPr>
        <w:widowControl w:val="1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Аудитором Общества утвержден общим собранием акционеров 30.06.2025 г. "Центр налогового аудита".  Размер оплаты услуг аудитора по аудиту годовой отчетности Общества на 2025 год установлен в сумме не более 900 000 руб.</w:t>
      </w:r>
    </w:p>
    <w:p w14:paraId="E9020000">
      <w:pPr>
        <w:widowControl w:val="1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Работ аудитора, в рамках специальных аудиторских заданий,</w:t>
      </w:r>
      <w:r>
        <w:rPr>
          <w:rFonts w:ascii="Times New Roman" w:hAnsi="Times New Roman"/>
          <w:b w:val="1"/>
          <w:i w:val="1"/>
        </w:rPr>
        <w:t xml:space="preserve"> не проводилось</w:t>
      </w:r>
    </w:p>
    <w:p w14:paraId="EA020000">
      <w:pPr>
        <w:widowControl w:val="1"/>
        <w:ind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Отсроченных и просроченных платежей за оказанные аудитором услуги</w:t>
      </w:r>
      <w:r>
        <w:rPr>
          <w:rFonts w:ascii="Times New Roman" w:hAnsi="Times New Roman"/>
          <w:b w:val="1"/>
          <w:i w:val="1"/>
        </w:rPr>
        <w:t xml:space="preserve"> нет</w:t>
      </w:r>
    </w:p>
    <w:p w14:paraId="EB020000">
      <w:bookmarkStart w:id="50" w:name="__RefHeading___64"/>
      <w:bookmarkEnd w:id="50"/>
      <w:pPr>
        <w:widowControl w:val="1"/>
        <w:spacing w:after="120" w:before="360"/>
        <w:ind/>
        <w:jc w:val="center"/>
        <w:outlineLvl w:val="0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Раздел 5. Финансовая отчетность, бухгалтерская (финансовая) отчетность эмитента</w:t>
      </w:r>
    </w:p>
    <w:p w14:paraId="EC020000">
      <w:bookmarkStart w:id="51" w:name="__RefHeading___65"/>
      <w:bookmarkEnd w:id="51"/>
      <w:pPr>
        <w:pStyle w:val="Style_7"/>
        <w:widowControl w:val="1"/>
        <w:spacing w:before="240"/>
        <w:ind w:firstLine="567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5.1. Консолидированная финансовая отчетность (финансовая отчетность) эмитента</w:t>
      </w:r>
    </w:p>
    <w:p w14:paraId="ED020000">
      <w:pPr>
        <w:pStyle w:val="Style_8"/>
        <w:widowControl w:val="1"/>
        <w:spacing w:after="240" w:before="240"/>
        <w:ind w:firstLine="54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Эмитент не составляет и не раскрывают консолидированную финансовую отчетность.</w:t>
      </w:r>
    </w:p>
    <w:p w14:paraId="EE020000">
      <w:bookmarkStart w:id="52" w:name="__RefHeading___66"/>
      <w:bookmarkEnd w:id="52"/>
      <w:pPr>
        <w:pStyle w:val="Style_7"/>
        <w:widowControl w:val="1"/>
        <w:spacing w:before="240"/>
        <w:ind w:firstLine="567"/>
        <w:jc w:val="both"/>
        <w:rPr>
          <w:rFonts w:ascii="Times New Roman" w:hAnsi="Times New Roman"/>
          <w:b w:val="1"/>
        </w:rPr>
      </w:pPr>
      <w:r>
        <w:rPr>
          <w:rFonts w:ascii="Times New Roman" w:hAnsi="Times New Roman"/>
          <w:b w:val="1"/>
        </w:rPr>
        <w:t>5.2.     Бухгалтерская (финансовая) отчетность</w:t>
      </w:r>
    </w:p>
    <w:p w14:paraId="EF020000">
      <w:pPr>
        <w:widowControl w:val="1"/>
        <w:ind w:firstLine="720"/>
        <w:rPr>
          <w:rFonts w:ascii="Times New Roman" w:hAnsi="Times New Roman"/>
          <w:highlight w:val="white"/>
        </w:rPr>
      </w:pPr>
    </w:p>
    <w:p w14:paraId="F0020000">
      <w:pPr>
        <w:widowControl w:val="1"/>
        <w:ind w:firstLine="720"/>
        <w:jc w:val="left"/>
        <w:rPr>
          <w:rFonts w:ascii="Times New Roman" w:hAnsi="Times New Roman"/>
          <w:highlight w:val="white"/>
        </w:rPr>
      </w:pPr>
      <w:r>
        <w:rPr>
          <w:rFonts w:ascii="Times New Roman" w:hAnsi="Times New Roman"/>
        </w:rPr>
        <w:t xml:space="preserve">Бухгалтерская (финансовая) отчетность на 30.06.2025 опубликована эмитентом </w:t>
      </w:r>
      <w:r>
        <w:rPr>
          <w:rFonts w:ascii="Times New Roman" w:hAnsi="Times New Roman"/>
          <w:b w:val="0"/>
        </w:rPr>
        <w:t>2</w:t>
      </w:r>
      <w:r>
        <w:rPr>
          <w:rFonts w:ascii="Times New Roman" w:hAnsi="Times New Roman"/>
          <w:b w:val="0"/>
        </w:rPr>
        <w:t>9</w:t>
      </w:r>
      <w:r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</w:rPr>
        <w:t>07.2025 на странице в сети Интернет</w:t>
      </w:r>
      <w:r>
        <w:rPr>
          <w:rStyle w:val="Style_13_ch"/>
          <w:rFonts w:ascii="Times New Roman" w:hAnsi="Times New Roman"/>
          <w:color w:val="000000"/>
        </w:rPr>
        <w:fldChar w:fldCharType="begin"/>
      </w:r>
      <w:r>
        <w:rPr>
          <w:rStyle w:val="Style_13_ch"/>
          <w:rFonts w:ascii="Times New Roman" w:hAnsi="Times New Roman"/>
          <w:color w:val="000000"/>
        </w:rPr>
        <w:instrText>HYPERLINK "http://disclosure.1prime.ru/Portal/GetDocument.aspx?emId=4714000211&amp;docId=8e661c7e7a6646689a3cdc6f4576c770"</w:instrText>
      </w:r>
      <w:r>
        <w:rPr>
          <w:rStyle w:val="Style_13_ch"/>
          <w:rFonts w:ascii="Times New Roman" w:hAnsi="Times New Roman"/>
          <w:color w:val="000000"/>
        </w:rPr>
        <w:fldChar w:fldCharType="separate"/>
      </w:r>
      <w:r>
        <w:rPr>
          <w:rStyle w:val="Style_13_ch"/>
          <w:rFonts w:ascii="Times New Roman" w:hAnsi="Times New Roman"/>
          <w:color w:val="000000"/>
        </w:rPr>
        <w:t>:</w:t>
      </w:r>
      <w:r>
        <w:rPr>
          <w:rStyle w:val="Style_13_ch"/>
          <w:rFonts w:ascii="Times New Roman" w:hAnsi="Times New Roman"/>
          <w:color w:val="000000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highlight w:val="white"/>
          <w:u w:color="000000" w:val="single"/>
        </w:rPr>
        <w:fldChar w:fldCharType="begin"/>
      </w:r>
      <w:r>
        <w:rPr>
          <w:rFonts w:ascii="Times New Roman" w:hAnsi="Times New Roman"/>
          <w:highlight w:val="white"/>
          <w:u w:color="000000" w:val="single"/>
        </w:rPr>
        <w:instrText>HYPERLINK "https://disclosure.1prime.ru/Portal/GetDocument.aspx?emId=4714000211&amp;docId=0344fb2b7a5c4dedadc810bd0ab47c08"</w:instrText>
      </w:r>
      <w:r>
        <w:rPr>
          <w:rFonts w:ascii="Times New Roman" w:hAnsi="Times New Roman"/>
          <w:highlight w:val="white"/>
          <w:u w:color="000000" w:val="single"/>
        </w:rPr>
        <w:fldChar w:fldCharType="separate"/>
      </w:r>
      <w:r>
        <w:rPr>
          <w:rFonts w:ascii="Times New Roman" w:hAnsi="Times New Roman"/>
          <w:highlight w:val="white"/>
          <w:u w:color="000000" w:val="single"/>
        </w:rPr>
        <w:t>https://disclosure.1prime.ru/Portal/GetDocument.aspx?emId=4714000211&amp;docId=0344fb2b7a5c4dedadc810bd0ab47c08.</w:t>
      </w:r>
      <w:r>
        <w:rPr>
          <w:rFonts w:ascii="Times New Roman" w:hAnsi="Times New Roman"/>
          <w:highlight w:val="white"/>
          <w:u w:color="000000" w:val="single"/>
        </w:rPr>
        <w:fldChar w:fldCharType="end"/>
      </w:r>
    </w:p>
    <w:sectPr>
      <w:footerReference r:id="rId1" w:type="default"/>
      <w:pgSz w:h="16838" w:orient="portrait" w:w="11906"/>
      <w:pgMar w:bottom="567" w:footer="397" w:gutter="0" w:header="397" w:left="1559" w:right="567" w:top="851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1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  <w:widowControl w:val="1"/>
      <w:ind/>
      <w:jc w:val="center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</w:p>
  <w:p w14:paraId="02000000">
    <w:pPr>
      <w:pStyle w:val="Style_1"/>
      <w:widowControl w:val="1"/>
      <w:ind w:left="720"/>
    </w:pPr>
  </w:p>
</w:ft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start w:val="1"/>
      <w:numFmt w:val="bullet"/>
      <w:suff w:val="tab"/>
      <w:lvlText w:val=""/>
      <w:lvlJc w:val="left"/>
      <w:pPr>
        <w:widowControl w:val="1"/>
        <w:ind w:hanging="360" w:left="720"/>
      </w:pPr>
      <w:rPr>
        <w:rFonts w:ascii="Symbol" w:hAnsi="Symbol"/>
      </w:rPr>
    </w:lvl>
    <w:lvl w:ilvl="1">
      <w:start w:val="1"/>
      <w:numFmt w:val="bullet"/>
      <w:suff w:val="tab"/>
      <w:lvlText w:val="o"/>
      <w:lvlJc w:val="left"/>
      <w:pPr>
        <w:widowControl w:val="1"/>
        <w:ind w:hanging="360" w:left="1440"/>
      </w:pPr>
      <w:rPr>
        <w:rFonts w:ascii="Courier New" w:hAnsi="Courier New"/>
      </w:rPr>
    </w:lvl>
    <w:lvl w:ilvl="2">
      <w:start w:val="1"/>
      <w:numFmt w:val="bullet"/>
      <w:suff w:val="tab"/>
      <w:lvlText w:val=""/>
      <w:lvlJc w:val="left"/>
      <w:pPr>
        <w:widowControl w:val="1"/>
        <w:ind w:hanging="360" w:left="2160"/>
      </w:pPr>
      <w:rPr>
        <w:rFonts w:ascii="Wingdings" w:hAnsi="Wingdings"/>
      </w:rPr>
    </w:lvl>
    <w:lvl w:ilvl="3">
      <w:start w:val="1"/>
      <w:numFmt w:val="bullet"/>
      <w:suff w:val="tab"/>
      <w:lvlText w:val=""/>
      <w:lvlJc w:val="left"/>
      <w:pPr>
        <w:widowControl w:val="1"/>
        <w:ind w:hanging="360" w:left="2880"/>
      </w:pPr>
      <w:rPr>
        <w:rFonts w:ascii="Symbol" w:hAnsi="Symbol"/>
      </w:rPr>
    </w:lvl>
    <w:lvl w:ilvl="4">
      <w:start w:val="1"/>
      <w:numFmt w:val="bullet"/>
      <w:suff w:val="tab"/>
      <w:lvlText w:val="o"/>
      <w:lvlJc w:val="left"/>
      <w:pPr>
        <w:widowControl w:val="1"/>
        <w:ind w:hanging="360" w:left="3600"/>
      </w:pPr>
      <w:rPr>
        <w:rFonts w:ascii="Courier New" w:hAnsi="Courier New"/>
      </w:rPr>
    </w:lvl>
    <w:lvl w:ilvl="5">
      <w:start w:val="1"/>
      <w:numFmt w:val="bullet"/>
      <w:suff w:val="tab"/>
      <w:lvlText w:val=""/>
      <w:lvlJc w:val="left"/>
      <w:pPr>
        <w:widowControl w:val="1"/>
        <w:ind w:hanging="360" w:left="4320"/>
      </w:pPr>
      <w:rPr>
        <w:rFonts w:ascii="Wingdings" w:hAnsi="Wingdings"/>
      </w:rPr>
    </w:lvl>
    <w:lvl w:ilvl="6">
      <w:start w:val="1"/>
      <w:numFmt w:val="bullet"/>
      <w:suff w:val="tab"/>
      <w:lvlText w:val=""/>
      <w:lvlJc w:val="left"/>
      <w:pPr>
        <w:widowControl w:val="1"/>
        <w:ind w:hanging="360" w:left="5040"/>
      </w:pPr>
      <w:rPr>
        <w:rFonts w:ascii="Symbol" w:hAnsi="Symbol"/>
      </w:rPr>
    </w:lvl>
    <w:lvl w:ilvl="7">
      <w:start w:val="1"/>
      <w:numFmt w:val="bullet"/>
      <w:suff w:val="tab"/>
      <w:lvlText w:val="o"/>
      <w:lvlJc w:val="left"/>
      <w:pPr>
        <w:widowControl w:val="1"/>
        <w:ind w:hanging="360" w:left="5760"/>
      </w:pPr>
      <w:rPr>
        <w:rFonts w:ascii="Courier New" w:hAnsi="Courier New"/>
      </w:rPr>
    </w:lvl>
    <w:lvl w:ilvl="8">
      <w:start w:val="1"/>
      <w:numFmt w:val="bullet"/>
      <w:suff w:val="tab"/>
      <w:lvlText w:val=""/>
      <w:lvlJc w:val="left"/>
      <w:pPr>
        <w:widowControl w:val="1"/>
        <w:ind w:hanging="360" w:left="6480"/>
      </w:pPr>
      <w:rPr>
        <w:rFonts w:ascii="Wingdings" w:hAnsi="Wingdings"/>
      </w:rPr>
    </w:lvl>
  </w:abstractNum>
  <w:abstractNum w:abstractNumId="1">
    <w:lvl w:ilvl="0">
      <w:start w:val="1"/>
      <w:numFmt w:val="bullet"/>
      <w:suff w:val="tab"/>
      <w:lvlText w:val=""/>
      <w:lvlJc w:val="left"/>
      <w:pPr>
        <w:widowControl w:val="1"/>
        <w:ind w:hanging="360" w:left="1440"/>
      </w:pPr>
      <w:rPr>
        <w:rFonts w:ascii="Symbol" w:hAnsi="Symbol"/>
      </w:rPr>
    </w:lvl>
    <w:lvl w:ilvl="1">
      <w:start w:val="1"/>
      <w:numFmt w:val="bullet"/>
      <w:suff w:val="tab"/>
      <w:lvlText w:val="o"/>
      <w:lvlJc w:val="left"/>
      <w:pPr>
        <w:widowControl w:val="1"/>
        <w:ind w:hanging="360" w:left="2160"/>
      </w:pPr>
      <w:rPr>
        <w:rFonts w:ascii="Courier New" w:hAnsi="Courier New"/>
      </w:rPr>
    </w:lvl>
    <w:lvl w:ilvl="2">
      <w:start w:val="1"/>
      <w:numFmt w:val="bullet"/>
      <w:suff w:val="tab"/>
      <w:lvlText w:val=""/>
      <w:lvlJc w:val="left"/>
      <w:pPr>
        <w:widowControl w:val="1"/>
        <w:ind w:hanging="360" w:left="2880"/>
      </w:pPr>
      <w:rPr>
        <w:rFonts w:ascii="Wingdings" w:hAnsi="Wingdings"/>
      </w:rPr>
    </w:lvl>
    <w:lvl w:ilvl="3">
      <w:start w:val="1"/>
      <w:numFmt w:val="bullet"/>
      <w:suff w:val="tab"/>
      <w:lvlText w:val=""/>
      <w:lvlJc w:val="left"/>
      <w:pPr>
        <w:widowControl w:val="1"/>
        <w:ind w:hanging="360" w:left="3600"/>
      </w:pPr>
      <w:rPr>
        <w:rFonts w:ascii="Symbol" w:hAnsi="Symbol"/>
      </w:rPr>
    </w:lvl>
    <w:lvl w:ilvl="4">
      <w:start w:val="1"/>
      <w:numFmt w:val="bullet"/>
      <w:suff w:val="tab"/>
      <w:lvlText w:val="o"/>
      <w:lvlJc w:val="left"/>
      <w:pPr>
        <w:widowControl w:val="1"/>
        <w:ind w:hanging="360" w:left="4320"/>
      </w:pPr>
      <w:rPr>
        <w:rFonts w:ascii="Courier New" w:hAnsi="Courier New"/>
      </w:rPr>
    </w:lvl>
    <w:lvl w:ilvl="5">
      <w:start w:val="1"/>
      <w:numFmt w:val="bullet"/>
      <w:suff w:val="tab"/>
      <w:lvlText w:val=""/>
      <w:lvlJc w:val="left"/>
      <w:pPr>
        <w:widowControl w:val="1"/>
        <w:ind w:hanging="360" w:left="5040"/>
      </w:pPr>
      <w:rPr>
        <w:rFonts w:ascii="Wingdings" w:hAnsi="Wingdings"/>
      </w:rPr>
    </w:lvl>
    <w:lvl w:ilvl="6">
      <w:start w:val="1"/>
      <w:numFmt w:val="bullet"/>
      <w:suff w:val="tab"/>
      <w:lvlText w:val=""/>
      <w:lvlJc w:val="left"/>
      <w:pPr>
        <w:widowControl w:val="1"/>
        <w:ind w:hanging="360" w:left="5760"/>
      </w:pPr>
      <w:rPr>
        <w:rFonts w:ascii="Symbol" w:hAnsi="Symbol"/>
      </w:rPr>
    </w:lvl>
    <w:lvl w:ilvl="7">
      <w:start w:val="1"/>
      <w:numFmt w:val="bullet"/>
      <w:suff w:val="tab"/>
      <w:lvlText w:val="o"/>
      <w:lvlJc w:val="left"/>
      <w:pPr>
        <w:widowControl w:val="1"/>
        <w:ind w:hanging="360" w:left="6480"/>
      </w:pPr>
      <w:rPr>
        <w:rFonts w:ascii="Courier New" w:hAnsi="Courier New"/>
      </w:rPr>
    </w:lvl>
    <w:lvl w:ilvl="8">
      <w:start w:val="1"/>
      <w:numFmt w:val="bullet"/>
      <w:suff w:val="tab"/>
      <w:lvlText w:val=""/>
      <w:lvlJc w:val="left"/>
      <w:pPr>
        <w:widowControl w:val="1"/>
        <w:ind w:hanging="360" w:left="7200"/>
      </w:pPr>
      <w:rPr>
        <w:rFonts w:ascii="Wingdings" w:hAnsi="Wingdings"/>
      </w:rPr>
    </w:lvl>
  </w:abstractNum>
  <w:abstractNum w:abstractNumId="2">
    <w:lvl w:ilvl="0">
      <w:start w:val="1"/>
      <w:numFmt w:val="bullet"/>
      <w:suff w:val="tab"/>
      <w:lvlText w:val=""/>
      <w:lvlJc w:val="left"/>
      <w:pPr>
        <w:widowControl w:val="1"/>
        <w:ind w:hanging="360" w:left="1440"/>
      </w:pPr>
      <w:rPr>
        <w:rFonts w:ascii="Symbol" w:hAnsi="Symbol"/>
      </w:rPr>
    </w:lvl>
    <w:lvl w:ilvl="1">
      <w:start w:val="1"/>
      <w:numFmt w:val="bullet"/>
      <w:suff w:val="tab"/>
      <w:lvlText w:val="o"/>
      <w:lvlJc w:val="left"/>
      <w:pPr>
        <w:widowControl w:val="1"/>
        <w:ind w:hanging="360" w:left="2160"/>
      </w:pPr>
      <w:rPr>
        <w:rFonts w:ascii="Courier New" w:hAnsi="Courier New"/>
      </w:rPr>
    </w:lvl>
    <w:lvl w:ilvl="2">
      <w:start w:val="1"/>
      <w:numFmt w:val="bullet"/>
      <w:suff w:val="tab"/>
      <w:lvlText w:val=""/>
      <w:lvlJc w:val="left"/>
      <w:pPr>
        <w:widowControl w:val="1"/>
        <w:ind w:hanging="360" w:left="2880"/>
      </w:pPr>
      <w:rPr>
        <w:rFonts w:ascii="Wingdings" w:hAnsi="Wingdings"/>
      </w:rPr>
    </w:lvl>
    <w:lvl w:ilvl="3">
      <w:start w:val="1"/>
      <w:numFmt w:val="bullet"/>
      <w:suff w:val="tab"/>
      <w:lvlText w:val=""/>
      <w:lvlJc w:val="left"/>
      <w:pPr>
        <w:widowControl w:val="1"/>
        <w:ind w:hanging="360" w:left="3600"/>
      </w:pPr>
      <w:rPr>
        <w:rFonts w:ascii="Symbol" w:hAnsi="Symbol"/>
      </w:rPr>
    </w:lvl>
    <w:lvl w:ilvl="4">
      <w:start w:val="1"/>
      <w:numFmt w:val="bullet"/>
      <w:suff w:val="tab"/>
      <w:lvlText w:val="o"/>
      <w:lvlJc w:val="left"/>
      <w:pPr>
        <w:widowControl w:val="1"/>
        <w:ind w:hanging="360" w:left="4320"/>
      </w:pPr>
      <w:rPr>
        <w:rFonts w:ascii="Courier New" w:hAnsi="Courier New"/>
      </w:rPr>
    </w:lvl>
    <w:lvl w:ilvl="5">
      <w:start w:val="1"/>
      <w:numFmt w:val="bullet"/>
      <w:suff w:val="tab"/>
      <w:lvlText w:val=""/>
      <w:lvlJc w:val="left"/>
      <w:pPr>
        <w:widowControl w:val="1"/>
        <w:ind w:hanging="360" w:left="5040"/>
      </w:pPr>
      <w:rPr>
        <w:rFonts w:ascii="Wingdings" w:hAnsi="Wingdings"/>
      </w:rPr>
    </w:lvl>
    <w:lvl w:ilvl="6">
      <w:start w:val="1"/>
      <w:numFmt w:val="bullet"/>
      <w:suff w:val="tab"/>
      <w:lvlText w:val=""/>
      <w:lvlJc w:val="left"/>
      <w:pPr>
        <w:widowControl w:val="1"/>
        <w:ind w:hanging="360" w:left="5760"/>
      </w:pPr>
      <w:rPr>
        <w:rFonts w:ascii="Symbol" w:hAnsi="Symbol"/>
      </w:rPr>
    </w:lvl>
    <w:lvl w:ilvl="7">
      <w:start w:val="1"/>
      <w:numFmt w:val="bullet"/>
      <w:suff w:val="tab"/>
      <w:lvlText w:val="o"/>
      <w:lvlJc w:val="left"/>
      <w:pPr>
        <w:widowControl w:val="1"/>
        <w:ind w:hanging="360" w:left="6480"/>
      </w:pPr>
      <w:rPr>
        <w:rFonts w:ascii="Courier New" w:hAnsi="Courier New"/>
      </w:rPr>
    </w:lvl>
    <w:lvl w:ilvl="8">
      <w:start w:val="1"/>
      <w:numFmt w:val="bullet"/>
      <w:suff w:val="tab"/>
      <w:lvlText w:val=""/>
      <w:lvlJc w:val="left"/>
      <w:pPr>
        <w:widowControl w:val="1"/>
        <w:ind w:hanging="360" w:left="7200"/>
      </w:pPr>
      <w:rPr>
        <w:rFonts w:ascii="Wingdings" w:hAnsi="Wingdings"/>
      </w:rPr>
    </w:lvl>
  </w:abstractNum>
  <w:abstractNum w:abstractNumId="3">
    <w:lvl w:ilvl="0">
      <w:start w:val="1"/>
      <w:numFmt w:val="bullet"/>
      <w:suff w:val="tab"/>
      <w:lvlText w:val=""/>
      <w:lvlJc w:val="left"/>
      <w:pPr>
        <w:widowControl w:val="1"/>
        <w:ind w:hanging="360" w:left="1440"/>
      </w:pPr>
      <w:rPr>
        <w:rFonts w:ascii="Symbol" w:hAnsi="Symbol"/>
      </w:rPr>
    </w:lvl>
    <w:lvl w:ilvl="1">
      <w:start w:val="1"/>
      <w:numFmt w:val="bullet"/>
      <w:suff w:val="tab"/>
      <w:lvlText w:val="o"/>
      <w:lvlJc w:val="left"/>
      <w:pPr>
        <w:widowControl w:val="1"/>
        <w:ind w:hanging="360" w:left="2160"/>
      </w:pPr>
      <w:rPr>
        <w:rFonts w:ascii="Courier New" w:hAnsi="Courier New"/>
      </w:rPr>
    </w:lvl>
    <w:lvl w:ilvl="2">
      <w:start w:val="1"/>
      <w:numFmt w:val="bullet"/>
      <w:suff w:val="tab"/>
      <w:lvlText w:val=""/>
      <w:lvlJc w:val="left"/>
      <w:pPr>
        <w:widowControl w:val="1"/>
        <w:ind w:hanging="360" w:left="2880"/>
      </w:pPr>
      <w:rPr>
        <w:rFonts w:ascii="Wingdings" w:hAnsi="Wingdings"/>
      </w:rPr>
    </w:lvl>
    <w:lvl w:ilvl="3">
      <w:start w:val="1"/>
      <w:numFmt w:val="bullet"/>
      <w:suff w:val="tab"/>
      <w:lvlText w:val=""/>
      <w:lvlJc w:val="left"/>
      <w:pPr>
        <w:widowControl w:val="1"/>
        <w:ind w:hanging="360" w:left="3600"/>
      </w:pPr>
      <w:rPr>
        <w:rFonts w:ascii="Symbol" w:hAnsi="Symbol"/>
      </w:rPr>
    </w:lvl>
    <w:lvl w:ilvl="4">
      <w:start w:val="1"/>
      <w:numFmt w:val="bullet"/>
      <w:suff w:val="tab"/>
      <w:lvlText w:val="o"/>
      <w:lvlJc w:val="left"/>
      <w:pPr>
        <w:widowControl w:val="1"/>
        <w:ind w:hanging="360" w:left="4320"/>
      </w:pPr>
      <w:rPr>
        <w:rFonts w:ascii="Courier New" w:hAnsi="Courier New"/>
      </w:rPr>
    </w:lvl>
    <w:lvl w:ilvl="5">
      <w:start w:val="1"/>
      <w:numFmt w:val="bullet"/>
      <w:suff w:val="tab"/>
      <w:lvlText w:val=""/>
      <w:lvlJc w:val="left"/>
      <w:pPr>
        <w:widowControl w:val="1"/>
        <w:ind w:hanging="360" w:left="5040"/>
      </w:pPr>
      <w:rPr>
        <w:rFonts w:ascii="Wingdings" w:hAnsi="Wingdings"/>
      </w:rPr>
    </w:lvl>
    <w:lvl w:ilvl="6">
      <w:start w:val="1"/>
      <w:numFmt w:val="bullet"/>
      <w:suff w:val="tab"/>
      <w:lvlText w:val=""/>
      <w:lvlJc w:val="left"/>
      <w:pPr>
        <w:widowControl w:val="1"/>
        <w:ind w:hanging="360" w:left="5760"/>
      </w:pPr>
      <w:rPr>
        <w:rFonts w:ascii="Symbol" w:hAnsi="Symbol"/>
      </w:rPr>
    </w:lvl>
    <w:lvl w:ilvl="7">
      <w:start w:val="1"/>
      <w:numFmt w:val="bullet"/>
      <w:suff w:val="tab"/>
      <w:lvlText w:val="o"/>
      <w:lvlJc w:val="left"/>
      <w:pPr>
        <w:widowControl w:val="1"/>
        <w:ind w:hanging="360" w:left="6480"/>
      </w:pPr>
      <w:rPr>
        <w:rFonts w:ascii="Courier New" w:hAnsi="Courier New"/>
      </w:rPr>
    </w:lvl>
    <w:lvl w:ilvl="8">
      <w:start w:val="1"/>
      <w:numFmt w:val="bullet"/>
      <w:suff w:val="tab"/>
      <w:lvlText w:val=""/>
      <w:lvlJc w:val="left"/>
      <w:pPr>
        <w:widowControl w:val="1"/>
        <w:ind w:hanging="360" w:left="7200"/>
      </w:pPr>
      <w:rPr>
        <w:rFonts w:ascii="Wingdings" w:hAnsi="Wingdings"/>
      </w:rPr>
    </w:lvl>
  </w:abstractNum>
  <w:abstractNum w:abstractNumId="4">
    <w:lvl w:ilvl="0">
      <w:start w:val="1"/>
      <w:numFmt w:val="decimal"/>
      <w:suff w:val="tab"/>
      <w:lvlText w:val="%1."/>
      <w:lvlJc w:val="left"/>
      <w:pPr>
        <w:widowControl w:val="0"/>
        <w:ind w:hanging="360" w:left="360"/>
      </w:pPr>
      <w:rPr>
        <w:b w:val="1"/>
        <w:i w:val="1"/>
      </w:rPr>
    </w:lvl>
    <w:lvl w:ilvl="1">
      <w:start w:val="1"/>
      <w:numFmt w:val="decimal"/>
      <w:suff w:val="tab"/>
      <w:lvlText w:val="2.%2."/>
      <w:lvlJc w:val="left"/>
      <w:pPr>
        <w:widowControl w:val="0"/>
        <w:ind w:hanging="360" w:left="786"/>
      </w:pPr>
      <w:rPr>
        <w:b w:val="1"/>
        <w:i w:val="0"/>
      </w:rPr>
    </w:lvl>
    <w:lvl w:ilvl="2">
      <w:start w:val="1"/>
      <w:numFmt w:val="decimal"/>
      <w:suff w:val="tab"/>
      <w:lvlText w:val="%1.%2.%3."/>
      <w:lvlJc w:val="left"/>
      <w:pPr>
        <w:widowControl w:val="0"/>
        <w:ind w:hanging="720" w:left="1520"/>
      </w:pPr>
      <w:rPr>
        <w:b w:val="1"/>
        <w:i w:val="1"/>
      </w:rPr>
    </w:lvl>
    <w:lvl w:ilvl="3">
      <w:start w:val="1"/>
      <w:numFmt w:val="decimal"/>
      <w:suff w:val="tab"/>
      <w:lvlText w:val="%1.%2.%3.%4."/>
      <w:lvlJc w:val="left"/>
      <w:pPr>
        <w:widowControl w:val="0"/>
        <w:ind w:hanging="720" w:left="1920"/>
      </w:pPr>
      <w:rPr>
        <w:b w:val="1"/>
        <w:i w:val="1"/>
      </w:rPr>
    </w:lvl>
    <w:lvl w:ilvl="4">
      <w:start w:val="1"/>
      <w:numFmt w:val="decimal"/>
      <w:suff w:val="tab"/>
      <w:lvlText w:val="%1.%2.%3.%4.%5."/>
      <w:lvlJc w:val="left"/>
      <w:pPr>
        <w:widowControl w:val="0"/>
        <w:ind w:hanging="1080" w:left="2680"/>
      </w:pPr>
      <w:rPr>
        <w:b w:val="1"/>
        <w:i w:val="1"/>
      </w:rPr>
    </w:lvl>
    <w:lvl w:ilvl="5">
      <w:start w:val="1"/>
      <w:numFmt w:val="decimal"/>
      <w:suff w:val="tab"/>
      <w:lvlText w:val="%1.%2.%3.%4.%5.%6."/>
      <w:lvlJc w:val="left"/>
      <w:pPr>
        <w:widowControl w:val="0"/>
        <w:ind w:hanging="1080" w:left="3080"/>
      </w:pPr>
      <w:rPr>
        <w:b w:val="1"/>
        <w:i w:val="1"/>
      </w:rPr>
    </w:lvl>
    <w:lvl w:ilvl="6">
      <w:start w:val="1"/>
      <w:numFmt w:val="decimal"/>
      <w:suff w:val="tab"/>
      <w:lvlText w:val="%1.%2.%3.%4.%5.%6.%7."/>
      <w:lvlJc w:val="left"/>
      <w:pPr>
        <w:widowControl w:val="0"/>
        <w:ind w:hanging="1080" w:left="3480"/>
      </w:pPr>
      <w:rPr>
        <w:b w:val="1"/>
        <w:i w:val="1"/>
      </w:rPr>
    </w:lvl>
    <w:lvl w:ilvl="7">
      <w:start w:val="1"/>
      <w:numFmt w:val="decimal"/>
      <w:suff w:val="tab"/>
      <w:lvlText w:val="%1.%2.%3.%4.%5.%6.%7.%8."/>
      <w:lvlJc w:val="left"/>
      <w:pPr>
        <w:widowControl w:val="0"/>
        <w:ind w:hanging="1440" w:left="4240"/>
      </w:pPr>
      <w:rPr>
        <w:b w:val="1"/>
        <w:i w:val="1"/>
      </w:rPr>
    </w:lvl>
    <w:lvl w:ilvl="8">
      <w:start w:val="1"/>
      <w:numFmt w:val="decimal"/>
      <w:suff w:val="tab"/>
      <w:lvlText w:val="%1.%2.%3.%4.%5.%6.%7.%8.%9."/>
      <w:lvlJc w:val="left"/>
      <w:pPr>
        <w:widowControl w:val="0"/>
        <w:ind w:hanging="1440" w:left="4640"/>
      </w:pPr>
      <w:rPr>
        <w:b w:val="1"/>
        <w:i w:val="1"/>
      </w:rPr>
    </w:lvl>
  </w:abstractNum>
  <w:abstractNum w:abstractNumId="5">
    <w:lvl w:ilvl="0">
      <w:start w:val="1"/>
      <w:numFmt w:val="decimal"/>
      <w:suff w:val="tab"/>
      <w:lvlText w:val="%1."/>
      <w:lvlJc w:val="left"/>
      <w:pPr>
        <w:widowControl w:val="0"/>
        <w:ind w:hanging="360" w:left="644"/>
      </w:pPr>
    </w:lvl>
    <w:lvl w:ilvl="1">
      <w:start w:val="1"/>
      <w:numFmt w:val="lowerLetter"/>
      <w:suff w:val="tab"/>
      <w:lvlText w:val="%2."/>
      <w:lvlJc w:val="left"/>
      <w:pPr>
        <w:widowControl w:val="0"/>
        <w:ind w:hanging="360" w:left="1364"/>
      </w:pPr>
    </w:lvl>
    <w:lvl w:ilvl="2">
      <w:start w:val="1"/>
      <w:numFmt w:val="lowerRoman"/>
      <w:suff w:val="tab"/>
      <w:lvlText w:val="%3."/>
      <w:lvlJc w:val="right"/>
      <w:pPr>
        <w:widowControl w:val="0"/>
        <w:ind w:hanging="180" w:left="2084"/>
      </w:pPr>
    </w:lvl>
    <w:lvl w:ilvl="3">
      <w:start w:val="1"/>
      <w:numFmt w:val="decimal"/>
      <w:suff w:val="tab"/>
      <w:lvlText w:val="%4."/>
      <w:lvlJc w:val="left"/>
      <w:pPr>
        <w:widowControl w:val="0"/>
        <w:ind w:hanging="360" w:left="2804"/>
      </w:pPr>
    </w:lvl>
    <w:lvl w:ilvl="4">
      <w:start w:val="1"/>
      <w:numFmt w:val="lowerLetter"/>
      <w:suff w:val="tab"/>
      <w:lvlText w:val="%5."/>
      <w:lvlJc w:val="left"/>
      <w:pPr>
        <w:widowControl w:val="0"/>
        <w:ind w:hanging="360" w:left="3524"/>
      </w:pPr>
    </w:lvl>
    <w:lvl w:ilvl="5">
      <w:start w:val="1"/>
      <w:numFmt w:val="lowerRoman"/>
      <w:suff w:val="tab"/>
      <w:lvlText w:val="%6."/>
      <w:lvlJc w:val="right"/>
      <w:pPr>
        <w:widowControl w:val="0"/>
        <w:ind w:hanging="180" w:left="4244"/>
      </w:pPr>
    </w:lvl>
    <w:lvl w:ilvl="6">
      <w:start w:val="1"/>
      <w:numFmt w:val="decimal"/>
      <w:suff w:val="tab"/>
      <w:lvlText w:val="%7."/>
      <w:lvlJc w:val="left"/>
      <w:pPr>
        <w:widowControl w:val="0"/>
        <w:ind w:hanging="360" w:left="4964"/>
      </w:pPr>
    </w:lvl>
    <w:lvl w:ilvl="7">
      <w:start w:val="1"/>
      <w:numFmt w:val="lowerLetter"/>
      <w:suff w:val="tab"/>
      <w:lvlText w:val="%8."/>
      <w:lvlJc w:val="left"/>
      <w:pPr>
        <w:widowControl w:val="0"/>
        <w:ind w:hanging="360" w:left="5684"/>
      </w:pPr>
    </w:lvl>
    <w:lvl w:ilvl="8">
      <w:start w:val="1"/>
      <w:numFmt w:val="lowerRoman"/>
      <w:suff w:val="tab"/>
      <w:lvlText w:val="%9."/>
      <w:lvlJc w:val="right"/>
      <w:pPr>
        <w:widowControl w:val="0"/>
        <w:ind w:hanging="180" w:left="6404"/>
      </w:pPr>
    </w:lvl>
  </w:abstractNum>
  <w:abstractNum w:abstractNumId="6">
    <w:lvl w:ilvl="0">
      <w:start w:val="1"/>
      <w:numFmt w:val="decimal"/>
      <w:suff w:val="tab"/>
      <w:lvlText w:val="%1."/>
      <w:lvlJc w:val="left"/>
      <w:pPr>
        <w:widowControl w:val="1"/>
        <w:ind w:hanging="708" w:left="1417"/>
      </w:pPr>
    </w:lvl>
    <w:lvl w:ilvl="1">
      <w:start w:val="1"/>
      <w:numFmt w:val="lowerLetter"/>
      <w:suff w:val="tab"/>
      <w:lvlText w:val="%2."/>
      <w:lvlJc w:val="left"/>
      <w:pPr>
        <w:widowControl w:val="1"/>
        <w:ind w:hanging="360" w:left="1789"/>
      </w:pPr>
    </w:lvl>
    <w:lvl w:ilvl="2">
      <w:start w:val="1"/>
      <w:numFmt w:val="lowerRoman"/>
      <w:suff w:val="tab"/>
      <w:lvlText w:val="%3."/>
      <w:lvlJc w:val="right"/>
      <w:pPr>
        <w:widowControl w:val="1"/>
        <w:ind w:hanging="180" w:left="2509"/>
      </w:pPr>
    </w:lvl>
    <w:lvl w:ilvl="3">
      <w:start w:val="1"/>
      <w:numFmt w:val="decimal"/>
      <w:suff w:val="tab"/>
      <w:lvlText w:val="%4."/>
      <w:lvlJc w:val="left"/>
      <w:pPr>
        <w:widowControl w:val="1"/>
        <w:ind w:hanging="360" w:left="3229"/>
      </w:pPr>
    </w:lvl>
    <w:lvl w:ilvl="4">
      <w:start w:val="1"/>
      <w:numFmt w:val="lowerLetter"/>
      <w:suff w:val="tab"/>
      <w:lvlText w:val="%5."/>
      <w:lvlJc w:val="left"/>
      <w:pPr>
        <w:widowControl w:val="1"/>
        <w:ind w:hanging="360" w:left="3949"/>
      </w:pPr>
    </w:lvl>
    <w:lvl w:ilvl="5">
      <w:start w:val="1"/>
      <w:numFmt w:val="lowerRoman"/>
      <w:suff w:val="tab"/>
      <w:lvlText w:val="%6."/>
      <w:lvlJc w:val="right"/>
      <w:pPr>
        <w:widowControl w:val="1"/>
        <w:ind w:hanging="180" w:left="4669"/>
      </w:pPr>
    </w:lvl>
    <w:lvl w:ilvl="6">
      <w:start w:val="1"/>
      <w:numFmt w:val="decimal"/>
      <w:suff w:val="tab"/>
      <w:lvlText w:val="%7."/>
      <w:lvlJc w:val="left"/>
      <w:pPr>
        <w:widowControl w:val="1"/>
        <w:ind w:hanging="360" w:left="5389"/>
      </w:pPr>
    </w:lvl>
    <w:lvl w:ilvl="7">
      <w:start w:val="1"/>
      <w:numFmt w:val="lowerLetter"/>
      <w:suff w:val="tab"/>
      <w:lvlText w:val="%8."/>
      <w:lvlJc w:val="left"/>
      <w:pPr>
        <w:widowControl w:val="1"/>
        <w:ind w:hanging="360" w:left="6109"/>
      </w:pPr>
    </w:lvl>
    <w:lvl w:ilvl="8">
      <w:start w:val="1"/>
      <w:numFmt w:val="lowerRoman"/>
      <w:suff w:val="tab"/>
      <w:lvlText w:val="%9."/>
      <w:lvlJc w:val="right"/>
      <w:pPr>
        <w:widowControl w:val="1"/>
        <w:ind w:hanging="180" w:left="6829"/>
      </w:pPr>
    </w:lvl>
  </w:abstractNum>
  <w:abstractNum w:abstractNumId="7">
    <w:lvl w:ilvl="0">
      <w:start w:val="1"/>
      <w:numFmt w:val="decimal"/>
      <w:suff w:val="tab"/>
      <w:lvlText w:val="%1."/>
      <w:lvlJc w:val="left"/>
      <w:pPr>
        <w:widowControl w:val="0"/>
        <w:ind w:hanging="360" w:left="1004"/>
      </w:pPr>
    </w:lvl>
    <w:lvl w:ilvl="1">
      <w:start w:val="1"/>
      <w:numFmt w:val="lowerLetter"/>
      <w:suff w:val="tab"/>
      <w:lvlText w:val="%2."/>
      <w:lvlJc w:val="left"/>
      <w:pPr>
        <w:widowControl w:val="0"/>
        <w:ind w:hanging="360" w:left="1724"/>
      </w:pPr>
    </w:lvl>
    <w:lvl w:ilvl="2">
      <w:start w:val="1"/>
      <w:numFmt w:val="lowerRoman"/>
      <w:suff w:val="tab"/>
      <w:lvlText w:val="%3."/>
      <w:lvlJc w:val="right"/>
      <w:pPr>
        <w:widowControl w:val="0"/>
        <w:ind w:hanging="180" w:left="2444"/>
      </w:pPr>
    </w:lvl>
    <w:lvl w:ilvl="3">
      <w:start w:val="1"/>
      <w:numFmt w:val="decimal"/>
      <w:suff w:val="tab"/>
      <w:lvlText w:val="%4."/>
      <w:lvlJc w:val="left"/>
      <w:pPr>
        <w:widowControl w:val="0"/>
        <w:ind w:hanging="360" w:left="3164"/>
      </w:pPr>
    </w:lvl>
    <w:lvl w:ilvl="4">
      <w:start w:val="1"/>
      <w:numFmt w:val="lowerLetter"/>
      <w:suff w:val="tab"/>
      <w:lvlText w:val="%5."/>
      <w:lvlJc w:val="left"/>
      <w:pPr>
        <w:widowControl w:val="0"/>
        <w:ind w:hanging="360" w:left="3884"/>
      </w:pPr>
    </w:lvl>
    <w:lvl w:ilvl="5">
      <w:start w:val="1"/>
      <w:numFmt w:val="lowerRoman"/>
      <w:suff w:val="tab"/>
      <w:lvlText w:val="%6."/>
      <w:lvlJc w:val="right"/>
      <w:pPr>
        <w:widowControl w:val="0"/>
        <w:ind w:hanging="180" w:left="4604"/>
      </w:pPr>
    </w:lvl>
    <w:lvl w:ilvl="6">
      <w:start w:val="1"/>
      <w:numFmt w:val="decimal"/>
      <w:suff w:val="tab"/>
      <w:lvlText w:val="%7."/>
      <w:lvlJc w:val="left"/>
      <w:pPr>
        <w:widowControl w:val="0"/>
        <w:ind w:hanging="360" w:left="5324"/>
      </w:pPr>
    </w:lvl>
    <w:lvl w:ilvl="7">
      <w:start w:val="1"/>
      <w:numFmt w:val="lowerLetter"/>
      <w:suff w:val="tab"/>
      <w:lvlText w:val="%8."/>
      <w:lvlJc w:val="left"/>
      <w:pPr>
        <w:widowControl w:val="0"/>
        <w:ind w:hanging="360" w:left="6044"/>
      </w:pPr>
    </w:lvl>
    <w:lvl w:ilvl="8">
      <w:start w:val="1"/>
      <w:numFmt w:val="lowerRoman"/>
      <w:suff w:val="tab"/>
      <w:lvlText w:val="%9."/>
      <w:lvlJc w:val="right"/>
      <w:pPr>
        <w:widowControl w:val="0"/>
        <w:ind w:hanging="180" w:left="6764"/>
      </w:pPr>
    </w:lvl>
  </w:abstractNum>
  <w:abstractNum w:abstractNumId="8">
    <w:lvl w:ilvl="0">
      <w:start w:val="1"/>
      <w:numFmt w:val="decimal"/>
      <w:suff w:val="tab"/>
      <w:lvlText w:val="%1."/>
      <w:lvlJc w:val="left"/>
      <w:pPr>
        <w:widowControl w:val="1"/>
        <w:ind w:hanging="360" w:left="720"/>
      </w:pPr>
    </w:lvl>
    <w:lvl w:ilvl="1">
      <w:start w:val="1"/>
      <w:numFmt w:val="lowerLetter"/>
      <w:suff w:val="tab"/>
      <w:lvlText w:val="%2."/>
      <w:lvlJc w:val="left"/>
      <w:pPr>
        <w:widowControl w:val="1"/>
        <w:ind w:hanging="360" w:left="1440"/>
      </w:pPr>
    </w:lvl>
    <w:lvl w:ilvl="2">
      <w:start w:val="1"/>
      <w:numFmt w:val="lowerRoman"/>
      <w:suff w:val="tab"/>
      <w:lvlText w:val="%3."/>
      <w:lvlJc w:val="right"/>
      <w:pPr>
        <w:widowControl w:val="1"/>
        <w:ind w:hanging="180" w:left="2160"/>
      </w:pPr>
    </w:lvl>
    <w:lvl w:ilvl="3">
      <w:start w:val="1"/>
      <w:numFmt w:val="decimal"/>
      <w:suff w:val="tab"/>
      <w:lvlText w:val="%4."/>
      <w:lvlJc w:val="left"/>
      <w:pPr>
        <w:widowControl w:val="1"/>
        <w:ind w:hanging="360" w:left="2880"/>
      </w:pPr>
    </w:lvl>
    <w:lvl w:ilvl="4">
      <w:start w:val="1"/>
      <w:numFmt w:val="lowerLetter"/>
      <w:suff w:val="tab"/>
      <w:lvlText w:val="%5."/>
      <w:lvlJc w:val="left"/>
      <w:pPr>
        <w:widowControl w:val="1"/>
        <w:ind w:hanging="360" w:left="3600"/>
      </w:pPr>
    </w:lvl>
    <w:lvl w:ilvl="5">
      <w:start w:val="1"/>
      <w:numFmt w:val="lowerRoman"/>
      <w:suff w:val="tab"/>
      <w:lvlText w:val="%6."/>
      <w:lvlJc w:val="right"/>
      <w:pPr>
        <w:widowControl w:val="1"/>
        <w:ind w:hanging="180" w:left="4320"/>
      </w:pPr>
    </w:lvl>
    <w:lvl w:ilvl="6">
      <w:start w:val="1"/>
      <w:numFmt w:val="decimal"/>
      <w:suff w:val="tab"/>
      <w:lvlText w:val="%7."/>
      <w:lvlJc w:val="left"/>
      <w:pPr>
        <w:widowControl w:val="1"/>
        <w:ind w:hanging="360" w:left="5040"/>
      </w:pPr>
    </w:lvl>
    <w:lvl w:ilvl="7">
      <w:start w:val="1"/>
      <w:numFmt w:val="lowerLetter"/>
      <w:suff w:val="tab"/>
      <w:lvlText w:val="%8."/>
      <w:lvlJc w:val="left"/>
      <w:pPr>
        <w:widowControl w:val="1"/>
        <w:ind w:hanging="360" w:left="5760"/>
      </w:pPr>
    </w:lvl>
    <w:lvl w:ilvl="8">
      <w:start w:val="1"/>
      <w:numFmt w:val="lowerRoman"/>
      <w:suff w:val="tab"/>
      <w:lvlText w:val="%9."/>
      <w:lvlJc w:val="right"/>
      <w:pPr>
        <w:widowControl w:val="1"/>
        <w:ind w:hanging="180" w:left="6480"/>
      </w:pPr>
    </w:lvl>
  </w:abstractNum>
  <w:abstractNum w:abstractNumId="9">
    <w:lvl w:ilvl="0">
      <w:start w:val="4"/>
      <w:numFmt w:val="decimal"/>
      <w:suff w:val="tab"/>
      <w:lvlText w:val="%1."/>
      <w:lvlJc w:val="left"/>
      <w:pPr>
        <w:widowControl w:val="0"/>
        <w:ind w:hanging="360" w:left="360"/>
      </w:pPr>
      <w:rPr>
        <w:b w:val="1"/>
        <w:i w:val="1"/>
      </w:rPr>
    </w:lvl>
    <w:lvl w:ilvl="1">
      <w:start w:val="1"/>
      <w:numFmt w:val="decimal"/>
      <w:suff w:val="tab"/>
      <w:lvlText w:val="3.%2."/>
      <w:lvlJc w:val="left"/>
      <w:pPr>
        <w:widowControl w:val="0"/>
        <w:ind w:hanging="360" w:left="786"/>
      </w:pPr>
      <w:rPr>
        <w:b w:val="1"/>
        <w:i w:val="0"/>
      </w:rPr>
    </w:lvl>
    <w:lvl w:ilvl="2">
      <w:start w:val="1"/>
      <w:numFmt w:val="decimal"/>
      <w:suff w:val="tab"/>
      <w:lvlText w:val="%1.%2.%3."/>
      <w:lvlJc w:val="left"/>
      <w:pPr>
        <w:widowControl w:val="0"/>
        <w:ind w:hanging="720" w:left="1520"/>
      </w:pPr>
      <w:rPr>
        <w:b w:val="1"/>
        <w:i w:val="1"/>
      </w:rPr>
    </w:lvl>
    <w:lvl w:ilvl="3">
      <w:start w:val="1"/>
      <w:numFmt w:val="decimal"/>
      <w:suff w:val="tab"/>
      <w:lvlText w:val="%1.%2.%3.%4."/>
      <w:lvlJc w:val="left"/>
      <w:pPr>
        <w:widowControl w:val="0"/>
        <w:ind w:hanging="720" w:left="1920"/>
      </w:pPr>
      <w:rPr>
        <w:b w:val="1"/>
        <w:i w:val="1"/>
      </w:rPr>
    </w:lvl>
    <w:lvl w:ilvl="4">
      <w:start w:val="1"/>
      <w:numFmt w:val="decimal"/>
      <w:suff w:val="tab"/>
      <w:lvlText w:val="%1.%2.%3.%4.%5."/>
      <w:lvlJc w:val="left"/>
      <w:pPr>
        <w:widowControl w:val="0"/>
        <w:ind w:hanging="1080" w:left="2680"/>
      </w:pPr>
      <w:rPr>
        <w:b w:val="1"/>
        <w:i w:val="1"/>
      </w:rPr>
    </w:lvl>
    <w:lvl w:ilvl="5">
      <w:start w:val="1"/>
      <w:numFmt w:val="decimal"/>
      <w:suff w:val="tab"/>
      <w:lvlText w:val="%1.%2.%3.%4.%5.%6."/>
      <w:lvlJc w:val="left"/>
      <w:pPr>
        <w:widowControl w:val="0"/>
        <w:ind w:hanging="1080" w:left="3080"/>
      </w:pPr>
      <w:rPr>
        <w:b w:val="1"/>
        <w:i w:val="1"/>
      </w:rPr>
    </w:lvl>
    <w:lvl w:ilvl="6">
      <w:start w:val="1"/>
      <w:numFmt w:val="decimal"/>
      <w:suff w:val="tab"/>
      <w:lvlText w:val="%1.%2.%3.%4.%5.%6.%7."/>
      <w:lvlJc w:val="left"/>
      <w:pPr>
        <w:widowControl w:val="0"/>
        <w:ind w:hanging="1080" w:left="3480"/>
      </w:pPr>
      <w:rPr>
        <w:b w:val="1"/>
        <w:i w:val="1"/>
      </w:rPr>
    </w:lvl>
    <w:lvl w:ilvl="7">
      <w:start w:val="1"/>
      <w:numFmt w:val="decimal"/>
      <w:suff w:val="tab"/>
      <w:lvlText w:val="%1.%2.%3.%4.%5.%6.%7.%8."/>
      <w:lvlJc w:val="left"/>
      <w:pPr>
        <w:widowControl w:val="0"/>
        <w:ind w:hanging="1440" w:left="4240"/>
      </w:pPr>
      <w:rPr>
        <w:b w:val="1"/>
        <w:i w:val="1"/>
      </w:rPr>
    </w:lvl>
    <w:lvl w:ilvl="8">
      <w:start w:val="1"/>
      <w:numFmt w:val="decimal"/>
      <w:suff w:val="tab"/>
      <w:lvlText w:val="%1.%2.%3.%4.%5.%6.%7.%8.%9."/>
      <w:lvlJc w:val="left"/>
      <w:pPr>
        <w:widowControl w:val="0"/>
        <w:ind w:hanging="1440" w:left="4640"/>
      </w:pPr>
      <w:rPr>
        <w:b w:val="1"/>
        <w:i w:val="1"/>
      </w:rPr>
    </w:lvl>
  </w:abstractNum>
  <w:abstractNum w:abstractNumId="10">
    <w:lvl w:ilvl="0">
      <w:start w:val="1"/>
      <w:numFmt w:val="decimal"/>
      <w:suff w:val="tab"/>
      <w:lvlText w:val="%1)"/>
      <w:lvlJc w:val="left"/>
      <w:pPr>
        <w:widowControl w:val="0"/>
        <w:ind w:hanging="360" w:left="560"/>
      </w:pPr>
      <w:rPr>
        <w:b w:val="0"/>
      </w:rPr>
    </w:lvl>
    <w:lvl w:ilvl="1">
      <w:start w:val="1"/>
      <w:numFmt w:val="lowerLetter"/>
      <w:suff w:val="tab"/>
      <w:lvlText w:val="%2."/>
      <w:lvlJc w:val="left"/>
      <w:pPr>
        <w:widowControl w:val="0"/>
        <w:ind w:hanging="360" w:left="1440"/>
      </w:pPr>
    </w:lvl>
    <w:lvl w:ilvl="2">
      <w:start w:val="1"/>
      <w:numFmt w:val="lowerRoman"/>
      <w:suff w:val="tab"/>
      <w:lvlText w:val="%3."/>
      <w:lvlJc w:val="right"/>
      <w:pPr>
        <w:widowControl w:val="0"/>
        <w:ind w:hanging="180" w:left="2160"/>
      </w:pPr>
    </w:lvl>
    <w:lvl w:ilvl="3">
      <w:start w:val="1"/>
      <w:numFmt w:val="decimal"/>
      <w:suff w:val="tab"/>
      <w:lvlText w:val="%4."/>
      <w:lvlJc w:val="left"/>
      <w:pPr>
        <w:widowControl w:val="0"/>
        <w:ind w:hanging="360" w:left="2880"/>
      </w:pPr>
    </w:lvl>
    <w:lvl w:ilvl="4">
      <w:start w:val="1"/>
      <w:numFmt w:val="lowerLetter"/>
      <w:suff w:val="tab"/>
      <w:lvlText w:val="%5."/>
      <w:lvlJc w:val="left"/>
      <w:pPr>
        <w:widowControl w:val="0"/>
        <w:ind w:hanging="360" w:left="3600"/>
      </w:pPr>
    </w:lvl>
    <w:lvl w:ilvl="5">
      <w:start w:val="1"/>
      <w:numFmt w:val="lowerRoman"/>
      <w:suff w:val="tab"/>
      <w:lvlText w:val="%6."/>
      <w:lvlJc w:val="right"/>
      <w:pPr>
        <w:widowControl w:val="0"/>
        <w:ind w:hanging="180" w:left="4320"/>
      </w:pPr>
    </w:lvl>
    <w:lvl w:ilvl="6">
      <w:start w:val="1"/>
      <w:numFmt w:val="decimal"/>
      <w:suff w:val="tab"/>
      <w:lvlText w:val="%7."/>
      <w:lvlJc w:val="left"/>
      <w:pPr>
        <w:widowControl w:val="0"/>
        <w:ind w:hanging="360" w:left="5040"/>
      </w:pPr>
    </w:lvl>
    <w:lvl w:ilvl="7">
      <w:start w:val="1"/>
      <w:numFmt w:val="lowerLetter"/>
      <w:suff w:val="tab"/>
      <w:lvlText w:val="%8."/>
      <w:lvlJc w:val="left"/>
      <w:pPr>
        <w:widowControl w:val="0"/>
        <w:ind w:hanging="360" w:left="5760"/>
      </w:pPr>
    </w:lvl>
    <w:lvl w:ilvl="8">
      <w:start w:val="1"/>
      <w:numFmt w:val="lowerRoman"/>
      <w:suff w:val="tab"/>
      <w:lvlText w:val="%9."/>
      <w:lvlJc w:val="right"/>
      <w:pPr>
        <w:widowControl w:val="0"/>
        <w:ind w:hanging="180" w:left="6480"/>
      </w:pPr>
    </w:lvl>
  </w:abstractNum>
  <w:abstractNum w:abstractNumId="11">
    <w:lvl w:ilvl="0">
      <w:start w:val="4"/>
      <w:numFmt w:val="decimal"/>
      <w:suff w:val="tab"/>
      <w:lvlText w:val="%1."/>
      <w:lvlJc w:val="left"/>
      <w:pPr>
        <w:widowControl w:val="0"/>
        <w:ind w:hanging="360" w:left="360"/>
      </w:pPr>
      <w:rPr>
        <w:b w:val="1"/>
        <w:i w:val="1"/>
      </w:rPr>
    </w:lvl>
    <w:lvl w:ilvl="1">
      <w:start w:val="1"/>
      <w:numFmt w:val="decimal"/>
      <w:suff w:val="tab"/>
      <w:lvlText w:val="%1.%2."/>
      <w:lvlJc w:val="left"/>
      <w:pPr>
        <w:widowControl w:val="0"/>
        <w:ind w:hanging="360" w:left="644"/>
      </w:pPr>
      <w:rPr>
        <w:b w:val="1"/>
        <w:i w:val="0"/>
      </w:rPr>
    </w:lvl>
    <w:lvl w:ilvl="2">
      <w:start w:val="1"/>
      <w:numFmt w:val="decimal"/>
      <w:suff w:val="tab"/>
      <w:lvlText w:val="%1.%2.%3."/>
      <w:lvlJc w:val="left"/>
      <w:pPr>
        <w:widowControl w:val="0"/>
        <w:ind w:hanging="720" w:left="1520"/>
      </w:pPr>
      <w:rPr>
        <w:b w:val="1"/>
        <w:i w:val="1"/>
      </w:rPr>
    </w:lvl>
    <w:lvl w:ilvl="3">
      <w:start w:val="1"/>
      <w:numFmt w:val="decimal"/>
      <w:suff w:val="tab"/>
      <w:lvlText w:val="%1.%2.%3.%4."/>
      <w:lvlJc w:val="left"/>
      <w:pPr>
        <w:widowControl w:val="0"/>
        <w:ind w:hanging="720" w:left="1920"/>
      </w:pPr>
      <w:rPr>
        <w:b w:val="1"/>
        <w:i w:val="1"/>
      </w:rPr>
    </w:lvl>
    <w:lvl w:ilvl="4">
      <w:start w:val="1"/>
      <w:numFmt w:val="decimal"/>
      <w:suff w:val="tab"/>
      <w:lvlText w:val="%1.%2.%3.%4.%5."/>
      <w:lvlJc w:val="left"/>
      <w:pPr>
        <w:widowControl w:val="0"/>
        <w:ind w:hanging="1080" w:left="2680"/>
      </w:pPr>
      <w:rPr>
        <w:b w:val="1"/>
        <w:i w:val="1"/>
      </w:rPr>
    </w:lvl>
    <w:lvl w:ilvl="5">
      <w:start w:val="1"/>
      <w:numFmt w:val="decimal"/>
      <w:suff w:val="tab"/>
      <w:lvlText w:val="%1.%2.%3.%4.%5.%6."/>
      <w:lvlJc w:val="left"/>
      <w:pPr>
        <w:widowControl w:val="0"/>
        <w:ind w:hanging="1080" w:left="3080"/>
      </w:pPr>
      <w:rPr>
        <w:b w:val="1"/>
        <w:i w:val="1"/>
      </w:rPr>
    </w:lvl>
    <w:lvl w:ilvl="6">
      <w:start w:val="1"/>
      <w:numFmt w:val="decimal"/>
      <w:suff w:val="tab"/>
      <w:lvlText w:val="%1.%2.%3.%4.%5.%6.%7."/>
      <w:lvlJc w:val="left"/>
      <w:pPr>
        <w:widowControl w:val="0"/>
        <w:ind w:hanging="1080" w:left="3480"/>
      </w:pPr>
      <w:rPr>
        <w:b w:val="1"/>
        <w:i w:val="1"/>
      </w:rPr>
    </w:lvl>
    <w:lvl w:ilvl="7">
      <w:start w:val="1"/>
      <w:numFmt w:val="decimal"/>
      <w:suff w:val="tab"/>
      <w:lvlText w:val="%1.%2.%3.%4.%5.%6.%7.%8."/>
      <w:lvlJc w:val="left"/>
      <w:pPr>
        <w:widowControl w:val="0"/>
        <w:ind w:hanging="1440" w:left="4240"/>
      </w:pPr>
      <w:rPr>
        <w:b w:val="1"/>
        <w:i w:val="1"/>
      </w:rPr>
    </w:lvl>
    <w:lvl w:ilvl="8">
      <w:start w:val="1"/>
      <w:numFmt w:val="decimal"/>
      <w:suff w:val="tab"/>
      <w:lvlText w:val="%1.%2.%3.%4.%5.%6.%7.%8.%9."/>
      <w:lvlJc w:val="left"/>
      <w:pPr>
        <w:widowControl w:val="0"/>
        <w:ind w:hanging="1440" w:left="4640"/>
      </w:pPr>
      <w:rPr>
        <w:b w:val="1"/>
        <w:i w:val="1"/>
      </w:rPr>
    </w:lvl>
  </w:abstractNum>
  <w:abstractNum w:abstractNumId="12">
    <w:lvl w:ilvl="0">
      <w:start w:val="4"/>
      <w:numFmt w:val="decimal"/>
      <w:suff w:val="tab"/>
      <w:lvlText w:val="%1."/>
      <w:lvlJc w:val="left"/>
      <w:pPr>
        <w:widowControl w:val="0"/>
        <w:ind w:hanging="360" w:left="360"/>
      </w:pPr>
      <w:rPr>
        <w:b w:val="1"/>
        <w:i w:val="1"/>
      </w:rPr>
    </w:lvl>
    <w:lvl w:ilvl="1">
      <w:start w:val="5"/>
      <w:numFmt w:val="decimal"/>
      <w:suff w:val="tab"/>
      <w:lvlText w:val="%1.%2."/>
      <w:lvlJc w:val="left"/>
      <w:pPr>
        <w:widowControl w:val="0"/>
        <w:ind w:hanging="360" w:left="760"/>
      </w:pPr>
      <w:rPr>
        <w:b w:val="1"/>
        <w:i w:val="1"/>
      </w:rPr>
    </w:lvl>
    <w:lvl w:ilvl="2">
      <w:start w:val="1"/>
      <w:numFmt w:val="decimal"/>
      <w:suff w:val="tab"/>
      <w:lvlText w:val="%1.%2.%3."/>
      <w:lvlJc w:val="left"/>
      <w:pPr>
        <w:widowControl w:val="0"/>
        <w:ind w:hanging="720" w:left="1520"/>
      </w:pPr>
      <w:rPr>
        <w:b w:val="1"/>
        <w:i w:val="0"/>
        <w:sz w:val="22"/>
      </w:rPr>
    </w:lvl>
    <w:lvl w:ilvl="3">
      <w:start w:val="1"/>
      <w:numFmt w:val="decimal"/>
      <w:suff w:val="tab"/>
      <w:lvlText w:val="%1.%2.%3.%4."/>
      <w:lvlJc w:val="left"/>
      <w:pPr>
        <w:widowControl w:val="0"/>
        <w:ind w:hanging="720" w:left="1920"/>
      </w:pPr>
      <w:rPr>
        <w:b w:val="1"/>
        <w:i w:val="1"/>
      </w:rPr>
    </w:lvl>
    <w:lvl w:ilvl="4">
      <w:start w:val="1"/>
      <w:numFmt w:val="decimal"/>
      <w:suff w:val="tab"/>
      <w:lvlText w:val="%1.%2.%3.%4.%5."/>
      <w:lvlJc w:val="left"/>
      <w:pPr>
        <w:widowControl w:val="0"/>
        <w:ind w:hanging="1080" w:left="2680"/>
      </w:pPr>
      <w:rPr>
        <w:b w:val="1"/>
        <w:i w:val="1"/>
      </w:rPr>
    </w:lvl>
    <w:lvl w:ilvl="5">
      <w:start w:val="1"/>
      <w:numFmt w:val="decimal"/>
      <w:suff w:val="tab"/>
      <w:lvlText w:val="%1.%2.%3.%4.%5.%6."/>
      <w:lvlJc w:val="left"/>
      <w:pPr>
        <w:widowControl w:val="0"/>
        <w:ind w:hanging="1080" w:left="3080"/>
      </w:pPr>
      <w:rPr>
        <w:b w:val="1"/>
        <w:i w:val="1"/>
      </w:rPr>
    </w:lvl>
    <w:lvl w:ilvl="6">
      <w:start w:val="1"/>
      <w:numFmt w:val="decimal"/>
      <w:suff w:val="tab"/>
      <w:lvlText w:val="%1.%2.%3.%4.%5.%6.%7."/>
      <w:lvlJc w:val="left"/>
      <w:pPr>
        <w:widowControl w:val="0"/>
        <w:ind w:hanging="1080" w:left="3480"/>
      </w:pPr>
      <w:rPr>
        <w:b w:val="1"/>
        <w:i w:val="1"/>
      </w:rPr>
    </w:lvl>
    <w:lvl w:ilvl="7">
      <w:start w:val="1"/>
      <w:numFmt w:val="decimal"/>
      <w:suff w:val="tab"/>
      <w:lvlText w:val="%1.%2.%3.%4.%5.%6.%7.%8."/>
      <w:lvlJc w:val="left"/>
      <w:pPr>
        <w:widowControl w:val="0"/>
        <w:ind w:hanging="1440" w:left="4240"/>
      </w:pPr>
      <w:rPr>
        <w:b w:val="1"/>
        <w:i w:val="1"/>
      </w:rPr>
    </w:lvl>
    <w:lvl w:ilvl="8">
      <w:start w:val="1"/>
      <w:numFmt w:val="decimal"/>
      <w:suff w:val="tab"/>
      <w:lvlText w:val="%1.%2.%3.%4.%5.%6.%7.%8.%9."/>
      <w:lvlJc w:val="left"/>
      <w:pPr>
        <w:widowControl w:val="0"/>
        <w:ind w:hanging="1440" w:left="4640"/>
      </w:pPr>
      <w:rPr>
        <w:b w:val="1"/>
        <w:i w:val="1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widowControl w:val="0"/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0" w:uiPriority="9" w:unhideWhenUsed="0"/>
    <w:lsdException w:name="heading 7" w:qFormat="1" w:semiHidden="0" w:uiPriority="9" w:unhideWhenUsed="0"/>
    <w:lsdException w:name="heading 8" w:qFormat="1" w:semiHidden="0" w:uiPriority="9" w:unhideWhenUsed="0"/>
    <w:lsdException w:name="heading 9" w:qFormat="1" w:semiHidden="0" w:uiPriority="9" w:unhideWhenUsed="0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4" w:type="paragraph">
    <w:name w:val="Normal"/>
    <w:link w:val="Style_14_ch"/>
    <w:uiPriority w:val="0"/>
    <w:qFormat/>
    <w:rPr>
      <w:sz w:val="24"/>
    </w:rPr>
  </w:style>
  <w:style w:default="1" w:styleId="Style_14_ch" w:type="character">
    <w:name w:val="Normal"/>
    <w:link w:val="Style_14"/>
    <w:rPr>
      <w:sz w:val="24"/>
    </w:rPr>
  </w:style>
  <w:style w:styleId="Style_5" w:type="paragraph">
    <w:name w:val="toc 2"/>
    <w:basedOn w:val="Style_14"/>
    <w:next w:val="Style_14"/>
    <w:link w:val="Style_5_ch"/>
    <w:uiPriority w:val="39"/>
    <w:pPr>
      <w:widowControl w:val="1"/>
      <w:ind w:left="200"/>
    </w:pPr>
    <w:rPr>
      <w:rFonts w:ascii="Times New Roman" w:hAnsi="Times New Roman"/>
    </w:rPr>
  </w:style>
  <w:style w:styleId="Style_5_ch" w:type="character">
    <w:name w:val="toc 2"/>
    <w:basedOn w:val="Style_14_ch"/>
    <w:link w:val="Style_5"/>
    <w:rPr>
      <w:rFonts w:ascii="Times New Roman" w:hAnsi="Times New Roman"/>
    </w:rPr>
  </w:style>
  <w:style w:styleId="Style_15" w:type="paragraph">
    <w:name w:val="Знак концевой сноски1"/>
    <w:basedOn w:val="Style_16"/>
    <w:link w:val="Style_15_ch"/>
    <w:rPr>
      <w:vertAlign w:val="superscript"/>
    </w:rPr>
  </w:style>
  <w:style w:styleId="Style_15_ch" w:type="character">
    <w:name w:val="Знак концевой сноски1"/>
    <w:basedOn w:val="Style_16_ch"/>
    <w:link w:val="Style_15"/>
    <w:rPr>
      <w:vertAlign w:val="superscript"/>
    </w:rPr>
  </w:style>
  <w:style w:styleId="Style_17" w:type="paragraph">
    <w:name w:val="Слабое выделение1"/>
    <w:basedOn w:val="Style_16"/>
    <w:link w:val="Style_17_ch"/>
    <w:rPr>
      <w:i w:val="1"/>
      <w:color w:val="5A5A5A"/>
    </w:rPr>
  </w:style>
  <w:style w:styleId="Style_17_ch" w:type="character">
    <w:name w:val="Слабое выделение1"/>
    <w:basedOn w:val="Style_16_ch"/>
    <w:link w:val="Style_17"/>
    <w:rPr>
      <w:i w:val="1"/>
      <w:color w:val="5A5A5A"/>
    </w:rPr>
  </w:style>
  <w:style w:styleId="Style_18" w:type="paragraph">
    <w:name w:val="Слабая ссылка1"/>
    <w:basedOn w:val="Style_16"/>
    <w:link w:val="Style_18_ch"/>
    <w:rPr>
      <w:sz w:val="24"/>
      <w:u w:val="single"/>
    </w:rPr>
  </w:style>
  <w:style w:styleId="Style_18_ch" w:type="character">
    <w:name w:val="Слабая ссылка1"/>
    <w:basedOn w:val="Style_16_ch"/>
    <w:link w:val="Style_18"/>
    <w:rPr>
      <w:sz w:val="24"/>
      <w:u w:val="single"/>
    </w:rPr>
  </w:style>
  <w:style w:styleId="Style_19" w:type="paragraph">
    <w:name w:val="toc 4"/>
    <w:next w:val="Style_14"/>
    <w:link w:val="Style_19_ch"/>
    <w:uiPriority w:val="39"/>
    <w:pPr>
      <w:widowControl w:val="1"/>
      <w:ind w:left="600"/>
    </w:pPr>
    <w:rPr>
      <w:rFonts w:ascii="XO Thames" w:hAnsi="XO Thames"/>
      <w:sz w:val="28"/>
    </w:rPr>
  </w:style>
  <w:style w:styleId="Style_19_ch" w:type="character">
    <w:name w:val="toc 4"/>
    <w:link w:val="Style_19"/>
    <w:rPr>
      <w:rFonts w:ascii="XO Thames" w:hAnsi="XO Thames"/>
      <w:sz w:val="28"/>
    </w:rPr>
  </w:style>
  <w:style w:styleId="Style_20" w:type="paragraph">
    <w:name w:val="heading 7"/>
    <w:basedOn w:val="Style_14"/>
    <w:next w:val="Style_14"/>
    <w:link w:val="Style_20_ch"/>
    <w:uiPriority w:val="9"/>
    <w:qFormat/>
    <w:pPr>
      <w:widowControl w:val="1"/>
      <w:spacing w:after="60" w:before="240"/>
      <w:ind/>
      <w:outlineLvl w:val="6"/>
    </w:pPr>
  </w:style>
  <w:style w:styleId="Style_20_ch" w:type="character">
    <w:name w:val="heading 7"/>
    <w:basedOn w:val="Style_14_ch"/>
    <w:link w:val="Style_20"/>
  </w:style>
  <w:style w:styleId="Style_21" w:type="paragraph">
    <w:name w:val="toc 6"/>
    <w:next w:val="Style_14"/>
    <w:link w:val="Style_21_ch"/>
    <w:uiPriority w:val="39"/>
    <w:pPr>
      <w:widowControl w:val="1"/>
      <w:ind w:left="1000"/>
    </w:pPr>
    <w:rPr>
      <w:rFonts w:ascii="XO Thames" w:hAnsi="XO Thames"/>
      <w:sz w:val="28"/>
    </w:rPr>
  </w:style>
  <w:style w:styleId="Style_21_ch" w:type="character">
    <w:name w:val="toc 6"/>
    <w:link w:val="Style_21"/>
    <w:rPr>
      <w:rFonts w:ascii="XO Thames" w:hAnsi="XO Thames"/>
      <w:sz w:val="28"/>
    </w:rPr>
  </w:style>
  <w:style w:styleId="Style_22" w:type="paragraph">
    <w:name w:val="toc 7"/>
    <w:next w:val="Style_14"/>
    <w:link w:val="Style_22_ch"/>
    <w:uiPriority w:val="39"/>
    <w:pPr>
      <w:widowControl w:val="1"/>
      <w:ind w:left="1200"/>
    </w:pPr>
    <w:rPr>
      <w:rFonts w:ascii="XO Thames" w:hAnsi="XO Thames"/>
      <w:sz w:val="28"/>
    </w:rPr>
  </w:style>
  <w:style w:styleId="Style_22_ch" w:type="character">
    <w:name w:val="toc 7"/>
    <w:link w:val="Style_22"/>
    <w:rPr>
      <w:rFonts w:ascii="XO Thames" w:hAnsi="XO Thames"/>
      <w:sz w:val="28"/>
    </w:rPr>
  </w:style>
  <w:style w:styleId="Style_23" w:type="paragraph">
    <w:name w:val="Гиперссылка2"/>
    <w:link w:val="Style_23_ch"/>
    <w:rPr>
      <w:color w:val="0000FF"/>
      <w:u w:val="single"/>
    </w:rPr>
  </w:style>
  <w:style w:styleId="Style_23_ch" w:type="character">
    <w:name w:val="Гиперссылка2"/>
    <w:link w:val="Style_23"/>
    <w:rPr>
      <w:color w:val="0000FF"/>
      <w:u w:val="single"/>
    </w:rPr>
  </w:style>
  <w:style w:styleId="Style_24" w:type="paragraph">
    <w:name w:val="Название книги1"/>
    <w:basedOn w:val="Style_16"/>
    <w:link w:val="Style_24_ch"/>
    <w:rPr>
      <w:rFonts w:ascii="Cambria" w:hAnsi="Cambria"/>
      <w:b w:val="1"/>
      <w:i w:val="1"/>
      <w:sz w:val="24"/>
    </w:rPr>
  </w:style>
  <w:style w:styleId="Style_24_ch" w:type="character">
    <w:name w:val="Название книги1"/>
    <w:basedOn w:val="Style_16_ch"/>
    <w:link w:val="Style_24"/>
    <w:rPr>
      <w:rFonts w:ascii="Cambria" w:hAnsi="Cambria"/>
      <w:b w:val="1"/>
      <w:i w:val="1"/>
      <w:sz w:val="24"/>
    </w:rPr>
  </w:style>
  <w:style w:styleId="Style_25" w:type="paragraph">
    <w:name w:val="header"/>
    <w:basedOn w:val="Style_14"/>
    <w:link w:val="Style_25_ch"/>
    <w:pPr>
      <w:widowControl w:val="1"/>
      <w:tabs>
        <w:tab w:leader="none" w:pos="4153" w:val="center"/>
        <w:tab w:leader="none" w:pos="8306" w:val="right"/>
      </w:tabs>
      <w:ind/>
    </w:pPr>
  </w:style>
  <w:style w:styleId="Style_25_ch" w:type="character">
    <w:name w:val="header"/>
    <w:basedOn w:val="Style_14_ch"/>
    <w:link w:val="Style_25"/>
  </w:style>
  <w:style w:styleId="Style_26" w:type="paragraph">
    <w:name w:val="Endnote"/>
    <w:basedOn w:val="Style_14"/>
    <w:link w:val="Style_26_ch"/>
  </w:style>
  <w:style w:styleId="Style_26_ch" w:type="character">
    <w:name w:val="Endnote"/>
    <w:basedOn w:val="Style_14_ch"/>
    <w:link w:val="Style_26"/>
  </w:style>
  <w:style w:styleId="Style_27" w:type="paragraph">
    <w:name w:val="heading 3"/>
    <w:basedOn w:val="Style_14"/>
    <w:next w:val="Style_14"/>
    <w:link w:val="Style_27_ch"/>
    <w:uiPriority w:val="9"/>
    <w:qFormat/>
    <w:pPr>
      <w:keepNext w:val="1"/>
      <w:widowControl w:val="1"/>
      <w:spacing w:after="60" w:before="240"/>
      <w:ind/>
      <w:outlineLvl w:val="2"/>
    </w:pPr>
    <w:rPr>
      <w:rFonts w:ascii="Cambria" w:hAnsi="Cambria"/>
      <w:b w:val="1"/>
      <w:sz w:val="26"/>
    </w:rPr>
  </w:style>
  <w:style w:styleId="Style_27_ch" w:type="character">
    <w:name w:val="heading 3"/>
    <w:basedOn w:val="Style_14_ch"/>
    <w:link w:val="Style_27"/>
    <w:rPr>
      <w:rFonts w:ascii="Cambria" w:hAnsi="Cambria"/>
      <w:b w:val="1"/>
      <w:sz w:val="26"/>
    </w:rPr>
  </w:style>
  <w:style w:styleId="Style_28" w:type="paragraph">
    <w:name w:val="Основной шрифт абзаца1"/>
    <w:link w:val="Style_28_ch"/>
  </w:style>
  <w:style w:styleId="Style_28_ch" w:type="character">
    <w:name w:val="Основной шрифт абзаца1"/>
    <w:link w:val="Style_28"/>
  </w:style>
  <w:style w:styleId="Style_29" w:type="paragraph">
    <w:name w:val="Normal (Web)"/>
    <w:basedOn w:val="Style_14"/>
    <w:link w:val="Style_29_ch"/>
    <w:pPr>
      <w:widowControl w:val="1"/>
      <w:spacing w:afterAutospacing="on" w:beforeAutospacing="on"/>
      <w:ind/>
    </w:pPr>
  </w:style>
  <w:style w:styleId="Style_29_ch" w:type="character">
    <w:name w:val="Normal (Web)"/>
    <w:basedOn w:val="Style_14_ch"/>
    <w:link w:val="Style_29"/>
  </w:style>
  <w:style w:styleId="Style_30" w:type="paragraph">
    <w:name w:val="heading 9"/>
    <w:basedOn w:val="Style_14"/>
    <w:next w:val="Style_14"/>
    <w:link w:val="Style_30_ch"/>
    <w:uiPriority w:val="9"/>
    <w:qFormat/>
    <w:pPr>
      <w:widowControl w:val="1"/>
      <w:spacing w:after="60" w:before="240"/>
      <w:ind/>
      <w:outlineLvl w:val="8"/>
    </w:pPr>
    <w:rPr>
      <w:rFonts w:ascii="Cambria" w:hAnsi="Cambria"/>
      <w:sz w:val="22"/>
    </w:rPr>
  </w:style>
  <w:style w:styleId="Style_30_ch" w:type="character">
    <w:name w:val="heading 9"/>
    <w:basedOn w:val="Style_14_ch"/>
    <w:link w:val="Style_30"/>
    <w:rPr>
      <w:rFonts w:ascii="Cambria" w:hAnsi="Cambria"/>
      <w:sz w:val="22"/>
    </w:rPr>
  </w:style>
  <w:style w:styleId="Style_31" w:type="paragraph">
    <w:name w:val="Default"/>
    <w:link w:val="Style_31_ch"/>
    <w:rPr>
      <w:sz w:val="24"/>
    </w:rPr>
  </w:style>
  <w:style w:styleId="Style_31_ch" w:type="character">
    <w:name w:val="Default"/>
    <w:link w:val="Style_31"/>
    <w:rPr>
      <w:sz w:val="24"/>
    </w:rPr>
  </w:style>
  <w:style w:styleId="Style_32" w:type="paragraph">
    <w:link w:val="Style_32_ch"/>
    <w:semiHidden w:val="1"/>
    <w:unhideWhenUsed w:val="1"/>
    <w:pPr>
      <w:widowControl w:val="1"/>
      <w:ind/>
    </w:pPr>
    <w:rPr>
      <w:sz w:val="24"/>
    </w:rPr>
  </w:style>
  <w:style w:styleId="Style_32_ch" w:type="character">
    <w:link w:val="Style_32"/>
    <w:semiHidden w:val="1"/>
    <w:unhideWhenUsed w:val="1"/>
    <w:rPr>
      <w:sz w:val="24"/>
    </w:rPr>
  </w:style>
  <w:style w:styleId="Style_33" w:type="paragraph">
    <w:name w:val="Обычный1"/>
    <w:link w:val="Style_33_ch"/>
    <w:rPr>
      <w:sz w:val="24"/>
    </w:rPr>
  </w:style>
  <w:style w:styleId="Style_33_ch" w:type="character">
    <w:name w:val="Обычный1"/>
    <w:link w:val="Style_33"/>
    <w:rPr>
      <w:sz w:val="24"/>
    </w:rPr>
  </w:style>
  <w:style w:styleId="Style_8" w:type="paragraph">
    <w:name w:val="ConsPlusNormal"/>
    <w:link w:val="Style_8_ch"/>
    <w:rPr>
      <w:sz w:val="22"/>
    </w:rPr>
  </w:style>
  <w:style w:styleId="Style_8_ch" w:type="character">
    <w:name w:val="ConsPlusNormal"/>
    <w:link w:val="Style_8"/>
    <w:rPr>
      <w:sz w:val="22"/>
    </w:rPr>
  </w:style>
  <w:style w:styleId="Style_34" w:type="paragraph">
    <w:name w:val="Body Text"/>
    <w:basedOn w:val="Style_14"/>
    <w:link w:val="Style_34_ch"/>
    <w:pPr>
      <w:widowControl w:val="1"/>
      <w:ind w:firstLine="4" w:left="117"/>
    </w:pPr>
    <w:rPr>
      <w:sz w:val="18"/>
    </w:rPr>
  </w:style>
  <w:style w:styleId="Style_34_ch" w:type="character">
    <w:name w:val="Body Text"/>
    <w:basedOn w:val="Style_14_ch"/>
    <w:link w:val="Style_34"/>
    <w:rPr>
      <w:sz w:val="18"/>
    </w:rPr>
  </w:style>
  <w:style w:styleId="Style_35" w:type="paragraph">
    <w:name w:val="Выделение1"/>
    <w:basedOn w:val="Style_16"/>
    <w:link w:val="Style_35_ch"/>
    <w:rPr>
      <w:b w:val="1"/>
      <w:i w:val="1"/>
    </w:rPr>
  </w:style>
  <w:style w:styleId="Style_35_ch" w:type="character">
    <w:name w:val="Выделение1"/>
    <w:basedOn w:val="Style_16_ch"/>
    <w:link w:val="Style_35"/>
    <w:rPr>
      <w:b w:val="1"/>
      <w:i w:val="1"/>
    </w:rPr>
  </w:style>
  <w:style w:styleId="Style_36" w:type="paragraph">
    <w:name w:val="Сильная ссылка1"/>
    <w:basedOn w:val="Style_16"/>
    <w:link w:val="Style_36_ch"/>
    <w:rPr>
      <w:b w:val="1"/>
      <w:sz w:val="24"/>
      <w:u w:val="single"/>
    </w:rPr>
  </w:style>
  <w:style w:styleId="Style_36_ch" w:type="character">
    <w:name w:val="Сильная ссылка1"/>
    <w:basedOn w:val="Style_16_ch"/>
    <w:link w:val="Style_36"/>
    <w:rPr>
      <w:b w:val="1"/>
      <w:sz w:val="24"/>
      <w:u w:val="single"/>
    </w:rPr>
  </w:style>
  <w:style w:styleId="Style_37" w:type="paragraph">
    <w:name w:val="Обычный1"/>
    <w:link w:val="Style_37_ch"/>
    <w:rPr>
      <w:sz w:val="24"/>
    </w:rPr>
  </w:style>
  <w:style w:styleId="Style_37_ch" w:type="character">
    <w:name w:val="Обычный1"/>
    <w:link w:val="Style_37"/>
    <w:rPr>
      <w:sz w:val="24"/>
    </w:rPr>
  </w:style>
  <w:style w:styleId="Style_38" w:type="paragraph">
    <w:name w:val="Знак сноски1"/>
    <w:basedOn w:val="Style_16"/>
    <w:link w:val="Style_38_ch"/>
    <w:rPr>
      <w:vertAlign w:val="superscript"/>
    </w:rPr>
  </w:style>
  <w:style w:styleId="Style_38_ch" w:type="character">
    <w:name w:val="Знак сноски1"/>
    <w:basedOn w:val="Style_16_ch"/>
    <w:link w:val="Style_38"/>
    <w:rPr>
      <w:vertAlign w:val="superscript"/>
    </w:rPr>
  </w:style>
  <w:style w:styleId="Style_39" w:type="paragraph">
    <w:name w:val="Обычный1"/>
    <w:link w:val="Style_39_ch"/>
    <w:rPr>
      <w:sz w:val="24"/>
    </w:rPr>
  </w:style>
  <w:style w:styleId="Style_39_ch" w:type="character">
    <w:name w:val="Обычный1"/>
    <w:link w:val="Style_39"/>
    <w:rPr>
      <w:sz w:val="24"/>
    </w:rPr>
  </w:style>
  <w:style w:styleId="Style_40" w:type="paragraph">
    <w:name w:val="Сильное выделение1"/>
    <w:basedOn w:val="Style_16"/>
    <w:link w:val="Style_40_ch"/>
    <w:rPr>
      <w:b w:val="1"/>
      <w:i w:val="1"/>
      <w:sz w:val="24"/>
      <w:u w:val="single"/>
    </w:rPr>
  </w:style>
  <w:style w:styleId="Style_40_ch" w:type="character">
    <w:name w:val="Сильное выделение1"/>
    <w:basedOn w:val="Style_16_ch"/>
    <w:link w:val="Style_40"/>
    <w:rPr>
      <w:b w:val="1"/>
      <w:i w:val="1"/>
      <w:sz w:val="24"/>
      <w:u w:val="single"/>
    </w:rPr>
  </w:style>
  <w:style w:styleId="Style_41" w:type="paragraph">
    <w:name w:val="Обычный1"/>
    <w:link w:val="Style_41_ch"/>
    <w:rPr>
      <w:sz w:val="24"/>
    </w:rPr>
  </w:style>
  <w:style w:styleId="Style_41_ch" w:type="character">
    <w:name w:val="Обычный1"/>
    <w:link w:val="Style_41"/>
    <w:rPr>
      <w:sz w:val="24"/>
    </w:rPr>
  </w:style>
  <w:style w:styleId="Style_42" w:type="paragraph">
    <w:name w:val="toc 3"/>
    <w:basedOn w:val="Style_14"/>
    <w:next w:val="Style_14"/>
    <w:link w:val="Style_42_ch"/>
    <w:uiPriority w:val="39"/>
    <w:pPr>
      <w:widowControl w:val="1"/>
      <w:spacing w:after="100" w:line="264" w:lineRule="auto"/>
      <w:ind w:left="440"/>
    </w:pPr>
    <w:rPr>
      <w:rFonts w:ascii="Times New Roman" w:hAnsi="Times New Roman"/>
      <w:sz w:val="22"/>
    </w:rPr>
  </w:style>
  <w:style w:styleId="Style_42_ch" w:type="character">
    <w:name w:val="toc 3"/>
    <w:basedOn w:val="Style_14_ch"/>
    <w:link w:val="Style_42"/>
    <w:rPr>
      <w:rFonts w:ascii="Times New Roman" w:hAnsi="Times New Roman"/>
      <w:sz w:val="22"/>
    </w:rPr>
  </w:style>
  <w:style w:styleId="Style_43" w:type="paragraph">
    <w:name w:val="Quote"/>
    <w:basedOn w:val="Style_14"/>
    <w:next w:val="Style_14"/>
    <w:link w:val="Style_43_ch"/>
    <w:rPr>
      <w:i w:val="1"/>
    </w:rPr>
  </w:style>
  <w:style w:styleId="Style_43_ch" w:type="character">
    <w:name w:val="Quote"/>
    <w:basedOn w:val="Style_14_ch"/>
    <w:link w:val="Style_43"/>
    <w:rPr>
      <w:i w:val="1"/>
    </w:rPr>
  </w:style>
  <w:style w:styleId="Style_44" w:type="paragraph">
    <w:name w:val="Гиперссылка3"/>
    <w:link w:val="Style_44_ch"/>
    <w:rPr>
      <w:color w:val="0000FF"/>
      <w:u w:val="single"/>
    </w:rPr>
  </w:style>
  <w:style w:styleId="Style_44_ch" w:type="character">
    <w:name w:val="Гиперссылка3"/>
    <w:link w:val="Style_44"/>
    <w:rPr>
      <w:color w:val="0000FF"/>
      <w:u w:val="single"/>
    </w:rPr>
  </w:style>
  <w:style w:styleId="Style_45" w:type="paragraph">
    <w:name w:val="Default Paragraph Font"/>
    <w:link w:val="Style_45_ch"/>
  </w:style>
  <w:style w:styleId="Style_45_ch" w:type="character">
    <w:name w:val="Default Paragraph Font"/>
    <w:link w:val="Style_45"/>
  </w:style>
  <w:style w:styleId="Style_46" w:type="paragraph">
    <w:name w:val="heading 5"/>
    <w:basedOn w:val="Style_14"/>
    <w:next w:val="Style_14"/>
    <w:link w:val="Style_46_ch"/>
    <w:uiPriority w:val="9"/>
    <w:qFormat/>
    <w:pPr>
      <w:widowControl w:val="1"/>
      <w:spacing w:after="60" w:before="240"/>
      <w:ind/>
      <w:outlineLvl w:val="4"/>
    </w:pPr>
    <w:rPr>
      <w:b w:val="1"/>
      <w:i w:val="1"/>
      <w:sz w:val="26"/>
    </w:rPr>
  </w:style>
  <w:style w:styleId="Style_46_ch" w:type="character">
    <w:name w:val="heading 5"/>
    <w:basedOn w:val="Style_14_ch"/>
    <w:link w:val="Style_46"/>
    <w:rPr>
      <w:b w:val="1"/>
      <w:i w:val="1"/>
      <w:sz w:val="26"/>
    </w:rPr>
  </w:style>
  <w:style w:styleId="Style_47" w:type="paragraph">
    <w:name w:val="ConsNonformat"/>
    <w:link w:val="Style_47_ch"/>
    <w:rPr>
      <w:rFonts w:ascii="Courier New" w:hAnsi="Courier New"/>
      <w:sz w:val="22"/>
    </w:rPr>
  </w:style>
  <w:style w:styleId="Style_47_ch" w:type="character">
    <w:name w:val="ConsNonformat"/>
    <w:link w:val="Style_47"/>
    <w:rPr>
      <w:rFonts w:ascii="Courier New" w:hAnsi="Courier New"/>
      <w:sz w:val="22"/>
    </w:rPr>
  </w:style>
  <w:style w:styleId="Style_48" w:type="paragraph">
    <w:name w:val="No Spacing"/>
    <w:basedOn w:val="Style_14"/>
    <w:link w:val="Style_48_ch"/>
  </w:style>
  <w:style w:styleId="Style_48_ch" w:type="character">
    <w:name w:val="No Spacing"/>
    <w:basedOn w:val="Style_14_ch"/>
    <w:link w:val="Style_48"/>
  </w:style>
  <w:style w:styleId="Style_49" w:type="paragraph">
    <w:name w:val="Обычный1"/>
    <w:link w:val="Style_49_ch"/>
    <w:rPr>
      <w:sz w:val="24"/>
    </w:rPr>
  </w:style>
  <w:style w:styleId="Style_49_ch" w:type="character">
    <w:name w:val="Обычный1"/>
    <w:link w:val="Style_49"/>
    <w:rPr>
      <w:sz w:val="24"/>
    </w:rPr>
  </w:style>
  <w:style w:styleId="Style_50" w:type="paragraph">
    <w:name w:val="heading 1"/>
    <w:basedOn w:val="Style_14"/>
    <w:next w:val="Style_14"/>
    <w:link w:val="Style_50_ch"/>
    <w:uiPriority w:val="9"/>
    <w:qFormat/>
    <w:pPr>
      <w:keepNext w:val="1"/>
      <w:widowControl w:val="1"/>
      <w:spacing w:after="60" w:before="240"/>
      <w:ind/>
      <w:outlineLvl w:val="0"/>
    </w:pPr>
    <w:rPr>
      <w:rFonts w:ascii="Cambria" w:hAnsi="Cambria"/>
      <w:b w:val="1"/>
      <w:sz w:val="32"/>
    </w:rPr>
  </w:style>
  <w:style w:styleId="Style_50_ch" w:type="character">
    <w:name w:val="heading 1"/>
    <w:basedOn w:val="Style_14_ch"/>
    <w:link w:val="Style_50"/>
    <w:rPr>
      <w:rFonts w:ascii="Cambria" w:hAnsi="Cambria"/>
      <w:b w:val="1"/>
      <w:sz w:val="32"/>
    </w:rPr>
  </w:style>
  <w:style w:styleId="Style_1" w:type="paragraph">
    <w:name w:val="footer"/>
    <w:basedOn w:val="Style_14"/>
    <w:link w:val="Style_1_ch"/>
    <w:pPr>
      <w:widowControl w:val="1"/>
      <w:tabs>
        <w:tab w:leader="none" w:pos="4153" w:val="center"/>
        <w:tab w:leader="none" w:pos="8306" w:val="right"/>
      </w:tabs>
      <w:ind/>
    </w:pPr>
  </w:style>
  <w:style w:styleId="Style_1_ch" w:type="character">
    <w:name w:val="footer"/>
    <w:basedOn w:val="Style_14_ch"/>
    <w:link w:val="Style_1"/>
  </w:style>
  <w:style w:styleId="Style_51" w:type="paragraph">
    <w:name w:val="Hyperlink"/>
    <w:link w:val="Style_51_ch"/>
    <w:rPr>
      <w:color w:val="0000FF"/>
      <w:u w:val="single"/>
    </w:rPr>
  </w:style>
  <w:style w:styleId="Style_51_ch" w:type="character">
    <w:name w:val="Hyperlink"/>
    <w:link w:val="Style_51"/>
    <w:rPr>
      <w:color w:val="0000FF"/>
      <w:u w:val="single"/>
    </w:rPr>
  </w:style>
  <w:style w:styleId="Style_52" w:type="paragraph">
    <w:name w:val="Footnote"/>
    <w:basedOn w:val="Style_14"/>
    <w:link w:val="Style_52_ch"/>
  </w:style>
  <w:style w:styleId="Style_52_ch" w:type="character">
    <w:name w:val="Footnote"/>
    <w:basedOn w:val="Style_14_ch"/>
    <w:link w:val="Style_52"/>
  </w:style>
  <w:style w:styleId="Style_53" w:type="paragraph">
    <w:name w:val="heading 8"/>
    <w:basedOn w:val="Style_14"/>
    <w:next w:val="Style_14"/>
    <w:link w:val="Style_53_ch"/>
    <w:uiPriority w:val="9"/>
    <w:qFormat/>
    <w:pPr>
      <w:widowControl w:val="1"/>
      <w:spacing w:after="60" w:before="240"/>
      <w:ind/>
      <w:outlineLvl w:val="7"/>
    </w:pPr>
    <w:rPr>
      <w:i w:val="1"/>
    </w:rPr>
  </w:style>
  <w:style w:styleId="Style_53_ch" w:type="character">
    <w:name w:val="heading 8"/>
    <w:basedOn w:val="Style_14_ch"/>
    <w:link w:val="Style_53"/>
    <w:rPr>
      <w:i w:val="1"/>
    </w:rPr>
  </w:style>
  <w:style w:styleId="Style_54" w:type="paragraph">
    <w:name w:val="Гиперссылка2"/>
    <w:link w:val="Style_54_ch"/>
    <w:rPr>
      <w:color w:val="0000FF"/>
      <w:u w:val="single"/>
    </w:rPr>
  </w:style>
  <w:style w:styleId="Style_54_ch" w:type="character">
    <w:name w:val="Гиперссылка2"/>
    <w:link w:val="Style_54"/>
    <w:rPr>
      <w:color w:val="0000FF"/>
      <w:u w:val="single"/>
    </w:rPr>
  </w:style>
  <w:style w:styleId="Style_4" w:type="paragraph">
    <w:name w:val="toc 1"/>
    <w:basedOn w:val="Style_14"/>
    <w:next w:val="Style_14"/>
    <w:link w:val="Style_4_ch"/>
    <w:uiPriority w:val="39"/>
    <w:rPr>
      <w:rFonts w:ascii="Times New Roman" w:hAnsi="Times New Roman"/>
    </w:rPr>
  </w:style>
  <w:style w:styleId="Style_4_ch" w:type="character">
    <w:name w:val="toc 1"/>
    <w:basedOn w:val="Style_14_ch"/>
    <w:link w:val="Style_4"/>
    <w:rPr>
      <w:rFonts w:ascii="Times New Roman" w:hAnsi="Times New Roman"/>
    </w:rPr>
  </w:style>
  <w:style w:styleId="Style_6" w:type="paragraph">
    <w:name w:val="Sub Heading"/>
    <w:link w:val="Style_6_ch"/>
    <w:pPr>
      <w:widowControl w:val="1"/>
      <w:spacing w:after="40" w:before="240"/>
      <w:ind/>
    </w:pPr>
    <w:rPr>
      <w:sz w:val="22"/>
    </w:rPr>
  </w:style>
  <w:style w:styleId="Style_6_ch" w:type="character">
    <w:name w:val="Sub Heading"/>
    <w:link w:val="Style_6"/>
    <w:rPr>
      <w:sz w:val="22"/>
    </w:rPr>
  </w:style>
  <w:style w:styleId="Style_55" w:type="paragraph">
    <w:name w:val="Header and Footer"/>
    <w:link w:val="Style_55_ch"/>
    <w:pPr>
      <w:widowControl w:val="1"/>
      <w:ind/>
      <w:jc w:val="both"/>
    </w:pPr>
    <w:rPr>
      <w:rFonts w:ascii="XO Thames" w:hAnsi="XO Thames"/>
      <w:sz w:val="28"/>
    </w:rPr>
  </w:style>
  <w:style w:styleId="Style_55_ch" w:type="character">
    <w:name w:val="Header and Footer"/>
    <w:link w:val="Style_55"/>
    <w:rPr>
      <w:rFonts w:ascii="XO Thames" w:hAnsi="XO Thames"/>
      <w:sz w:val="28"/>
    </w:rPr>
  </w:style>
  <w:style w:styleId="Style_56" w:type="paragraph">
    <w:name w:val="Основной шрифт абзаца2"/>
    <w:link w:val="Style_56_ch"/>
  </w:style>
  <w:style w:styleId="Style_56_ch" w:type="character">
    <w:name w:val="Основной шрифт абзаца2"/>
    <w:link w:val="Style_56"/>
  </w:style>
  <w:style w:styleId="Style_57" w:type="paragraph">
    <w:name w:val="Основной шрифт абзаца2"/>
    <w:link w:val="Style_57_ch"/>
  </w:style>
  <w:style w:styleId="Style_57_ch" w:type="character">
    <w:name w:val="Основной шрифт абзаца2"/>
    <w:link w:val="Style_57"/>
  </w:style>
  <w:style w:styleId="Style_58" w:type="paragraph">
    <w:name w:val="Гиперссылка1"/>
    <w:link w:val="Style_58_ch"/>
    <w:rPr>
      <w:color w:val="0000FF"/>
      <w:u w:val="single"/>
    </w:rPr>
  </w:style>
  <w:style w:styleId="Style_58_ch" w:type="character">
    <w:name w:val="Гиперссылка1"/>
    <w:link w:val="Style_58"/>
    <w:rPr>
      <w:color w:val="0000FF"/>
      <w:u w:val="single"/>
    </w:rPr>
  </w:style>
  <w:style w:styleId="Style_16" w:type="paragraph">
    <w:name w:val="Основной шрифт абзаца1"/>
    <w:link w:val="Style_16_ch"/>
  </w:style>
  <w:style w:styleId="Style_16_ch" w:type="character">
    <w:name w:val="Основной шрифт абзаца1"/>
    <w:link w:val="Style_16"/>
  </w:style>
  <w:style w:styleId="Style_59" w:type="paragraph">
    <w:name w:val="toc 9"/>
    <w:next w:val="Style_14"/>
    <w:link w:val="Style_59_ch"/>
    <w:uiPriority w:val="39"/>
    <w:pPr>
      <w:widowControl w:val="1"/>
      <w:ind w:left="1600"/>
    </w:pPr>
    <w:rPr>
      <w:rFonts w:ascii="XO Thames" w:hAnsi="XO Thames"/>
      <w:sz w:val="28"/>
    </w:rPr>
  </w:style>
  <w:style w:styleId="Style_59_ch" w:type="character">
    <w:name w:val="toc 9"/>
    <w:link w:val="Style_59"/>
    <w:rPr>
      <w:rFonts w:ascii="XO Thames" w:hAnsi="XO Thames"/>
      <w:sz w:val="28"/>
    </w:rPr>
  </w:style>
  <w:style w:styleId="Style_11" w:type="paragraph">
    <w:name w:val="List Paragraph"/>
    <w:basedOn w:val="Style_14"/>
    <w:link w:val="Style_11_ch"/>
    <w:pPr>
      <w:widowControl w:val="1"/>
      <w:ind w:left="720"/>
      <w:contextualSpacing w:val="1"/>
    </w:pPr>
  </w:style>
  <w:style w:styleId="Style_11_ch" w:type="character">
    <w:name w:val="List Paragraph"/>
    <w:basedOn w:val="Style_14_ch"/>
    <w:link w:val="Style_11"/>
  </w:style>
  <w:style w:styleId="Style_60" w:type="paragraph">
    <w:name w:val="Основной шрифт абзаца1"/>
    <w:link w:val="Style_60_ch"/>
  </w:style>
  <w:style w:styleId="Style_60_ch" w:type="character">
    <w:name w:val="Основной шрифт абзаца1"/>
    <w:link w:val="Style_60"/>
  </w:style>
  <w:style w:styleId="Style_61" w:type="paragraph">
    <w:name w:val="Intense Quote"/>
    <w:basedOn w:val="Style_14"/>
    <w:next w:val="Style_14"/>
    <w:link w:val="Style_61_ch"/>
    <w:pPr>
      <w:widowControl w:val="1"/>
      <w:ind w:left="720" w:right="720"/>
    </w:pPr>
    <w:rPr>
      <w:b w:val="1"/>
      <w:i w:val="1"/>
    </w:rPr>
  </w:style>
  <w:style w:styleId="Style_61_ch" w:type="character">
    <w:name w:val="Intense Quote"/>
    <w:basedOn w:val="Style_14_ch"/>
    <w:link w:val="Style_61"/>
    <w:rPr>
      <w:b w:val="1"/>
      <w:i w:val="1"/>
    </w:rPr>
  </w:style>
  <w:style w:styleId="Style_62" w:type="paragraph">
    <w:name w:val="toc 8"/>
    <w:next w:val="Style_14"/>
    <w:link w:val="Style_62_ch"/>
    <w:uiPriority w:val="39"/>
    <w:pPr>
      <w:widowControl w:val="1"/>
      <w:ind w:left="1400"/>
    </w:pPr>
    <w:rPr>
      <w:rFonts w:ascii="XO Thames" w:hAnsi="XO Thames"/>
      <w:sz w:val="28"/>
    </w:rPr>
  </w:style>
  <w:style w:styleId="Style_62_ch" w:type="character">
    <w:name w:val="toc 8"/>
    <w:link w:val="Style_62"/>
    <w:rPr>
      <w:rFonts w:ascii="XO Thames" w:hAnsi="XO Thames"/>
      <w:sz w:val="28"/>
    </w:rPr>
  </w:style>
  <w:style w:styleId="Style_10" w:type="paragraph">
    <w:name w:val="Основной текст50"/>
    <w:basedOn w:val="Style_14"/>
    <w:link w:val="Style_10_ch"/>
    <w:pPr>
      <w:widowControl w:val="1"/>
      <w:spacing w:before="360" w:line="446" w:lineRule="exact"/>
      <w:ind w:hanging="580" w:left="580"/>
      <w:jc w:val="right"/>
    </w:pPr>
    <w:rPr>
      <w:rFonts w:ascii="Times New Roman" w:hAnsi="Times New Roman"/>
      <w:sz w:val="23"/>
    </w:rPr>
  </w:style>
  <w:style w:styleId="Style_10_ch" w:type="character">
    <w:name w:val="Основной текст50"/>
    <w:basedOn w:val="Style_14_ch"/>
    <w:link w:val="Style_10"/>
    <w:rPr>
      <w:rFonts w:ascii="Times New Roman" w:hAnsi="Times New Roman"/>
      <w:sz w:val="23"/>
    </w:rPr>
  </w:style>
  <w:style w:styleId="Style_12" w:type="paragraph">
    <w:name w:val="Гиперссылка1"/>
    <w:basedOn w:val="Style_16"/>
    <w:link w:val="Style_12_ch"/>
    <w:rPr>
      <w:color w:val="0563C1"/>
      <w:u w:val="single"/>
    </w:rPr>
  </w:style>
  <w:style w:styleId="Style_12_ch" w:type="character">
    <w:name w:val="Гиперссылка1"/>
    <w:basedOn w:val="Style_16_ch"/>
    <w:link w:val="Style_12"/>
    <w:rPr>
      <w:color w:val="0563C1"/>
      <w:u w:val="single"/>
    </w:rPr>
  </w:style>
  <w:style w:styleId="Style_63" w:type="paragraph">
    <w:name w:val="Строгий1"/>
    <w:basedOn w:val="Style_16"/>
    <w:link w:val="Style_63_ch"/>
    <w:rPr>
      <w:b w:val="1"/>
    </w:rPr>
  </w:style>
  <w:style w:styleId="Style_63_ch" w:type="character">
    <w:name w:val="Строгий1"/>
    <w:basedOn w:val="Style_16_ch"/>
    <w:link w:val="Style_63"/>
    <w:rPr>
      <w:b w:val="1"/>
    </w:rPr>
  </w:style>
  <w:style w:styleId="Style_64" w:type="paragraph">
    <w:name w:val="toc 5"/>
    <w:next w:val="Style_14"/>
    <w:link w:val="Style_64_ch"/>
    <w:uiPriority w:val="39"/>
    <w:pPr>
      <w:widowControl w:val="1"/>
      <w:ind w:left="800"/>
    </w:pPr>
    <w:rPr>
      <w:rFonts w:ascii="XO Thames" w:hAnsi="XO Thames"/>
      <w:sz w:val="28"/>
    </w:rPr>
  </w:style>
  <w:style w:styleId="Style_64_ch" w:type="character">
    <w:name w:val="toc 5"/>
    <w:link w:val="Style_64"/>
    <w:rPr>
      <w:rFonts w:ascii="XO Thames" w:hAnsi="XO Thames"/>
      <w:sz w:val="28"/>
    </w:rPr>
  </w:style>
  <w:style w:styleId="Style_65" w:type="paragraph">
    <w:name w:val="Balloon Text"/>
    <w:basedOn w:val="Style_14"/>
    <w:link w:val="Style_65_ch"/>
    <w:rPr>
      <w:rFonts w:ascii="Segoe UI" w:hAnsi="Segoe UI"/>
      <w:sz w:val="18"/>
    </w:rPr>
  </w:style>
  <w:style w:styleId="Style_65_ch" w:type="character">
    <w:name w:val="Balloon Text"/>
    <w:basedOn w:val="Style_14_ch"/>
    <w:link w:val="Style_65"/>
    <w:rPr>
      <w:rFonts w:ascii="Segoe UI" w:hAnsi="Segoe UI"/>
      <w:sz w:val="18"/>
    </w:rPr>
  </w:style>
  <w:style w:styleId="Style_13" w:type="paragraph">
    <w:name w:val="Гиперссылка1"/>
    <w:link w:val="Style_13_ch"/>
    <w:rPr>
      <w:color w:val="0000FF"/>
      <w:u w:val="single"/>
    </w:rPr>
  </w:style>
  <w:style w:styleId="Style_13_ch" w:type="character">
    <w:name w:val="Гиперссылка1"/>
    <w:link w:val="Style_13"/>
    <w:rPr>
      <w:color w:val="0000FF"/>
      <w:u w:val="single"/>
    </w:rPr>
  </w:style>
  <w:style w:styleId="Style_66" w:type="paragraph">
    <w:name w:val="ConsNormal"/>
    <w:link w:val="Style_66_ch"/>
    <w:pPr>
      <w:widowControl w:val="1"/>
      <w:ind w:firstLine="539" w:right="19771"/>
    </w:pPr>
    <w:rPr>
      <w:rFonts w:ascii="Courier New" w:hAnsi="Courier New"/>
      <w:sz w:val="22"/>
    </w:rPr>
  </w:style>
  <w:style w:styleId="Style_66_ch" w:type="character">
    <w:name w:val="ConsNormal"/>
    <w:link w:val="Style_66"/>
    <w:rPr>
      <w:rFonts w:ascii="Courier New" w:hAnsi="Courier New"/>
      <w:sz w:val="22"/>
    </w:rPr>
  </w:style>
  <w:style w:styleId="Style_7" w:type="paragraph">
    <w:name w:val="Subtitle"/>
    <w:basedOn w:val="Style_14"/>
    <w:next w:val="Style_14"/>
    <w:link w:val="Style_7_ch"/>
    <w:uiPriority w:val="11"/>
    <w:qFormat/>
    <w:pPr>
      <w:widowControl w:val="1"/>
      <w:spacing w:after="60"/>
      <w:ind/>
      <w:jc w:val="center"/>
      <w:outlineLvl w:val="1"/>
    </w:pPr>
    <w:rPr>
      <w:rFonts w:ascii="Cambria" w:hAnsi="Cambria"/>
    </w:rPr>
  </w:style>
  <w:style w:styleId="Style_7_ch" w:type="character">
    <w:name w:val="Subtitle"/>
    <w:basedOn w:val="Style_14_ch"/>
    <w:link w:val="Style_7"/>
    <w:rPr>
      <w:rFonts w:ascii="Cambria" w:hAnsi="Cambria"/>
    </w:rPr>
  </w:style>
  <w:style w:styleId="Style_3" w:type="paragraph">
    <w:name w:val="TOC Heading"/>
    <w:basedOn w:val="Style_50"/>
    <w:next w:val="Style_14"/>
    <w:link w:val="Style_3_ch"/>
    <w:pPr>
      <w:widowControl w:val="1"/>
      <w:ind/>
      <w:outlineLvl w:val="8"/>
    </w:pPr>
  </w:style>
  <w:style w:styleId="Style_3_ch" w:type="character">
    <w:name w:val="TOC Heading"/>
    <w:basedOn w:val="Style_50_ch"/>
    <w:link w:val="Style_3"/>
  </w:style>
  <w:style w:styleId="Style_67" w:type="paragraph">
    <w:name w:val="Title"/>
    <w:basedOn w:val="Style_14"/>
    <w:next w:val="Style_14"/>
    <w:link w:val="Style_67_ch"/>
    <w:uiPriority w:val="10"/>
    <w:qFormat/>
    <w:pPr>
      <w:widowControl w:val="1"/>
      <w:spacing w:after="60" w:before="240"/>
      <w:ind/>
      <w:jc w:val="center"/>
      <w:outlineLvl w:val="0"/>
    </w:pPr>
    <w:rPr>
      <w:rFonts w:ascii="Cambria" w:hAnsi="Cambria"/>
      <w:b w:val="1"/>
      <w:sz w:val="32"/>
    </w:rPr>
  </w:style>
  <w:style w:styleId="Style_67_ch" w:type="character">
    <w:name w:val="Title"/>
    <w:basedOn w:val="Style_14_ch"/>
    <w:link w:val="Style_67"/>
    <w:rPr>
      <w:rFonts w:ascii="Cambria" w:hAnsi="Cambria"/>
      <w:b w:val="1"/>
      <w:sz w:val="32"/>
    </w:rPr>
  </w:style>
  <w:style w:styleId="Style_68" w:type="paragraph">
    <w:name w:val="heading 4"/>
    <w:basedOn w:val="Style_14"/>
    <w:next w:val="Style_14"/>
    <w:link w:val="Style_68_ch"/>
    <w:uiPriority w:val="9"/>
    <w:qFormat/>
    <w:pPr>
      <w:keepNext w:val="1"/>
      <w:widowControl w:val="1"/>
      <w:spacing w:after="60" w:before="240"/>
      <w:ind/>
      <w:outlineLvl w:val="3"/>
    </w:pPr>
    <w:rPr>
      <w:b w:val="1"/>
      <w:sz w:val="28"/>
    </w:rPr>
  </w:style>
  <w:style w:styleId="Style_68_ch" w:type="character">
    <w:name w:val="heading 4"/>
    <w:basedOn w:val="Style_14_ch"/>
    <w:link w:val="Style_68"/>
    <w:rPr>
      <w:b w:val="1"/>
      <w:sz w:val="28"/>
    </w:rPr>
  </w:style>
  <w:style w:styleId="Style_69" w:type="paragraph">
    <w:name w:val="Обычный1"/>
    <w:link w:val="Style_69_ch"/>
    <w:rPr>
      <w:sz w:val="24"/>
    </w:rPr>
  </w:style>
  <w:style w:styleId="Style_69_ch" w:type="character">
    <w:name w:val="Обычный1"/>
    <w:link w:val="Style_69"/>
    <w:rPr>
      <w:sz w:val="24"/>
    </w:rPr>
  </w:style>
  <w:style w:styleId="Style_70" w:type="paragraph">
    <w:name w:val="heading 2"/>
    <w:basedOn w:val="Style_14"/>
    <w:next w:val="Style_14"/>
    <w:link w:val="Style_70_ch"/>
    <w:uiPriority w:val="9"/>
    <w:qFormat/>
    <w:pPr>
      <w:keepNext w:val="1"/>
      <w:widowControl w:val="1"/>
      <w:spacing w:after="60" w:before="240"/>
      <w:ind/>
      <w:outlineLvl w:val="1"/>
    </w:pPr>
    <w:rPr>
      <w:rFonts w:ascii="Cambria" w:hAnsi="Cambria"/>
      <w:b w:val="1"/>
      <w:i w:val="1"/>
      <w:sz w:val="28"/>
    </w:rPr>
  </w:style>
  <w:style w:styleId="Style_70_ch" w:type="character">
    <w:name w:val="heading 2"/>
    <w:basedOn w:val="Style_14_ch"/>
    <w:link w:val="Style_70"/>
    <w:rPr>
      <w:rFonts w:ascii="Cambria" w:hAnsi="Cambria"/>
      <w:b w:val="1"/>
      <w:i w:val="1"/>
      <w:sz w:val="28"/>
    </w:rPr>
  </w:style>
  <w:style w:styleId="Style_71" w:type="paragraph">
    <w:name w:val="Основной шрифт абзаца1"/>
    <w:link w:val="Style_71_ch"/>
  </w:style>
  <w:style w:styleId="Style_71_ch" w:type="character">
    <w:name w:val="Основной шрифт абзаца1"/>
    <w:link w:val="Style_71"/>
  </w:style>
  <w:style w:styleId="Style_72" w:type="paragraph">
    <w:name w:val="heading 6"/>
    <w:basedOn w:val="Style_14"/>
    <w:next w:val="Style_14"/>
    <w:link w:val="Style_72_ch"/>
    <w:uiPriority w:val="9"/>
    <w:qFormat/>
    <w:pPr>
      <w:widowControl w:val="1"/>
      <w:spacing w:after="60" w:before="240"/>
      <w:ind/>
      <w:outlineLvl w:val="5"/>
    </w:pPr>
    <w:rPr>
      <w:b w:val="1"/>
      <w:sz w:val="22"/>
    </w:rPr>
  </w:style>
  <w:style w:styleId="Style_72_ch" w:type="character">
    <w:name w:val="heading 6"/>
    <w:basedOn w:val="Style_14_ch"/>
    <w:link w:val="Style_72"/>
    <w:rPr>
      <w:b w:val="1"/>
      <w:sz w:val="22"/>
    </w:rPr>
  </w:style>
  <w:style w:styleId="Style_9" w:type="table">
    <w:name w:val="Table Grid"/>
    <w:basedOn w:val="Style_2"/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2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webSettings.xml" Type="http://schemas.openxmlformats.org/officeDocument/2006/relationships/webSettings"/>
  <Relationship Id="rId1" Target="footer1.xml" Type="http://schemas.openxmlformats.org/officeDocument/2006/relationships/footer"/>
  <Relationship Id="rId2" Target="fontTable.xml" Type="http://schemas.openxmlformats.org/officeDocument/2006/relationships/fontTable"/>
  <Relationship Id="rId3" Target="settings.xml" Type="http://schemas.openxmlformats.org/officeDocument/2006/relationships/settings"/>
  <Relationship Id="rId8" Target="numbering.xml" Type="http://schemas.openxmlformats.org/officeDocument/2006/relationships/numbering"/>
  <Relationship Id="rId4" Target="styles.xml" Type="http://schemas.openxmlformats.org/officeDocument/2006/relationships/styles"/>
  <Relationship Id="rId7" Target="theme/theme1.xml" Type="http://schemas.openxmlformats.org/officeDocument/2006/relationships/theme"/>
  <Relationship Id="rId5" Target="stylesWithEffects.xml" Type="http://schemas.microsoft.com/office/2007/relationships/stylesWithEffect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MyOffice-CoreFramework-Windows/36-1319.1058.9942.953.1@04494a3b551f3193b92c1c6a32fdda6152bfb270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2025-08-28T11:50:06Z</dcterms:created>
  <dcterms:modified xsi:type="dcterms:W3CDTF">2025-08-28T11:50:06Z</dcterms:modified>
</cp:coreProperties>
</file>