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1" Target="word/document.xml" Type="http://schemas.openxmlformats.org/officeDocument/2006/relationships/officeDocument"/>
  <Relationship Id="rId2" Target="docProps/app.xml" Type="http://schemas.openxmlformats.org/officeDocument/2006/relationships/extended-properties"/>
  <Relationship Id="rId3" Target="docProps/core.xml" Type="http://schemas.openxmlformats.org/package/2006/relationships/metadata/core-properties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03000000">
      <w:pPr>
        <w:spacing w:after="240"/>
        <w:ind w:firstLine="0" w:left="5897"/>
      </w:pPr>
      <w:r>
        <w:t>Приложение 3</w:t>
      </w:r>
      <w:r>
        <w:br/>
      </w:r>
      <w:r>
        <w:t>к Положению Банка России</w:t>
      </w:r>
      <w:r>
        <w:br/>
      </w:r>
      <w:r>
        <w:t>от 27 марта 2020 года № 714-П</w:t>
      </w:r>
      <w:r>
        <w:br/>
      </w:r>
      <w:r>
        <w:t>«О раскрытии информации эмитентами эмиссионных ценных бумаг»</w:t>
      </w:r>
    </w:p>
    <w:p w14:paraId="04000000">
      <w:pPr>
        <w:spacing w:before="1320"/>
        <w:ind/>
        <w:jc w:val="center"/>
        <w:rPr>
          <w:b w:val="1"/>
          <w:sz w:val="34"/>
        </w:rPr>
      </w:pPr>
      <w:r>
        <w:rPr>
          <w:b w:val="1"/>
          <w:sz w:val="34"/>
        </w:rPr>
        <w:t xml:space="preserve">ОТЧЕТ ЭМИТЕНТА </w:t>
      </w:r>
      <w:r>
        <w:rPr>
          <w:b w:val="1"/>
          <w:sz w:val="34"/>
        </w:rPr>
        <w:br/>
      </w:r>
      <w:r>
        <w:rPr>
          <w:b w:val="1"/>
          <w:sz w:val="34"/>
        </w:rPr>
        <w:t>ЭМИССИОННЫХ ЦЕННЫХ БУМАГ</w:t>
      </w:r>
    </w:p>
    <w:p w14:paraId="05000000">
      <w:pPr>
        <w:rPr>
          <w:sz w:val="28"/>
        </w:rPr>
      </w:pPr>
      <w:r>
        <w:rPr>
          <w:b w:val="1"/>
          <w:i w:val="1"/>
          <w:sz w:val="28"/>
        </w:rPr>
        <w:t>Публичное акционерное общество «Северное управление строительства»</w:t>
      </w:r>
    </w:p>
    <w:p w14:paraId="06000000">
      <w:pPr>
        <w:spacing w:after="360"/>
        <w:ind/>
        <w:jc w:val="center"/>
      </w:pPr>
      <w:r>
        <w:t>(полное фирменное наименование (для коммерческой организации)</w:t>
      </w:r>
    </w:p>
    <w:tbl>
      <w:tblPr>
        <w:tblStyle w:val="Style_2"/>
        <w:tblW w:type="auto" w:w="0"/>
        <w:tblInd w:type="dxa" w:w="2552"/>
        <w:tblLayout w:type="fixed"/>
        <w:tblCellMar>
          <w:top w:type="dxa" w:w="0"/>
          <w:left w:type="dxa" w:w="28"/>
          <w:bottom w:type="dxa" w:w="0"/>
          <w:right w:type="dxa" w:w="28"/>
        </w:tblCellMar>
      </w:tblPr>
      <w:tblGrid>
        <w:gridCol w:w="2325"/>
        <w:gridCol w:w="3686"/>
      </w:tblGrid>
      <w:tr>
        <w:tc>
          <w:tcPr>
            <w:tcW w:type="dxa" w:w="6011"/>
            <w:gridSpan w:val="2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07000000">
            <w:pPr>
              <w:rPr>
                <w:b w:val="1"/>
                <w:i w:val="1"/>
                <w:sz w:val="28"/>
              </w:rPr>
            </w:pPr>
            <w:r>
              <w:rPr>
                <w:b w:val="1"/>
                <w:sz w:val="32"/>
              </w:rPr>
              <w:t>К</w:t>
            </w:r>
            <w:r>
              <w:rPr>
                <w:b w:val="1"/>
                <w:sz w:val="25"/>
              </w:rPr>
              <w:t xml:space="preserve">ОД ЭМИТЕНТА:                     </w:t>
            </w:r>
            <w:r>
              <w:rPr>
                <w:b w:val="1"/>
                <w:i w:val="1"/>
                <w:sz w:val="28"/>
              </w:rPr>
              <w:t>04739-D</w:t>
            </w:r>
          </w:p>
        </w:tc>
      </w:tr>
      <w:tr>
        <w:tc>
          <w:tcPr>
            <w:tcW w:type="dxa" w:w="232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/>
        </w:tc>
        <w:tc>
          <w:tcPr>
            <w:tcW w:type="dxa" w:w="3686"/>
            <w:tcBorders>
              <w:top w:color="000000" w:sz="4" w:val="single"/>
              <w:left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08000000">
            <w:pPr>
              <w:ind/>
              <w:jc w:val="center"/>
            </w:pPr>
            <w:r>
              <w:t>(уникальный код эмитента)</w:t>
            </w:r>
          </w:p>
        </w:tc>
      </w:tr>
    </w:tbl>
    <w:p w14:paraId="09000000">
      <w:pPr>
        <w:ind w:firstLine="0" w:left="2520"/>
      </w:pPr>
    </w:p>
    <w:tbl>
      <w:tblPr>
        <w:tblStyle w:val="Style_2"/>
        <w:tblW w:type="auto" w:w="0"/>
        <w:tblInd w:type="dxa" w:w="2552"/>
        <w:tblLayout w:type="fixed"/>
        <w:tblCellMar>
          <w:top w:type="dxa" w:w="0"/>
          <w:left w:type="dxa" w:w="28"/>
          <w:bottom w:type="dxa" w:w="0"/>
          <w:right w:type="dxa" w:w="28"/>
        </w:tblCellMar>
      </w:tblPr>
      <w:tblGrid>
        <w:gridCol w:w="425"/>
        <w:gridCol w:w="5632"/>
      </w:tblGrid>
      <w:tr>
        <w:tc>
          <w:tcPr>
            <w:tcW w:type="dxa" w:w="42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0A000000">
            <w:pPr>
              <w:rPr>
                <w:b w:val="1"/>
                <w:sz w:val="25"/>
              </w:rPr>
            </w:pPr>
            <w:r>
              <w:rPr>
                <w:b w:val="1"/>
                <w:sz w:val="25"/>
              </w:rPr>
              <w:t>ЗА</w:t>
            </w:r>
          </w:p>
        </w:tc>
        <w:tc>
          <w:tcPr>
            <w:tcW w:type="dxa" w:w="5632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0B000000">
            <w:pPr>
              <w:ind/>
              <w:jc w:val="center"/>
              <w:rPr>
                <w:sz w:val="25"/>
              </w:rPr>
            </w:pPr>
            <w:r>
              <w:rPr>
                <w:sz w:val="25"/>
              </w:rPr>
              <w:t>6 месяцев 2024  года</w:t>
            </w:r>
          </w:p>
        </w:tc>
      </w:tr>
      <w:tr>
        <w:tc>
          <w:tcPr>
            <w:tcW w:type="dxa" w:w="42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/>
        </w:tc>
        <w:tc>
          <w:tcPr>
            <w:tcW w:type="dxa" w:w="5632"/>
            <w:tcBorders>
              <w:top w:color="000000" w:sz="4" w:val="single"/>
              <w:left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0C000000">
            <w:pPr>
              <w:ind/>
              <w:jc w:val="center"/>
              <w:rPr>
                <w:sz w:val="20"/>
              </w:rPr>
            </w:pPr>
            <w:r>
              <w:rPr>
                <w:sz w:val="20"/>
              </w:rPr>
              <w:t>(отчетный период, за который  составлен отчет эмитента)</w:t>
            </w:r>
          </w:p>
        </w:tc>
      </w:tr>
    </w:tbl>
    <w:p w14:paraId="0D000000">
      <w:pPr>
        <w:spacing w:after="360" w:before="360"/>
        <w:ind/>
        <w:jc w:val="center"/>
        <w:rPr>
          <w:rFonts w:ascii="Times New Roman" w:hAnsi="Times New Roman"/>
          <w:sz w:val="27"/>
        </w:rPr>
      </w:pPr>
      <w:r>
        <w:rPr>
          <w:rFonts w:ascii="Times New Roman" w:hAnsi="Times New Roman"/>
          <w:sz w:val="27"/>
        </w:rPr>
        <w:t>Информация, содержащаяся в настоящем отчете эмитента,</w:t>
      </w:r>
      <w:r>
        <w:rPr>
          <w:rFonts w:ascii="Times New Roman" w:hAnsi="Times New Roman"/>
          <w:sz w:val="27"/>
        </w:rPr>
        <w:br/>
      </w:r>
      <w:r>
        <w:rPr>
          <w:rFonts w:ascii="Times New Roman" w:hAnsi="Times New Roman"/>
          <w:sz w:val="27"/>
        </w:rPr>
        <w:t>подлежит раскрытию в соответствии с законодательством Российской</w:t>
      </w:r>
      <w:r>
        <w:rPr>
          <w:rFonts w:ascii="Times New Roman" w:hAnsi="Times New Roman"/>
          <w:sz w:val="27"/>
        </w:rPr>
        <w:br/>
      </w:r>
      <w:r>
        <w:rPr>
          <w:rFonts w:ascii="Times New Roman" w:hAnsi="Times New Roman"/>
          <w:sz w:val="27"/>
        </w:rPr>
        <w:t>Федерации о ценных бумагах.</w:t>
      </w:r>
    </w:p>
    <w:tbl>
      <w:tblPr>
        <w:tblStyle w:val="Style_2"/>
        <w:tblW w:type="auto" w:w="0"/>
        <w:tblInd w:type="dxa" w:w="0"/>
        <w:tblLayout w:type="fixed"/>
        <w:tblCellMar>
          <w:top w:type="dxa" w:w="0"/>
          <w:left w:type="dxa" w:w="28"/>
          <w:bottom w:type="dxa" w:w="0"/>
          <w:right w:type="dxa" w:w="28"/>
        </w:tblCellMar>
      </w:tblPr>
      <w:tblGrid>
        <w:gridCol w:w="2775"/>
        <w:gridCol w:w="6067"/>
        <w:gridCol w:w="796"/>
      </w:tblGrid>
      <w:tr>
        <w:tc>
          <w:tcPr>
            <w:tcW w:type="dxa" w:w="2775"/>
            <w:tcBorders>
              <w:top w:color="000000" w:sz="4" w:val="single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0E000000">
            <w:pPr>
              <w:pageBreakBefore w:val="1"/>
              <w:spacing w:before="24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Адрес эмитента</w:t>
            </w:r>
          </w:p>
        </w:tc>
        <w:tc>
          <w:tcPr>
            <w:tcW w:type="dxa" w:w="6067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0F000000">
            <w:pPr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188540, г. Сосновый Бор Ленинградской области, ул. Ленинградская д.7</w:t>
            </w:r>
          </w:p>
        </w:tc>
        <w:tc>
          <w:tcPr>
            <w:tcW w:type="dxa" w:w="796"/>
            <w:tcBorders>
              <w:top w:color="000000" w:sz="4" w:val="single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0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2775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11000000">
            <w:pPr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12000000">
            <w:pPr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(адрес эмитента, содержащийся в едином государственном реестре юридических лиц)</w:t>
            </w:r>
          </w:p>
        </w:tc>
        <w:tc>
          <w:tcPr>
            <w:tcW w:type="dxa" w:w="796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13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2775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4000000">
            <w:pPr>
              <w:spacing w:before="240"/>
              <w:ind/>
              <w:jc w:val="center"/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5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1"/>
              </w:rPr>
              <w:t xml:space="preserve">начальник юридического отдела, Голей Павел Игоревич, </w:t>
            </w:r>
          </w:p>
        </w:tc>
        <w:tc>
          <w:tcPr>
            <w:tcW w:type="dxa" w:w="796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6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2775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17000000">
            <w:pPr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18000000">
            <w:pPr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(должность, фамилия, имя, отчество (последнее при наличии) контактного лица эмитента)</w:t>
            </w:r>
          </w:p>
        </w:tc>
        <w:tc>
          <w:tcPr>
            <w:tcW w:type="dxa" w:w="796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19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2775"/>
            <w:vMerge w:val="restart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A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Контактное лицо </w:t>
            </w:r>
            <w:r>
              <w:rPr>
                <w:rFonts w:ascii="Times New Roman" w:hAnsi="Times New Roman"/>
              </w:rPr>
              <w:br/>
            </w:r>
            <w:r>
              <w:rPr>
                <w:rFonts w:ascii="Times New Roman" w:hAnsi="Times New Roman"/>
              </w:rPr>
              <w:t>эмитента</w:t>
            </w:r>
          </w:p>
        </w:tc>
        <w:tc>
          <w:tcPr>
            <w:tcW w:type="dxa" w:w="606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B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1"/>
              </w:rPr>
              <w:t>(81369) 2-24-15 доб.77-07</w:t>
            </w:r>
          </w:p>
        </w:tc>
        <w:tc>
          <w:tcPr>
            <w:tcW w:type="dxa" w:w="796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C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2775"/>
            <w:gridSpan w:val="1"/>
            <w:vMerge w:val="continue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/>
        </w:tc>
        <w:tc>
          <w:tcPr>
            <w:tcW w:type="dxa" w:w="60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1D000000">
            <w:pPr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(номер (номера) телефона контактного лица эмитента)</w:t>
            </w:r>
          </w:p>
        </w:tc>
        <w:tc>
          <w:tcPr>
            <w:tcW w:type="dxa" w:w="796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1E000000">
            <w:pPr>
              <w:rPr>
                <w:rFonts w:ascii="Times New Roman" w:hAnsi="Times New Roman"/>
              </w:rPr>
            </w:pPr>
          </w:p>
        </w:tc>
      </w:tr>
      <w:tr>
        <w:trPr>
          <w:trHeight w:hRule="exact" w:val="204"/>
        </w:trPr>
        <w:tc>
          <w:tcPr>
            <w:tcW w:type="dxa" w:w="2775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F000000">
            <w:pPr>
              <w:spacing w:before="240"/>
              <w:ind/>
              <w:jc w:val="center"/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0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1"/>
              </w:rPr>
              <w:t>p.goley@titan2.ru</w:t>
            </w:r>
          </w:p>
        </w:tc>
        <w:tc>
          <w:tcPr>
            <w:tcW w:type="dxa" w:w="796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1000000">
            <w:pPr>
              <w:rPr>
                <w:rFonts w:ascii="Times New Roman" w:hAnsi="Times New Roman"/>
              </w:rPr>
            </w:pPr>
          </w:p>
        </w:tc>
      </w:tr>
      <w:tr>
        <w:trPr>
          <w:trHeight w:hRule="atLeast" w:val="364"/>
        </w:trPr>
        <w:tc>
          <w:tcPr>
            <w:tcW w:type="dxa" w:w="2775"/>
            <w:tcBorders>
              <w:top w:sz="4" w:val="nil"/>
              <w:left w:color="000000" w:sz="4" w:val="single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22000000">
            <w:pPr>
              <w:spacing w:after="240"/>
              <w:ind/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23000000">
            <w:pPr>
              <w:spacing w:after="240"/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(адрес электронной почты контактного лица (если имеется)</w:t>
            </w:r>
          </w:p>
        </w:tc>
        <w:tc>
          <w:tcPr>
            <w:tcW w:type="dxa" w:w="796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24000000">
            <w:pPr>
              <w:spacing w:after="240"/>
              <w:ind/>
              <w:rPr>
                <w:rFonts w:ascii="Times New Roman" w:hAnsi="Times New Roman"/>
              </w:rPr>
            </w:pPr>
          </w:p>
        </w:tc>
      </w:tr>
    </w:tbl>
    <w:p w14:paraId="25000000">
      <w:pPr>
        <w:rPr>
          <w:rFonts w:ascii="Times New Roman" w:hAnsi="Times New Roman"/>
        </w:rPr>
      </w:pPr>
    </w:p>
    <w:tbl>
      <w:tblPr>
        <w:tblStyle w:val="Style_2"/>
        <w:tblW w:type="auto" w:w="0"/>
        <w:tblInd w:type="dxa" w:w="0"/>
        <w:tblLayout w:type="fixed"/>
        <w:tblCellMar>
          <w:top w:type="dxa" w:w="0"/>
          <w:left w:type="dxa" w:w="28"/>
          <w:bottom w:type="dxa" w:w="0"/>
          <w:right w:type="dxa" w:w="28"/>
        </w:tblCellMar>
      </w:tblPr>
      <w:tblGrid>
        <w:gridCol w:w="2892"/>
        <w:gridCol w:w="227"/>
        <w:gridCol w:w="6284"/>
        <w:gridCol w:w="227"/>
        <w:gridCol w:w="76"/>
      </w:tblGrid>
      <w:tr>
        <w:tc>
          <w:tcPr>
            <w:tcW w:type="dxa" w:w="2892"/>
            <w:vMerge w:val="restart"/>
            <w:tcBorders>
              <w:top w:color="000000" w:sz="4" w:val="single"/>
              <w:left w:color="000000" w:sz="4" w:val="single"/>
              <w:bottom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26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Адрес страницы в сети Интернет</w:t>
            </w:r>
          </w:p>
        </w:tc>
        <w:tc>
          <w:tcPr>
            <w:tcW w:type="dxa" w:w="227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7000000">
            <w:pPr>
              <w:ind/>
              <w:jc w:val="center"/>
              <w:rPr>
                <w:rFonts w:ascii="Times New Roman" w:hAnsi="Times New Roman"/>
              </w:rPr>
            </w:pPr>
          </w:p>
        </w:tc>
        <w:tc>
          <w:tcPr>
            <w:tcW w:type="dxa" w:w="6284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8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1"/>
              </w:rPr>
              <w:t>disclosure.1prime.ru/Portal/Default.aspx?emId=4714000211</w:t>
            </w:r>
          </w:p>
        </w:tc>
        <w:tc>
          <w:tcPr>
            <w:tcW w:type="dxa" w:w="227"/>
            <w:tcBorders>
              <w:top w:color="000000" w:sz="4" w:val="single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9000000">
            <w:pPr>
              <w:rPr>
                <w:rFonts w:ascii="Times New Roman" w:hAnsi="Times New Roman"/>
              </w:rPr>
            </w:pPr>
          </w:p>
        </w:tc>
        <w:tc>
          <w:tcPr>
            <w:tcW w:type="dxa" w:w="76"/>
            <w:tcMar>
              <w:top w:type="dxa" w:w="0"/>
              <w:left w:type="dxa" w:w="28"/>
              <w:bottom w:type="dxa" w:w="0"/>
              <w:right w:type="dxa" w:w="28"/>
            </w:tcMar>
          </w:tcPr>
          <w:p/>
        </w:tc>
      </w:tr>
      <w:tr>
        <w:trPr>
          <w:trHeight w:hRule="atLeast" w:val="542"/>
        </w:trPr>
        <w:tc>
          <w:tcPr>
            <w:tcW w:type="dxa" w:w="2892"/>
            <w:gridSpan w:val="1"/>
            <w:vMerge w:val="continue"/>
            <w:tcBorders>
              <w:top w:color="000000" w:sz="4" w:val="single"/>
              <w:left w:color="000000" w:sz="4" w:val="single"/>
              <w:bottom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/>
        </w:tc>
        <w:tc>
          <w:tcPr>
            <w:tcW w:type="dxa" w:w="6814"/>
            <w:gridSpan w:val="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2A000000">
            <w:pPr>
              <w:spacing w:after="240"/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(адрес страницы в сети «Интернет», на которой раскрывается информация, содержащаяся в настоящем отчете эмитента)</w:t>
            </w:r>
          </w:p>
        </w:tc>
      </w:tr>
    </w:tbl>
    <w:p w14:paraId="2B000000">
      <w:pPr>
        <w:rPr>
          <w:rFonts w:ascii="Times New Roman" w:hAnsi="Times New Roman"/>
        </w:rPr>
      </w:pPr>
    </w:p>
    <w:tbl>
      <w:tblPr>
        <w:tblStyle w:val="Style_2"/>
        <w:tblW w:type="auto" w:w="0"/>
        <w:tblInd w:type="dxa" w:w="0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  <w:tblCellMar>
          <w:top w:type="dxa" w:w="0"/>
          <w:left w:type="dxa" w:w="28"/>
          <w:bottom w:type="dxa" w:w="0"/>
          <w:right w:type="dxa" w:w="28"/>
        </w:tblCellMar>
      </w:tblPr>
      <w:tblGrid>
        <w:gridCol w:w="169"/>
        <w:gridCol w:w="142"/>
        <w:gridCol w:w="454"/>
        <w:gridCol w:w="227"/>
        <w:gridCol w:w="1701"/>
        <w:gridCol w:w="340"/>
        <w:gridCol w:w="340"/>
        <w:gridCol w:w="2750"/>
        <w:gridCol w:w="284"/>
        <w:gridCol w:w="1134"/>
        <w:gridCol w:w="170"/>
        <w:gridCol w:w="1588"/>
        <w:gridCol w:w="339"/>
      </w:tblGrid>
      <w:tr>
        <w:trPr>
          <w:trHeight w:hRule="atLeast" w:val="490"/>
        </w:trPr>
        <w:tc>
          <w:tcPr>
            <w:tcW w:type="dxa" w:w="169"/>
            <w:tcBorders>
              <w:top w:color="000000" w:sz="4" w:val="single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C000000">
            <w:pPr>
              <w:ind w:firstLine="0" w:left="57"/>
              <w:rPr>
                <w:rFonts w:ascii="Times New Roman" w:hAnsi="Times New Roman"/>
              </w:rPr>
            </w:pPr>
          </w:p>
        </w:tc>
        <w:tc>
          <w:tcPr>
            <w:tcW w:type="dxa" w:w="5954"/>
            <w:gridSpan w:val="7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D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1"/>
              </w:rPr>
              <w:t>Генеральный директор</w:t>
            </w:r>
            <w:r>
              <w:rPr>
                <w:rFonts w:ascii="Times New Roman" w:hAnsi="Times New Roman"/>
              </w:rPr>
              <w:t>, на основании Устава</w:t>
            </w:r>
          </w:p>
        </w:tc>
        <w:tc>
          <w:tcPr>
            <w:tcW w:type="dxa" w:w="284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E000000">
            <w:pPr>
              <w:rPr>
                <w:rFonts w:ascii="Times New Roman" w:hAnsi="Times New Roman"/>
              </w:rPr>
            </w:pPr>
          </w:p>
        </w:tc>
        <w:tc>
          <w:tcPr>
            <w:tcW w:type="dxa" w:w="1134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F000000">
            <w:pPr>
              <w:ind/>
              <w:jc w:val="center"/>
              <w:rPr>
                <w:rFonts w:ascii="Times New Roman" w:hAnsi="Times New Roman"/>
              </w:rPr>
            </w:pPr>
          </w:p>
        </w:tc>
        <w:tc>
          <w:tcPr>
            <w:tcW w:type="dxa" w:w="170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0000000">
            <w:pPr>
              <w:rPr>
                <w:rFonts w:ascii="Times New Roman" w:hAnsi="Times New Roman"/>
              </w:rPr>
            </w:pPr>
          </w:p>
        </w:tc>
        <w:tc>
          <w:tcPr>
            <w:tcW w:type="dxa" w:w="1588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1000000">
            <w:pPr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Д.Ю. Волгин</w:t>
            </w:r>
          </w:p>
        </w:tc>
        <w:tc>
          <w:tcPr>
            <w:tcW w:type="dxa" w:w="339"/>
            <w:tcBorders>
              <w:top w:color="000000" w:sz="4" w:val="single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2000000">
            <w:pPr>
              <w:rPr>
                <w:rFonts w:ascii="Times New Roman" w:hAnsi="Times New Roman"/>
              </w:rPr>
            </w:pPr>
          </w:p>
        </w:tc>
      </w:tr>
      <w:tr>
        <w:trPr>
          <w:trHeight w:hRule="atLeast" w:val="490"/>
        </w:trPr>
        <w:tc>
          <w:tcPr>
            <w:tcW w:type="dxa" w:w="169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33000000">
            <w:pPr>
              <w:ind w:firstLine="0" w:left="57"/>
              <w:rPr>
                <w:rFonts w:ascii="Times New Roman" w:hAnsi="Times New Roman"/>
                <w:spacing w:val="-4"/>
              </w:rPr>
            </w:pPr>
          </w:p>
        </w:tc>
        <w:tc>
          <w:tcPr>
            <w:tcW w:type="dxa" w:w="5954"/>
            <w:gridSpan w:val="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34000000">
            <w:pPr>
              <w:ind/>
              <w:jc w:val="center"/>
              <w:rPr>
                <w:rFonts w:ascii="Times New Roman" w:hAnsi="Times New Roman"/>
                <w:spacing w:val="-4"/>
                <w:sz w:val="20"/>
              </w:rPr>
            </w:pPr>
            <w:r>
              <w:rPr>
                <w:rFonts w:ascii="Times New Roman" w:hAnsi="Times New Roman"/>
                <w:spacing w:val="-4"/>
                <w:sz w:val="20"/>
              </w:rPr>
              <w:t xml:space="preserve">(наименование должности лица, осуществляющего функции единоличного исполнительного органа, или иного уполномоченного им лица, название, дата и номер документа, на основании которого указанному лицу предоставлено право подписывать отчет эмитента </w:t>
            </w:r>
            <w:r>
              <w:rPr>
                <w:rFonts w:ascii="Times New Roman" w:hAnsi="Times New Roman"/>
                <w:spacing w:val="-4"/>
                <w:sz w:val="20"/>
              </w:rPr>
              <w:br/>
            </w:r>
            <w:r>
              <w:rPr>
                <w:rFonts w:ascii="Times New Roman" w:hAnsi="Times New Roman"/>
                <w:spacing w:val="-4"/>
                <w:sz w:val="20"/>
              </w:rPr>
              <w:t>от имени эмитента)</w:t>
            </w:r>
          </w:p>
        </w:tc>
        <w:tc>
          <w:tcPr>
            <w:tcW w:type="dxa" w:w="284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35000000">
            <w:pPr>
              <w:rPr>
                <w:rFonts w:ascii="Times New Roman" w:hAnsi="Times New Roman"/>
                <w:spacing w:val="-4"/>
              </w:rPr>
            </w:pPr>
          </w:p>
        </w:tc>
        <w:tc>
          <w:tcPr>
            <w:tcW w:type="dxa" w:w="1134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36000000">
            <w:pPr>
              <w:ind/>
              <w:jc w:val="center"/>
              <w:rPr>
                <w:rFonts w:ascii="Times New Roman" w:hAnsi="Times New Roman"/>
                <w:spacing w:val="-4"/>
              </w:rPr>
            </w:pPr>
            <w:r>
              <w:rPr>
                <w:rFonts w:ascii="Times New Roman" w:hAnsi="Times New Roman"/>
                <w:spacing w:val="-4"/>
              </w:rPr>
              <w:t>(подпись)</w:t>
            </w:r>
          </w:p>
        </w:tc>
        <w:tc>
          <w:tcPr>
            <w:tcW w:type="dxa" w:w="17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37000000">
            <w:pPr>
              <w:rPr>
                <w:rFonts w:ascii="Times New Roman" w:hAnsi="Times New Roman"/>
                <w:spacing w:val="-4"/>
              </w:rPr>
            </w:pPr>
          </w:p>
        </w:tc>
        <w:tc>
          <w:tcPr>
            <w:tcW w:type="dxa" w:w="1588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38000000">
            <w:pPr>
              <w:ind/>
              <w:jc w:val="center"/>
              <w:rPr>
                <w:rFonts w:ascii="Times New Roman" w:hAnsi="Times New Roman"/>
                <w:spacing w:val="-4"/>
              </w:rPr>
            </w:pPr>
            <w:r>
              <w:rPr>
                <w:rFonts w:ascii="Times New Roman" w:hAnsi="Times New Roman"/>
                <w:spacing w:val="-4"/>
              </w:rPr>
              <w:t>(И.О. Фамилия)</w:t>
            </w:r>
          </w:p>
        </w:tc>
        <w:tc>
          <w:tcPr>
            <w:tcW w:type="dxa" w:w="339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39000000">
            <w:pPr>
              <w:rPr>
                <w:rFonts w:ascii="Times New Roman" w:hAnsi="Times New Roman"/>
                <w:spacing w:val="-4"/>
              </w:rPr>
            </w:pPr>
          </w:p>
        </w:tc>
      </w:tr>
      <w:tr>
        <w:trPr>
          <w:trHeight w:hRule="atLeast" w:val="490"/>
        </w:trPr>
        <w:tc>
          <w:tcPr>
            <w:tcW w:type="dxa" w:w="311"/>
            <w:gridSpan w:val="2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A000000">
            <w:pPr>
              <w:ind w:firstLine="0" w:left="57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«</w:t>
            </w:r>
          </w:p>
        </w:tc>
        <w:tc>
          <w:tcPr>
            <w:tcW w:type="dxa" w:w="454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B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</w:t>
            </w:r>
          </w:p>
        </w:tc>
        <w:tc>
          <w:tcPr>
            <w:tcW w:type="dxa" w:w="22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C00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»</w:t>
            </w:r>
          </w:p>
        </w:tc>
        <w:tc>
          <w:tcPr>
            <w:tcW w:type="dxa" w:w="1701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D000000">
            <w:r>
              <w:t>ноября</w:t>
            </w:r>
          </w:p>
        </w:tc>
        <w:tc>
          <w:tcPr>
            <w:tcW w:type="dxa" w:w="34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E000000">
            <w:pPr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</w:t>
            </w:r>
          </w:p>
        </w:tc>
        <w:tc>
          <w:tcPr>
            <w:tcW w:type="dxa" w:w="340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F00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</w:t>
            </w:r>
          </w:p>
        </w:tc>
        <w:tc>
          <w:tcPr>
            <w:tcW w:type="dxa" w:w="6265"/>
            <w:gridSpan w:val="6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40000000">
            <w:pPr>
              <w:ind w:firstLine="0" w:left="5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г.</w:t>
            </w:r>
          </w:p>
        </w:tc>
      </w:tr>
      <w:tr>
        <w:trPr>
          <w:trHeight w:hRule="atLeast" w:val="200"/>
        </w:trPr>
        <w:tc>
          <w:tcPr>
            <w:tcW w:type="dxa" w:w="9638"/>
            <w:gridSpan w:val="13"/>
            <w:tcBorders>
              <w:top w:sz="4" w:val="nil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/>
        </w:tc>
      </w:tr>
    </w:tbl>
    <w:p w14:paraId="41000000">
      <w:pPr>
        <w:spacing w:before="1320"/>
        <w:ind w:firstLine="283" w:left="-283"/>
        <w:jc w:val="center"/>
        <w:rPr>
          <w:b w:val="1"/>
          <w:sz w:val="32"/>
        </w:rPr>
      </w:pPr>
      <w:r>
        <w:rPr>
          <w:b w:val="1"/>
          <w:sz w:val="34"/>
        </w:rPr>
        <w:t xml:space="preserve"> </w:t>
      </w:r>
    </w:p>
    <w:p w14:paraId="42000000">
      <w:pPr>
        <w:ind/>
        <w:jc w:val="center"/>
        <w:outlineLvl w:val="8"/>
        <w:rPr>
          <w:rFonts w:ascii="Times New Roman" w:hAnsi="Times New Roman"/>
          <w:b w:val="1"/>
          <w:sz w:val="24"/>
        </w:rPr>
      </w:pPr>
      <w:r>
        <w:rPr>
          <w:rFonts w:ascii="Times New Roman" w:hAnsi="Times New Roman"/>
          <w:b w:val="1"/>
          <w:sz w:val="24"/>
        </w:rPr>
        <w:t xml:space="preserve">Пояснения </w:t>
      </w:r>
    </w:p>
    <w:p w14:paraId="43000000">
      <w:pPr>
        <w:ind w:firstLine="567" w:left="0"/>
        <w:jc w:val="both"/>
        <w:outlineLvl w:val="8"/>
        <w:rPr>
          <w:rFonts w:ascii="Times New Roman" w:hAnsi="Times New Roman"/>
          <w:b w:val="0"/>
          <w:sz w:val="24"/>
        </w:rPr>
      </w:pPr>
      <w:r>
        <w:rPr>
          <w:rFonts w:ascii="Times New Roman" w:hAnsi="Times New Roman"/>
          <w:b w:val="0"/>
          <w:sz w:val="24"/>
        </w:rPr>
        <w:t xml:space="preserve">Настоящий документ публикуется Публичным акционерным обществом «Северное управление строительства (далее – «Эмитент») в порядке изменения (корректировки) информации, содержащейся в ранее опубликованном отчете Эмитента за 6 месяцев 2024 года (далее – «Отчет»). </w:t>
      </w:r>
      <w:r>
        <w:rPr>
          <w:rFonts w:ascii="Times New Roman" w:hAnsi="Times New Roman"/>
          <w:b w:val="0"/>
          <w:sz w:val="24"/>
        </w:rPr>
        <w:tab/>
      </w:r>
      <w:r>
        <w:rPr>
          <w:rFonts w:ascii="Times New Roman" w:hAnsi="Times New Roman"/>
          <w:b w:val="0"/>
          <w:sz w:val="24"/>
        </w:rPr>
        <w:t>Изменения (корректировка) осуществляются на основании Предписания Банка России от 31 октября 2024 года № Т2-50-3/33451.</w:t>
      </w:r>
    </w:p>
    <w:p w14:paraId="44000000">
      <w:pPr>
        <w:ind w:firstLine="0" w:left="0"/>
        <w:jc w:val="left"/>
        <w:outlineLvl w:val="8"/>
        <w:rPr>
          <w:rFonts w:ascii="Times New Roman" w:hAnsi="Times New Roman"/>
          <w:sz w:val="24"/>
        </w:rPr>
      </w:pPr>
      <w:r>
        <w:rPr>
          <w:rFonts w:ascii="Times New Roman" w:hAnsi="Times New Roman"/>
          <w:b w:val="0"/>
          <w:sz w:val="24"/>
        </w:rPr>
        <w:t xml:space="preserve"> </w:t>
      </w:r>
      <w:r>
        <w:rPr>
          <w:rFonts w:ascii="Times New Roman" w:hAnsi="Times New Roman"/>
          <w:b w:val="0"/>
          <w:sz w:val="24"/>
        </w:rPr>
        <w:t xml:space="preserve">Ссылка на ранее опубликованный Отчет, информация в котором изменяется (корректируется):  </w:t>
      </w:r>
      <w:r>
        <w:rPr>
          <w:rFonts w:ascii="Times New Roman" w:hAnsi="Times New Roman"/>
          <w:sz w:val="24"/>
        </w:rPr>
        <w:t xml:space="preserve">: </w:t>
      </w:r>
      <w:r>
        <w:rPr>
          <w:rStyle w:val="Style_3_ch"/>
          <w:rFonts w:ascii="Times New Roman" w:hAnsi="Times New Roman"/>
          <w:sz w:val="24"/>
        </w:rPr>
        <w:fldChar w:fldCharType="begin"/>
      </w:r>
      <w:r>
        <w:rPr>
          <w:rStyle w:val="Style_3_ch"/>
          <w:rFonts w:ascii="Times New Roman" w:hAnsi="Times New Roman"/>
          <w:sz w:val="24"/>
        </w:rPr>
        <w:instrText>HYPERLINK "http://disclosure.1prime.ru/Portal/GetDocument.aspx?emId=4714000211&amp;docId=d1af1733f28c412e9ffc24a6d4e4bd1f"</w:instrText>
      </w:r>
      <w:r>
        <w:rPr>
          <w:rStyle w:val="Style_3_ch"/>
          <w:rFonts w:ascii="Times New Roman" w:hAnsi="Times New Roman"/>
          <w:sz w:val="24"/>
        </w:rPr>
        <w:fldChar w:fldCharType="separate"/>
      </w:r>
      <w:r>
        <w:rPr>
          <w:rStyle w:val="Style_3_ch"/>
          <w:rFonts w:ascii="Times New Roman" w:hAnsi="Times New Roman"/>
          <w:sz w:val="24"/>
        </w:rPr>
        <w:t>http://disclosure.1prime.ru/Portal/GetDocument.aspx?emId=4714000211&amp;docId=d1af1733f28c412e9ffc24a6d4e4bd1f.</w:t>
      </w:r>
      <w:r>
        <w:rPr>
          <w:rStyle w:val="Style_3_ch"/>
          <w:rFonts w:ascii="Times New Roman" w:hAnsi="Times New Roman"/>
          <w:sz w:val="24"/>
        </w:rPr>
        <w:fldChar w:fldCharType="end"/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</w:t>
      </w:r>
    </w:p>
    <w:p w14:paraId="45000000">
      <w:pPr>
        <w:ind w:firstLine="567" w:left="0"/>
        <w:jc w:val="both"/>
        <w:outlineLvl w:val="8"/>
        <w:rPr>
          <w:rFonts w:ascii="Times New Roman" w:hAnsi="Times New Roman"/>
          <w:b w:val="0"/>
          <w:sz w:val="24"/>
        </w:rPr>
      </w:pPr>
      <w:r>
        <w:rPr>
          <w:rFonts w:ascii="Times New Roman" w:hAnsi="Times New Roman"/>
          <w:b w:val="0"/>
          <w:sz w:val="24"/>
        </w:rPr>
        <w:t xml:space="preserve"> Изменения (корректировка) осуществляются в связи с необходимостью устранения выявленных и отмеченных в предписании нарушений в Отчете эмитента в, в том числе включения в Отчет недостающей информации, в соответствии с  требованиям Положения Банка России от 27 марта 2020 года № 714-П «О раскрытии информации эмитентами эмиссионных ценных бумаг» (далее – «Положение № 714-П»). </w:t>
      </w:r>
    </w:p>
    <w:p w14:paraId="46000000">
      <w:pPr>
        <w:ind w:firstLine="567" w:left="0"/>
        <w:jc w:val="both"/>
        <w:outlineLvl w:val="8"/>
        <w:rPr>
          <w:rFonts w:ascii="Times New Roman" w:hAnsi="Times New Roman"/>
          <w:b w:val="0"/>
          <w:sz w:val="24"/>
        </w:rPr>
      </w:pPr>
      <w:r>
        <w:rPr>
          <w:rFonts w:ascii="Times New Roman" w:hAnsi="Times New Roman"/>
          <w:b w:val="0"/>
          <w:sz w:val="24"/>
        </w:rPr>
        <w:t xml:space="preserve">Краткое описание внесенных изменений: </w:t>
      </w:r>
    </w:p>
    <w:p w14:paraId="47000000">
      <w:pPr>
        <w:ind w:firstLine="567" w:left="0"/>
        <w:jc w:val="both"/>
        <w:outlineLvl w:val="8"/>
        <w:rPr>
          <w:rFonts w:ascii="Times New Roman" w:hAnsi="Times New Roman"/>
          <w:b w:val="0"/>
          <w:color w:val="000000"/>
          <w:sz w:val="24"/>
        </w:rPr>
      </w:pPr>
      <w:r>
        <w:rPr>
          <w:rFonts w:ascii="Times New Roman" w:hAnsi="Times New Roman"/>
          <w:b w:val="0"/>
          <w:i w:val="0"/>
          <w:color w:val="000000"/>
          <w:sz w:val="24"/>
        </w:rPr>
        <w:t>1. В разделе</w:t>
      </w:r>
      <w:r>
        <w:rPr>
          <w:rFonts w:ascii="Times New Roman" w:hAnsi="Times New Roman"/>
          <w:b w:val="1"/>
          <w:i w:val="0"/>
          <w:color w:val="000000"/>
          <w:sz w:val="24"/>
        </w:rPr>
        <w:t xml:space="preserve"> «Введение»</w:t>
      </w:r>
      <w:r>
        <w:rPr>
          <w:rFonts w:ascii="Times New Roman" w:hAnsi="Times New Roman"/>
          <w:b w:val="0"/>
          <w:i w:val="0"/>
          <w:color w:val="000000"/>
          <w:sz w:val="24"/>
        </w:rPr>
        <w:t xml:space="preserve"> в абзаце 1-2 добавлены основания возникновения у эмитента обязанности осуществлять раскрытие информации в форме отчета эмитента.</w:t>
      </w:r>
    </w:p>
    <w:p w14:paraId="48000000">
      <w:pPr>
        <w:ind w:firstLine="0" w:left="283" w:right="171"/>
        <w:jc w:val="both"/>
        <w:rPr>
          <w:rFonts w:ascii="Times New Roman" w:hAnsi="Times New Roman"/>
          <w:b w:val="1"/>
          <w:i w:val="0"/>
          <w:color w:val="000000"/>
          <w:sz w:val="24"/>
        </w:rPr>
      </w:pPr>
      <w:r>
        <w:rPr>
          <w:rFonts w:ascii="Times New Roman" w:hAnsi="Times New Roman"/>
          <w:b w:val="0"/>
          <w:i w:val="0"/>
          <w:color w:val="000000"/>
          <w:sz w:val="24"/>
        </w:rPr>
        <w:t xml:space="preserve">    2. </w:t>
      </w:r>
      <w:r>
        <w:rPr>
          <w:rFonts w:ascii="Times New Roman" w:hAnsi="Times New Roman"/>
          <w:b w:val="1"/>
          <w:i w:val="0"/>
          <w:color w:val="000000"/>
          <w:sz w:val="24"/>
        </w:rPr>
        <w:t>Раздел 1:</w:t>
      </w:r>
    </w:p>
    <w:p w14:paraId="49000000">
      <w:pPr>
        <w:ind w:firstLine="426" w:left="0" w:right="171"/>
        <w:jc w:val="both"/>
        <w:rPr>
          <w:rFonts w:ascii="Times New Roman" w:hAnsi="Times New Roman"/>
          <w:b w:val="0"/>
          <w:i w:val="0"/>
          <w:color w:val="000000"/>
          <w:sz w:val="24"/>
        </w:rPr>
      </w:pPr>
      <w:r>
        <w:rPr>
          <w:rFonts w:ascii="Times New Roman" w:hAnsi="Times New Roman"/>
          <w:b w:val="0"/>
          <w:i w:val="0"/>
          <w:color w:val="000000"/>
          <w:sz w:val="24"/>
        </w:rPr>
        <w:t xml:space="preserve"> п.1.1.  дополнен описанием </w:t>
      </w:r>
      <w:r>
        <w:rPr>
          <w:rFonts w:ascii="Times New Roman" w:hAnsi="Times New Roman"/>
          <w:b w:val="0"/>
          <w:i w:val="0"/>
          <w:color w:val="000000"/>
          <w:sz w:val="24"/>
        </w:rPr>
        <w:t xml:space="preserve"> и географией осуществления </w:t>
      </w:r>
      <w:r>
        <w:rPr>
          <w:rFonts w:ascii="Times New Roman" w:hAnsi="Times New Roman"/>
          <w:b w:val="0"/>
          <w:i w:val="0"/>
          <w:color w:val="000000"/>
          <w:sz w:val="24"/>
        </w:rPr>
        <w:t xml:space="preserve">финансово - хозяйственной деятельности эмитента - перенос информации </w:t>
      </w:r>
      <w:r>
        <w:rPr>
          <w:rFonts w:ascii="Times New Roman" w:hAnsi="Times New Roman"/>
          <w:b w:val="0"/>
          <w:i w:val="0"/>
          <w:color w:val="000000"/>
          <w:sz w:val="24"/>
        </w:rPr>
        <w:t>из п.1.2 и п.1.3.</w:t>
      </w:r>
      <w:r>
        <w:rPr>
          <w:rFonts w:ascii="Times New Roman" w:hAnsi="Times New Roman"/>
          <w:b w:val="0"/>
          <w:i w:val="0"/>
          <w:color w:val="000000"/>
          <w:sz w:val="24"/>
        </w:rPr>
        <w:t>, добавлен комментарий по</w:t>
      </w:r>
      <w:r>
        <w:rPr>
          <w:rFonts w:ascii="Times New Roman" w:hAnsi="Times New Roman"/>
          <w:b w:val="0"/>
          <w:i w:val="0"/>
          <w:color w:val="000000"/>
          <w:sz w:val="24"/>
        </w:rPr>
        <w:t xml:space="preserve">  о</w:t>
      </w:r>
      <w:r>
        <w:rPr>
          <w:rFonts w:ascii="Times New Roman" w:hAnsi="Times New Roman"/>
          <w:b w:val="0"/>
          <w:i w:val="0"/>
          <w:color w:val="000000"/>
          <w:sz w:val="24"/>
        </w:rPr>
        <w:t xml:space="preserve">граничениям, связанным с участием в уставном капитале  эмитента. </w:t>
      </w:r>
    </w:p>
    <w:p w14:paraId="4A000000">
      <w:pPr>
        <w:ind w:firstLine="284" w:left="0" w:right="171"/>
        <w:jc w:val="both"/>
        <w:rPr>
          <w:rFonts w:ascii="Times New Roman" w:hAnsi="Times New Roman"/>
          <w:b w:val="0"/>
          <w:i w:val="0"/>
          <w:color w:val="000000"/>
          <w:sz w:val="24"/>
        </w:rPr>
      </w:pPr>
      <w:r>
        <w:rPr>
          <w:rFonts w:ascii="Times New Roman" w:hAnsi="Times New Roman"/>
          <w:b w:val="0"/>
          <w:i w:val="0"/>
          <w:color w:val="F30000"/>
          <w:sz w:val="24"/>
        </w:rPr>
        <w:t xml:space="preserve">  </w:t>
      </w:r>
      <w:r>
        <w:rPr>
          <w:rFonts w:ascii="Times New Roman" w:hAnsi="Times New Roman"/>
          <w:b w:val="0"/>
          <w:i w:val="0"/>
          <w:color w:val="F30000"/>
          <w:sz w:val="24"/>
        </w:rPr>
        <w:t xml:space="preserve"> </w:t>
      </w:r>
      <w:r>
        <w:rPr>
          <w:rFonts w:ascii="Times New Roman" w:hAnsi="Times New Roman"/>
          <w:b w:val="0"/>
          <w:i w:val="0"/>
          <w:color w:val="000000"/>
          <w:sz w:val="24"/>
        </w:rPr>
        <w:t xml:space="preserve"> в   п.1.2. добавлены сведения о положении эмитента в отрасли , абзацы 1-3 перенесены в п.1.1 Отчета. </w:t>
      </w:r>
    </w:p>
    <w:p w14:paraId="4B000000">
      <w:pPr>
        <w:ind w:firstLine="567" w:left="0" w:right="171"/>
        <w:jc w:val="both"/>
        <w:rPr>
          <w:rFonts w:ascii="Times New Roman" w:hAnsi="Times New Roman"/>
          <w:b w:val="0"/>
          <w:i w:val="1"/>
          <w:color w:val="000000"/>
          <w:sz w:val="24"/>
        </w:rPr>
      </w:pPr>
      <w:r>
        <w:rPr>
          <w:rFonts w:ascii="Times New Roman" w:hAnsi="Times New Roman"/>
          <w:b w:val="0"/>
          <w:i w:val="0"/>
          <w:caps w:val="0"/>
          <w:color w:val="000000"/>
          <w:spacing w:val="0"/>
          <w:sz w:val="24"/>
        </w:rPr>
        <w:t>в п.1.3.  добавлен описательный анализ динамики изменений приведенных показателей операционной деятельности эмитента, абзац 1-2 перенесен в п.1.1 Отчета</w:t>
      </w:r>
      <w:r>
        <w:rPr>
          <w:rFonts w:ascii="Times New Roman" w:hAnsi="Times New Roman"/>
          <w:b w:val="0"/>
          <w:i w:val="0"/>
          <w:color w:val="000000"/>
          <w:sz w:val="24"/>
        </w:rPr>
        <w:t>.</w:t>
      </w:r>
      <w:r>
        <w:rPr>
          <w:rFonts w:ascii="Times New Roman" w:hAnsi="Times New Roman"/>
          <w:b w:val="0"/>
          <w:i w:val="0"/>
          <w:color w:val="F30000"/>
          <w:sz w:val="24"/>
        </w:rPr>
        <w:t xml:space="preserve"> </w:t>
      </w:r>
      <w:r>
        <w:rPr>
          <w:rFonts w:ascii="Times New Roman" w:hAnsi="Times New Roman"/>
          <w:b w:val="0"/>
          <w:i w:val="1"/>
          <w:color w:val="000000"/>
          <w:sz w:val="24"/>
        </w:rPr>
        <w:t>Оши</w:t>
      </w:r>
      <w:r>
        <w:rPr>
          <w:rFonts w:ascii="Times New Roman" w:hAnsi="Times New Roman"/>
          <w:b w:val="0"/>
          <w:i w:val="1"/>
          <w:color w:val="000000"/>
          <w:sz w:val="24"/>
        </w:rPr>
        <w:t>бка в распределении информации.</w:t>
      </w:r>
    </w:p>
    <w:p w14:paraId="4C000000">
      <w:pPr>
        <w:ind w:firstLine="567" w:left="0" w:right="171"/>
        <w:jc w:val="both"/>
        <w:rPr>
          <w:rFonts w:ascii="Times New Roman" w:hAnsi="Times New Roman"/>
          <w:b w:val="0"/>
          <w:i w:val="0"/>
          <w:color w:val="000000"/>
          <w:sz w:val="24"/>
        </w:rPr>
      </w:pPr>
      <w:r>
        <w:rPr>
          <w:rFonts w:ascii="Times New Roman" w:hAnsi="Times New Roman"/>
          <w:b w:val="0"/>
          <w:i w:val="0"/>
          <w:color w:val="000000"/>
          <w:sz w:val="24"/>
        </w:rPr>
        <w:t>п. 1.5, 1.6- откорректированы наименования пунктов. Техническая ошибка.</w:t>
      </w:r>
    </w:p>
    <w:p w14:paraId="4D000000">
      <w:pPr>
        <w:ind w:firstLine="0" w:left="283" w:right="171"/>
        <w:jc w:val="both"/>
        <w:rPr>
          <w:rFonts w:ascii="Times New Roman" w:hAnsi="Times New Roman"/>
          <w:b w:val="1"/>
          <w:i w:val="0"/>
          <w:color w:val="000000"/>
          <w:sz w:val="24"/>
        </w:rPr>
      </w:pPr>
      <w:r>
        <w:rPr>
          <w:rFonts w:ascii="Times New Roman" w:hAnsi="Times New Roman"/>
          <w:b w:val="0"/>
          <w:i w:val="0"/>
          <w:color w:val="000000"/>
          <w:sz w:val="24"/>
        </w:rPr>
        <w:t xml:space="preserve">   3. </w:t>
      </w:r>
      <w:r>
        <w:rPr>
          <w:rFonts w:ascii="Times New Roman" w:hAnsi="Times New Roman"/>
          <w:b w:val="1"/>
          <w:i w:val="0"/>
          <w:color w:val="000000"/>
          <w:sz w:val="24"/>
        </w:rPr>
        <w:t>Раздел 2 :</w:t>
      </w:r>
    </w:p>
    <w:p w14:paraId="4E000000">
      <w:pPr>
        <w:ind w:firstLine="567" w:left="0" w:right="171"/>
        <w:jc w:val="both"/>
        <w:rPr>
          <w:rFonts w:ascii="Times New Roman" w:hAnsi="Times New Roman"/>
          <w:b w:val="0"/>
          <w:i w:val="0"/>
          <w:color w:val="000000"/>
          <w:sz w:val="24"/>
        </w:rPr>
      </w:pPr>
      <w:r>
        <w:rPr>
          <w:rFonts w:ascii="Times New Roman" w:hAnsi="Times New Roman"/>
          <w:b w:val="0"/>
          <w:i w:val="0"/>
          <w:color w:val="000000"/>
          <w:sz w:val="24"/>
        </w:rPr>
        <w:t xml:space="preserve"> </w:t>
      </w:r>
      <w:r>
        <w:rPr>
          <w:rFonts w:ascii="Times New Roman" w:hAnsi="Times New Roman"/>
          <w:b w:val="0"/>
          <w:i w:val="0"/>
          <w:color w:val="000000"/>
          <w:sz w:val="24"/>
        </w:rPr>
        <w:t>в п.2.4. добавлены сведения о квалификации членов ревизионной комиссии, ответственного за  внутренний аудит, о  доли их участия в уставном капитале эмитент</w:t>
      </w:r>
      <w:r>
        <w:rPr>
          <w:rFonts w:ascii="Times New Roman" w:hAnsi="Times New Roman"/>
          <w:b w:val="0"/>
          <w:i w:val="0"/>
          <w:color w:val="000000"/>
          <w:sz w:val="24"/>
        </w:rPr>
        <w:t xml:space="preserve">а </w:t>
      </w:r>
      <w:r>
        <w:rPr>
          <w:rFonts w:ascii="Times New Roman" w:hAnsi="Times New Roman"/>
          <w:b w:val="0"/>
          <w:i w:val="0"/>
          <w:color w:val="000000"/>
          <w:sz w:val="24"/>
        </w:rPr>
        <w:t>и подконтрольных эмитенту организациях;</w:t>
      </w:r>
    </w:p>
    <w:p w14:paraId="4F000000">
      <w:pPr>
        <w:ind w:firstLine="283" w:left="0" w:right="171"/>
        <w:jc w:val="both"/>
        <w:rPr>
          <w:rFonts w:ascii="Times New Roman" w:hAnsi="Times New Roman"/>
          <w:b w:val="1"/>
          <w:i w:val="0"/>
          <w:color w:val="000000"/>
          <w:sz w:val="24"/>
        </w:rPr>
      </w:pPr>
      <w:r>
        <w:rPr>
          <w:rFonts w:ascii="Times New Roman" w:hAnsi="Times New Roman"/>
          <w:b w:val="0"/>
          <w:i w:val="0"/>
          <w:color w:val="000000"/>
          <w:sz w:val="24"/>
        </w:rPr>
        <w:t xml:space="preserve">  4. </w:t>
      </w:r>
      <w:r>
        <w:rPr>
          <w:rFonts w:ascii="Times New Roman" w:hAnsi="Times New Roman"/>
          <w:b w:val="1"/>
          <w:i w:val="0"/>
          <w:color w:val="000000"/>
          <w:sz w:val="24"/>
        </w:rPr>
        <w:t>Раздел 3 :</w:t>
      </w:r>
    </w:p>
    <w:p w14:paraId="50000000">
      <w:pPr>
        <w:ind w:firstLine="425" w:left="0" w:right="171"/>
        <w:jc w:val="both"/>
        <w:rPr>
          <w:rFonts w:ascii="Times New Roman" w:hAnsi="Times New Roman"/>
          <w:b w:val="0"/>
          <w:i w:val="0"/>
          <w:color w:val="000000"/>
          <w:sz w:val="24"/>
        </w:rPr>
      </w:pPr>
      <w:r>
        <w:rPr>
          <w:rFonts w:ascii="Times New Roman" w:hAnsi="Times New Roman"/>
          <w:b w:val="0"/>
          <w:i w:val="0"/>
          <w:color w:val="000000"/>
          <w:sz w:val="24"/>
        </w:rPr>
        <w:t xml:space="preserve">В п.3.1. добавлен комментарий о счете, открытом в национальном депозитарии и  об отсутвиии акций, приобретенных и (или) выкупленных эмитентом на 30.06.2024 г. </w:t>
      </w:r>
    </w:p>
    <w:p w14:paraId="51000000">
      <w:pPr>
        <w:ind w:firstLine="567" w:left="0" w:right="171"/>
        <w:jc w:val="both"/>
        <w:rPr>
          <w:rFonts w:ascii="Times New Roman" w:hAnsi="Times New Roman"/>
          <w:b w:val="0"/>
          <w:i w:val="1"/>
          <w:color w:val="000000"/>
          <w:sz w:val="24"/>
        </w:rPr>
      </w:pPr>
      <w:r>
        <w:rPr>
          <w:rFonts w:ascii="Times New Roman" w:hAnsi="Times New Roman"/>
          <w:b w:val="0"/>
          <w:i w:val="0"/>
          <w:color w:val="000000"/>
          <w:sz w:val="24"/>
        </w:rPr>
        <w:t>в</w:t>
      </w:r>
      <w:r>
        <w:rPr>
          <w:rFonts w:ascii="Times New Roman" w:hAnsi="Times New Roman"/>
          <w:b w:val="0"/>
          <w:i w:val="0"/>
          <w:color w:val="000000"/>
          <w:sz w:val="24"/>
        </w:rPr>
        <w:t xml:space="preserve">   п.3.2.  и</w:t>
      </w:r>
      <w:r>
        <w:rPr>
          <w:rFonts w:ascii="Times New Roman" w:hAnsi="Times New Roman"/>
          <w:b w:val="0"/>
          <w:i w:val="0"/>
          <w:color w:val="000000"/>
          <w:sz w:val="24"/>
        </w:rPr>
        <w:t>нформация  об акционерах эмитентов, владеющих не менее чем 5 % его уставного капитала, откорректирована.</w:t>
      </w:r>
      <w:r>
        <w:rPr>
          <w:rFonts w:ascii="Times New Roman" w:hAnsi="Times New Roman"/>
          <w:b w:val="0"/>
          <w:i w:val="1"/>
          <w:color w:val="000000"/>
          <w:sz w:val="24"/>
        </w:rPr>
        <w:t xml:space="preserve"> </w:t>
      </w:r>
      <w:r>
        <w:rPr>
          <w:rFonts w:ascii="Times New Roman" w:hAnsi="Times New Roman"/>
          <w:b w:val="0"/>
          <w:i w:val="1"/>
          <w:color w:val="000000"/>
          <w:sz w:val="24"/>
        </w:rPr>
        <w:t>О</w:t>
      </w:r>
      <w:r>
        <w:rPr>
          <w:rFonts w:ascii="Times New Roman" w:hAnsi="Times New Roman"/>
          <w:b w:val="0"/>
          <w:i w:val="1"/>
          <w:color w:val="000000"/>
          <w:sz w:val="24"/>
        </w:rPr>
        <w:t>шибка из-за неверной интерпритации запрашиваемой информации.</w:t>
      </w:r>
    </w:p>
    <w:p w14:paraId="52000000">
      <w:pPr>
        <w:ind w:firstLine="567" w:left="0" w:right="171"/>
        <w:jc w:val="both"/>
        <w:rPr>
          <w:rFonts w:ascii="Times New Roman" w:hAnsi="Times New Roman"/>
          <w:b w:val="0"/>
          <w:i w:val="0"/>
          <w:color w:val="000000"/>
          <w:sz w:val="24"/>
        </w:rPr>
      </w:pPr>
      <w:r>
        <w:rPr>
          <w:rFonts w:ascii="Times New Roman" w:hAnsi="Times New Roman"/>
          <w:b w:val="0"/>
          <w:i w:val="0"/>
          <w:color w:val="000000"/>
          <w:sz w:val="24"/>
        </w:rPr>
        <w:t>в п.3.3. внесены сведения об отсутствии доли уставного капитала эмитента в государственной собственности.</w:t>
      </w:r>
    </w:p>
    <w:p w14:paraId="53000000">
      <w:pPr>
        <w:ind w:hanging="142" w:left="709" w:right="171"/>
        <w:jc w:val="both"/>
        <w:rPr>
          <w:rFonts w:ascii="Times New Roman" w:hAnsi="Times New Roman"/>
          <w:b w:val="0"/>
          <w:i w:val="0"/>
          <w:color w:val="000000"/>
          <w:sz w:val="24"/>
        </w:rPr>
      </w:pPr>
    </w:p>
    <w:p w14:paraId="54000000">
      <w:pPr>
        <w:ind w:firstLine="567" w:left="0"/>
        <w:jc w:val="both"/>
        <w:outlineLvl w:val="8"/>
        <w:rPr>
          <w:rFonts w:ascii="Times New Roman" w:hAnsi="Times New Roman"/>
          <w:b w:val="0"/>
          <w:sz w:val="24"/>
        </w:rPr>
      </w:pPr>
      <w:r>
        <w:rPr>
          <w:rFonts w:ascii="Times New Roman" w:hAnsi="Times New Roman"/>
          <w:b w:val="0"/>
          <w:sz w:val="24"/>
        </w:rPr>
        <w:t>В соответствии с абзацем 1 пункта 1.16 и п.12.4 Положения № 714-П  полный текст документа, содержащего измененную (скорректированную)  информацию опубликован на странице в сети Интернет :</w:t>
      </w:r>
    </w:p>
    <w:tbl>
      <w:tblPr>
        <w:tblStyle w:val="Style_2"/>
        <w:tblW w:type="auto" w:w="0"/>
        <w:tblInd w:type="dxa" w:w="0"/>
        <w:tblLayout w:type="fixed"/>
        <w:tblCellMar>
          <w:top w:type="dxa" w:w="0"/>
          <w:left w:type="dxa" w:w="28"/>
          <w:bottom w:type="dxa" w:w="0"/>
          <w:right w:type="dxa" w:w="28"/>
        </w:tblCellMar>
      </w:tblPr>
      <w:tblGrid>
        <w:gridCol w:w="7881"/>
      </w:tblGrid>
      <w:tr>
        <w:tc>
          <w:tcPr>
            <w:tcW w:type="dxa" w:w="7881"/>
            <w:tcBorders>
              <w:top w:color="000000" w:sz="4" w:val="nil"/>
              <w:left w:color="000000" w:sz="4" w:val="nil"/>
              <w:bottom w:color="000000" w:sz="4" w:val="nil"/>
              <w:right w:color="000000" w:sz="4" w:val="nil"/>
              <w:tl2br w:color="000000" w:sz="4" w:val="nil"/>
              <w:tr2bl w:color="000000"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55000000">
            <w:pPr>
              <w:ind/>
              <w:jc w:val="left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>disclosure.1prime.ru/Portal/Default.aspx?emId=4714000211</w:t>
            </w:r>
          </w:p>
        </w:tc>
      </w:tr>
    </w:tbl>
    <w:p w14:paraId="56000000">
      <w:pPr>
        <w:pStyle w:val="Style_4"/>
        <w:rPr>
          <w:rFonts w:ascii="Times New Roman" w:hAnsi="Times New Roman"/>
          <w:sz w:val="24"/>
        </w:rPr>
      </w:pPr>
    </w:p>
    <w:p w14:paraId="57000000">
      <w:pPr>
        <w:pStyle w:val="Style_4"/>
        <w:rPr>
          <w:rFonts w:ascii="Times New Roman" w:hAnsi="Times New Roman"/>
          <w:sz w:val="24"/>
        </w:rPr>
      </w:pPr>
    </w:p>
    <w:p w14:paraId="58000000">
      <w:pPr>
        <w:pStyle w:val="Style_4"/>
        <w:rPr>
          <w:rFonts w:ascii="Times New Roman" w:hAnsi="Times New Roman"/>
          <w:sz w:val="24"/>
        </w:rPr>
      </w:pPr>
      <w:r>
        <w:rPr>
          <w:rFonts w:ascii="Times New Roman" w:hAnsi="Times New Roman"/>
          <w:b w:val="0"/>
          <w:sz w:val="24"/>
        </w:rPr>
        <w:t>Полный текст отчета  читать в следующей редакции:</w:t>
      </w:r>
    </w:p>
    <w:p w14:paraId="59000000">
      <w:pPr>
        <w:pStyle w:val="Style_4"/>
        <w:rPr>
          <w:rFonts w:ascii="Times New Roman" w:hAnsi="Times New Roman"/>
        </w:rPr>
      </w:pPr>
    </w:p>
    <w:p w14:paraId="5A000000">
      <w:pPr>
        <w:pStyle w:val="Style_4"/>
      </w:pPr>
    </w:p>
    <w:p w14:paraId="5B000000">
      <w:pPr>
        <w:pStyle w:val="Style_4"/>
      </w:pPr>
    </w:p>
    <w:p w14:paraId="5C000000">
      <w:pPr>
        <w:pStyle w:val="Style_4"/>
      </w:pPr>
    </w:p>
    <w:p w14:paraId="5D000000">
      <w:pPr>
        <w:pStyle w:val="Style_4"/>
      </w:pPr>
    </w:p>
    <w:p w14:paraId="5E000000">
      <w:pPr>
        <w:pStyle w:val="Style_4"/>
      </w:pPr>
    </w:p>
    <w:p w14:paraId="5F000000">
      <w:pPr>
        <w:pStyle w:val="Style_5"/>
      </w:pPr>
      <w:r>
        <w:t>Оглавление</w:t>
      </w:r>
    </w:p>
    <w:p w14:paraId="60000000">
      <w:r>
        <w:t>Введение............................................................................................................................................5</w:t>
      </w:r>
    </w:p>
    <w:p>
      <w:pPr>
        <w:pStyle w:val="Style_6"/>
        <w:tabs>
          <w:tab w:leader="dot" w:pos="9638" w:val="right"/>
        </w:tabs>
        <w:ind/>
      </w:pPr>
      <w:r>
        <w:fldChar w:fldCharType="begin"/>
      </w:r>
      <w:r>
        <w:instrText xml:space="preserve">TOC \h \z \u \o "1-3"</w:instrText>
      </w:r>
      <w:r>
        <w:fldChar w:fldCharType="separate"/>
      </w:r>
      <w:r>
        <w:fldChar w:fldCharType="begin"/>
      </w:r>
      <w:r>
        <w:instrText>HYPERLINK \l "__RefHeading___1"</w:instrText>
      </w:r>
      <w:r>
        <w:fldChar w:fldCharType="separate"/>
      </w:r>
      <w:r>
        <w:t>Раздел I. Управленческий отчет эмитента</w:t>
      </w:r>
      <w:r>
        <w:tab/>
      </w:r>
      <w:r>
        <w:fldChar w:fldCharType="begin"/>
      </w:r>
      <w:r>
        <w:instrText>PAGEREF __RefHeading___1 \h</w:instrText>
      </w:r>
      <w:r>
        <w:fldChar w:fldCharType="separate"/>
      </w:r>
      <w:r>
        <w:t>6</w:t>
      </w:r>
      <w:r>
        <w:fldChar w:fldCharType="end"/>
      </w:r>
      <w:r>
        <w:fldChar w:fldCharType="end"/>
      </w:r>
    </w:p>
    <w:p w14:paraId="62000000">
      <w:pPr>
        <w:pStyle w:val="Style_7"/>
        <w:tabs>
          <w:tab w:leader="dot" w:pos="9638" w:val="right"/>
        </w:tabs>
        <w:ind/>
      </w:pPr>
      <w:r>
        <w:fldChar w:fldCharType="begin"/>
      </w:r>
      <w:r>
        <w:instrText>HYPERLINK \l "__RefHeading___2"</w:instrText>
      </w:r>
      <w:r>
        <w:fldChar w:fldCharType="separate"/>
      </w:r>
      <w:r>
        <w:t>1.1. Общие сведения об эмитенте и его деятельности</w:t>
      </w:r>
      <w:r>
        <w:tab/>
      </w:r>
      <w:r>
        <w:fldChar w:fldCharType="begin"/>
      </w:r>
      <w:r>
        <w:instrText>PAGEREF __RefHeading___2 \h</w:instrText>
      </w:r>
      <w:r>
        <w:fldChar w:fldCharType="separate"/>
      </w:r>
      <w:r>
        <w:t>6</w:t>
      </w:r>
      <w:r>
        <w:fldChar w:fldCharType="end"/>
      </w:r>
      <w:r>
        <w:fldChar w:fldCharType="end"/>
      </w:r>
    </w:p>
    <w:p w14:paraId="63000000">
      <w:pPr>
        <w:pStyle w:val="Style_7"/>
        <w:tabs>
          <w:tab w:leader="dot" w:pos="9638" w:val="right"/>
        </w:tabs>
        <w:ind/>
      </w:pPr>
      <w:r>
        <w:fldChar w:fldCharType="begin"/>
      </w:r>
      <w:r>
        <w:instrText>HYPERLINK \l "__RefHeading___3"</w:instrText>
      </w:r>
      <w:r>
        <w:fldChar w:fldCharType="separate"/>
      </w:r>
      <w:r>
        <w:t>1.2. Сведения о положении эмитента в отрасли</w:t>
      </w:r>
      <w:r>
        <w:tab/>
      </w:r>
      <w:r>
        <w:fldChar w:fldCharType="begin"/>
      </w:r>
      <w:r>
        <w:instrText>PAGEREF __RefHeading___3 \h</w:instrText>
      </w:r>
      <w:r>
        <w:fldChar w:fldCharType="separate"/>
      </w:r>
      <w:r>
        <w:t>6</w:t>
      </w:r>
      <w:r>
        <w:fldChar w:fldCharType="end"/>
      </w:r>
      <w:r>
        <w:fldChar w:fldCharType="end"/>
      </w:r>
    </w:p>
    <w:p w14:paraId="64000000">
      <w:pPr>
        <w:pStyle w:val="Style_7"/>
        <w:tabs>
          <w:tab w:leader="dot" w:pos="9638" w:val="right"/>
        </w:tabs>
        <w:ind/>
      </w:pPr>
      <w:r>
        <w:fldChar w:fldCharType="begin"/>
      </w:r>
      <w:r>
        <w:instrText>HYPERLINK \l "__RefHeading___4"</w:instrText>
      </w:r>
      <w:r>
        <w:fldChar w:fldCharType="separate"/>
      </w:r>
      <w:r>
        <w:t>1.3. Основные операционные показатели, характеризующие деятельность эмитента.</w:t>
      </w:r>
      <w:r>
        <w:tab/>
      </w:r>
      <w:r>
        <w:fldChar w:fldCharType="begin"/>
      </w:r>
      <w:r>
        <w:instrText>PAGEREF __RefHeading___4 \h</w:instrText>
      </w:r>
      <w:r>
        <w:fldChar w:fldCharType="separate"/>
      </w:r>
      <w:r>
        <w:t>9</w:t>
      </w:r>
      <w:r>
        <w:fldChar w:fldCharType="end"/>
      </w:r>
      <w:r>
        <w:fldChar w:fldCharType="end"/>
      </w:r>
    </w:p>
    <w:p w14:paraId="65000000">
      <w:pPr>
        <w:pStyle w:val="Style_7"/>
        <w:tabs>
          <w:tab w:leader="dot" w:pos="9638" w:val="right"/>
        </w:tabs>
        <w:ind/>
      </w:pPr>
      <w:r>
        <w:fldChar w:fldCharType="begin"/>
      </w:r>
      <w:r>
        <w:instrText>HYPERLINK \l "__RefHeading___5"</w:instrText>
      </w:r>
      <w:r>
        <w:fldChar w:fldCharType="separate"/>
      </w:r>
      <w:r>
        <w:t>1.4. Основные финансовые показатели ПАО «СУС»</w:t>
      </w:r>
      <w:r>
        <w:tab/>
      </w:r>
      <w:r>
        <w:fldChar w:fldCharType="begin"/>
      </w:r>
      <w:r>
        <w:instrText>PAGEREF __RefHeading___5 \h</w:instrText>
      </w:r>
      <w:r>
        <w:fldChar w:fldCharType="separate"/>
      </w:r>
      <w:r>
        <w:t>10</w:t>
      </w:r>
      <w:r>
        <w:fldChar w:fldCharType="end"/>
      </w:r>
      <w:r>
        <w:fldChar w:fldCharType="end"/>
      </w:r>
    </w:p>
    <w:p w14:paraId="66000000">
      <w:pPr>
        <w:pStyle w:val="Style_7"/>
        <w:tabs>
          <w:tab w:leader="dot" w:pos="9638" w:val="right"/>
        </w:tabs>
        <w:ind/>
      </w:pPr>
      <w:r>
        <w:fldChar w:fldCharType="begin"/>
      </w:r>
      <w:r>
        <w:instrText>HYPERLINK \l "__RefHeading___6"</w:instrText>
      </w:r>
      <w:r>
        <w:fldChar w:fldCharType="separate"/>
      </w:r>
      <w:r>
        <w:t>1.5. Сведения об основных поставщиках эмитента</w:t>
      </w:r>
      <w:r>
        <w:tab/>
      </w:r>
      <w:r>
        <w:fldChar w:fldCharType="begin"/>
      </w:r>
      <w:r>
        <w:instrText>PAGEREF __RefHeading___6 \h</w:instrText>
      </w:r>
      <w:r>
        <w:fldChar w:fldCharType="separate"/>
      </w:r>
      <w:r>
        <w:t>10</w:t>
      </w:r>
      <w:r>
        <w:fldChar w:fldCharType="end"/>
      </w:r>
      <w:r>
        <w:fldChar w:fldCharType="end"/>
      </w:r>
    </w:p>
    <w:p w14:paraId="67000000">
      <w:pPr>
        <w:pStyle w:val="Style_7"/>
        <w:tabs>
          <w:tab w:leader="dot" w:pos="9638" w:val="right"/>
        </w:tabs>
        <w:ind/>
      </w:pPr>
      <w:r>
        <w:fldChar w:fldCharType="begin"/>
      </w:r>
      <w:r>
        <w:instrText>HYPERLINK \l "__RefHeading___7"</w:instrText>
      </w:r>
      <w:r>
        <w:fldChar w:fldCharType="separate"/>
      </w:r>
      <w:r>
        <w:t>1.6. Сведения об основных дебиторах эмитента</w:t>
      </w:r>
      <w:r>
        <w:tab/>
      </w:r>
      <w:r>
        <w:fldChar w:fldCharType="begin"/>
      </w:r>
      <w:r>
        <w:instrText>PAGEREF __RefHeading___7 \h</w:instrText>
      </w:r>
      <w:r>
        <w:fldChar w:fldCharType="separate"/>
      </w:r>
      <w:r>
        <w:t>11</w:t>
      </w:r>
      <w:r>
        <w:fldChar w:fldCharType="end"/>
      </w:r>
      <w:r>
        <w:fldChar w:fldCharType="end"/>
      </w:r>
    </w:p>
    <w:p w14:paraId="68000000">
      <w:pPr>
        <w:pStyle w:val="Style_7"/>
        <w:tabs>
          <w:tab w:leader="dot" w:pos="9638" w:val="right"/>
        </w:tabs>
        <w:ind/>
      </w:pPr>
      <w:r>
        <w:fldChar w:fldCharType="begin"/>
      </w:r>
      <w:r>
        <w:instrText>HYPERLINK \l "__RefHeading___8"</w:instrText>
      </w:r>
      <w:r>
        <w:fldChar w:fldCharType="separate"/>
      </w:r>
      <w:r>
        <w:t>1.7. Сведения об обязательствах эмитента</w:t>
      </w:r>
      <w:r>
        <w:tab/>
      </w:r>
      <w:r>
        <w:fldChar w:fldCharType="begin"/>
      </w:r>
      <w:r>
        <w:instrText>PAGEREF __RefHeading___8 \h</w:instrText>
      </w:r>
      <w:r>
        <w:fldChar w:fldCharType="separate"/>
      </w:r>
      <w:r>
        <w:t>11</w:t>
      </w:r>
      <w:r>
        <w:fldChar w:fldCharType="end"/>
      </w:r>
      <w:r>
        <w:fldChar w:fldCharType="end"/>
      </w:r>
    </w:p>
    <w:p w14:paraId="69000000">
      <w:pPr>
        <w:pStyle w:val="Style_7"/>
        <w:tabs>
          <w:tab w:leader="dot" w:pos="9638" w:val="right"/>
        </w:tabs>
        <w:ind/>
      </w:pPr>
      <w:r>
        <w:fldChar w:fldCharType="begin"/>
      </w:r>
      <w:r>
        <w:instrText>HYPERLINK \l "__RefHeading___9"</w:instrText>
      </w:r>
      <w:r>
        <w:fldChar w:fldCharType="separate"/>
      </w:r>
      <w:r>
        <w:t>1.8. Сведения о перспективах развития эмитента</w:t>
      </w:r>
      <w:r>
        <w:tab/>
      </w:r>
      <w:r>
        <w:fldChar w:fldCharType="begin"/>
      </w:r>
      <w:r>
        <w:instrText>PAGEREF __RefHeading___9 \h</w:instrText>
      </w:r>
      <w:r>
        <w:fldChar w:fldCharType="separate"/>
      </w:r>
      <w:r>
        <w:t>11</w:t>
      </w:r>
      <w:r>
        <w:fldChar w:fldCharType="end"/>
      </w:r>
      <w:r>
        <w:fldChar w:fldCharType="end"/>
      </w:r>
    </w:p>
    <w:p w14:paraId="6A000000">
      <w:pPr>
        <w:pStyle w:val="Style_7"/>
        <w:tabs>
          <w:tab w:leader="dot" w:pos="9638" w:val="right"/>
        </w:tabs>
        <w:ind/>
      </w:pPr>
      <w:r>
        <w:fldChar w:fldCharType="begin"/>
      </w:r>
      <w:r>
        <w:instrText>HYPERLINK \l "__RefHeading___10"</w:instrText>
      </w:r>
      <w:r>
        <w:fldChar w:fldCharType="separate"/>
      </w:r>
      <w:r>
        <w:t>1.9. Сведения о рисках, связанных с деятельностью эмитента</w:t>
      </w:r>
      <w:r>
        <w:tab/>
      </w:r>
      <w:r>
        <w:fldChar w:fldCharType="begin"/>
      </w:r>
      <w:r>
        <w:instrText>PAGEREF __RefHeading___10 \h</w:instrText>
      </w:r>
      <w:r>
        <w:fldChar w:fldCharType="separate"/>
      </w:r>
      <w:r>
        <w:t>11</w:t>
      </w:r>
      <w:r>
        <w:fldChar w:fldCharType="end"/>
      </w:r>
      <w:r>
        <w:fldChar w:fldCharType="end"/>
      </w:r>
    </w:p>
    <w:p w14:paraId="6B000000">
      <w:pPr>
        <w:pStyle w:val="Style_6"/>
        <w:tabs>
          <w:tab w:leader="dot" w:pos="9638" w:val="right"/>
        </w:tabs>
        <w:ind/>
      </w:pPr>
      <w:r>
        <w:fldChar w:fldCharType="begin"/>
      </w:r>
      <w:r>
        <w:instrText>HYPERLINK \l "__RefHeading___11"</w:instrText>
      </w:r>
      <w:r>
        <w:fldChar w:fldCharType="separate"/>
      </w:r>
      <w:r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 - хозяйственной деятельностью и внутреннего контроля, внутреннего аудита, а также сведения о работниках эмитента</w:t>
      </w:r>
      <w:r>
        <w:tab/>
      </w:r>
      <w:r>
        <w:fldChar w:fldCharType="begin"/>
      </w:r>
      <w:r>
        <w:instrText>PAGEREF __RefHeading___11 \h</w:instrText>
      </w:r>
      <w:r>
        <w:fldChar w:fldCharType="separate"/>
      </w:r>
      <w:r>
        <w:t>11</w:t>
      </w:r>
      <w:r>
        <w:fldChar w:fldCharType="end"/>
      </w:r>
      <w:r>
        <w:fldChar w:fldCharType="end"/>
      </w:r>
    </w:p>
    <w:p w14:paraId="6C000000">
      <w:pPr>
        <w:pStyle w:val="Style_7"/>
        <w:tabs>
          <w:tab w:leader="dot" w:pos="9638" w:val="right"/>
        </w:tabs>
        <w:ind/>
      </w:pPr>
      <w:r>
        <w:fldChar w:fldCharType="begin"/>
      </w:r>
      <w:r>
        <w:instrText>HYPERLINK \l "__RefHeading___12"</w:instrText>
      </w:r>
      <w:r>
        <w:fldChar w:fldCharType="separate"/>
      </w:r>
      <w:r>
        <w:t>2.1.    Информация о лицах, входящих в состав органов управления эмитента</w:t>
      </w:r>
      <w:r>
        <w:tab/>
      </w:r>
      <w:r>
        <w:fldChar w:fldCharType="begin"/>
      </w:r>
      <w:r>
        <w:instrText>PAGEREF __RefHeading___12 \h</w:instrText>
      </w:r>
      <w:r>
        <w:fldChar w:fldCharType="separate"/>
      </w:r>
      <w:r>
        <w:t>11</w:t>
      </w:r>
      <w:r>
        <w:fldChar w:fldCharType="end"/>
      </w:r>
      <w:r>
        <w:fldChar w:fldCharType="end"/>
      </w:r>
    </w:p>
    <w:p w14:paraId="6D000000">
      <w:pPr>
        <w:pStyle w:val="Style_7"/>
        <w:tabs>
          <w:tab w:leader="dot" w:pos="9638" w:val="right"/>
        </w:tabs>
        <w:ind/>
      </w:pPr>
      <w:r>
        <w:fldChar w:fldCharType="begin"/>
      </w:r>
      <w:r>
        <w:instrText>HYPERLINK \l "__RefHeading___13"</w:instrText>
      </w:r>
      <w:r>
        <w:fldChar w:fldCharType="separate"/>
      </w:r>
      <w:r>
        <w:t>2.2.   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  <w:r>
        <w:tab/>
      </w:r>
      <w:r>
        <w:fldChar w:fldCharType="begin"/>
      </w:r>
      <w:r>
        <w:instrText>PAGEREF __RefHeading___13 \h</w:instrText>
      </w:r>
      <w:r>
        <w:fldChar w:fldCharType="separate"/>
      </w:r>
      <w:r>
        <w:t>11</w:t>
      </w:r>
      <w:r>
        <w:fldChar w:fldCharType="end"/>
      </w:r>
      <w:r>
        <w:fldChar w:fldCharType="end"/>
      </w:r>
    </w:p>
    <w:p w14:paraId="6E000000">
      <w:pPr>
        <w:pStyle w:val="Style_7"/>
        <w:tabs>
          <w:tab w:leader="dot" w:pos="9638" w:val="right"/>
        </w:tabs>
        <w:ind/>
      </w:pPr>
      <w:r>
        <w:fldChar w:fldCharType="begin"/>
      </w:r>
      <w:r>
        <w:instrText>HYPERLINK \l "__RefHeading___14"</w:instrText>
      </w:r>
      <w:r>
        <w:fldChar w:fldCharType="separate"/>
      </w:r>
      <w:r>
        <w:t>2.3.    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  <w:r>
        <w:tab/>
      </w:r>
      <w:r>
        <w:fldChar w:fldCharType="begin"/>
      </w:r>
      <w:r>
        <w:instrText>PAGEREF __RefHeading___14 \h</w:instrText>
      </w:r>
      <w:r>
        <w:fldChar w:fldCharType="separate"/>
      </w:r>
      <w:r>
        <w:t>11</w:t>
      </w:r>
      <w:r>
        <w:fldChar w:fldCharType="end"/>
      </w:r>
      <w:r>
        <w:fldChar w:fldCharType="end"/>
      </w:r>
    </w:p>
    <w:p w14:paraId="6F000000">
      <w:pPr>
        <w:pStyle w:val="Style_7"/>
        <w:tabs>
          <w:tab w:leader="dot" w:pos="9638" w:val="right"/>
        </w:tabs>
        <w:ind/>
      </w:pPr>
      <w:r>
        <w:fldChar w:fldCharType="begin"/>
      </w:r>
      <w:r>
        <w:instrText>HYPERLINK \l "__RefHeading___15"</w:instrText>
      </w:r>
      <w:r>
        <w:fldChar w:fldCharType="separate"/>
      </w:r>
      <w:r>
        <w:t>2.4.    Информация о лицах, ответственных в эмитенте за организацию и осуществление управления рисками, контроля за финансово - хозяйственной деятельностью и внутреннего контроля, внутреннего аудита</w:t>
      </w:r>
      <w:r>
        <w:tab/>
      </w:r>
      <w:r>
        <w:fldChar w:fldCharType="begin"/>
      </w:r>
      <w:r>
        <w:instrText>PAGEREF __RefHeading___15 \h</w:instrText>
      </w:r>
      <w:r>
        <w:fldChar w:fldCharType="separate"/>
      </w:r>
      <w:r>
        <w:t>12</w:t>
      </w:r>
      <w:r>
        <w:fldChar w:fldCharType="end"/>
      </w:r>
      <w:r>
        <w:fldChar w:fldCharType="end"/>
      </w:r>
    </w:p>
    <w:p w14:paraId="70000000">
      <w:pPr>
        <w:pStyle w:val="Style_6"/>
        <w:tabs>
          <w:tab w:leader="dot" w:pos="9638" w:val="right"/>
        </w:tabs>
        <w:ind/>
      </w:pPr>
      <w:r>
        <w:fldChar w:fldCharType="begin"/>
      </w:r>
      <w:r>
        <w:instrText>HYPERLINK \l "__RefHeading___16"</w:instrText>
      </w:r>
      <w:r>
        <w:fldChar w:fldCharType="separate"/>
      </w:r>
      <w: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  <w:r>
        <w:tab/>
      </w:r>
      <w:r>
        <w:fldChar w:fldCharType="begin"/>
      </w:r>
      <w:r>
        <w:instrText>PAGEREF __RefHeading___16 \h</w:instrText>
      </w:r>
      <w:r>
        <w:fldChar w:fldCharType="separate"/>
      </w:r>
      <w:r>
        <w:t>14</w:t>
      </w:r>
      <w:r>
        <w:fldChar w:fldCharType="end"/>
      </w:r>
      <w:r>
        <w:fldChar w:fldCharType="end"/>
      </w:r>
    </w:p>
    <w:p w14:paraId="71000000">
      <w:pPr>
        <w:pStyle w:val="Style_7"/>
        <w:tabs>
          <w:tab w:leader="dot" w:pos="9638" w:val="right"/>
        </w:tabs>
        <w:ind/>
      </w:pPr>
      <w:r>
        <w:fldChar w:fldCharType="begin"/>
      </w:r>
      <w:r>
        <w:instrText>HYPERLINK \l "__RefHeading___17"</w:instrText>
      </w:r>
      <w:r>
        <w:fldChar w:fldCharType="separate"/>
      </w:r>
      <w:r>
        <w:t>3.1.    Сведения об общем количестве акционеров эмитента</w:t>
      </w:r>
      <w:r>
        <w:tab/>
      </w:r>
      <w:r>
        <w:fldChar w:fldCharType="begin"/>
      </w:r>
      <w:r>
        <w:instrText>PAGEREF __RefHeading___17 \h</w:instrText>
      </w:r>
      <w:r>
        <w:fldChar w:fldCharType="separate"/>
      </w:r>
      <w:r>
        <w:t>14</w:t>
      </w:r>
      <w:r>
        <w:fldChar w:fldCharType="end"/>
      </w:r>
      <w:r>
        <w:fldChar w:fldCharType="end"/>
      </w:r>
    </w:p>
    <w:p w14:paraId="72000000">
      <w:pPr>
        <w:pStyle w:val="Style_7"/>
        <w:tabs>
          <w:tab w:leader="dot" w:pos="9638" w:val="right"/>
        </w:tabs>
        <w:ind/>
      </w:pPr>
      <w:r>
        <w:fldChar w:fldCharType="begin"/>
      </w:r>
      <w:r>
        <w:instrText>HYPERLINK \l "__RefHeading___18"</w:instrText>
      </w:r>
      <w:r>
        <w:fldChar w:fldCharType="separate"/>
      </w:r>
      <w:r>
        <w:t>3.2.    Сведения об акционерах эмитента или лицах, имеющих право распоряжаться голосами, приходящимися на голосующие акции, составляющие уставный капитал эмитента</w:t>
      </w:r>
      <w:r>
        <w:tab/>
      </w:r>
      <w:r>
        <w:fldChar w:fldCharType="begin"/>
      </w:r>
      <w:r>
        <w:instrText>PAGEREF __RefHeading___18 \h</w:instrText>
      </w:r>
      <w:r>
        <w:fldChar w:fldCharType="separate"/>
      </w:r>
      <w:r>
        <w:t>15</w:t>
      </w:r>
      <w:r>
        <w:fldChar w:fldCharType="end"/>
      </w:r>
      <w:r>
        <w:fldChar w:fldCharType="end"/>
      </w:r>
    </w:p>
    <w:p w14:paraId="73000000">
      <w:pPr>
        <w:pStyle w:val="Style_7"/>
        <w:tabs>
          <w:tab w:leader="dot" w:pos="9638" w:val="right"/>
        </w:tabs>
        <w:ind/>
      </w:pPr>
      <w:r>
        <w:fldChar w:fldCharType="begin"/>
      </w:r>
      <w:r>
        <w:instrText>HYPERLINK \l "__RefHeading___19"</w:instrText>
      </w:r>
      <w:r>
        <w:fldChar w:fldCharType="separate"/>
      </w:r>
      <w:r>
        <w:t>3.3.   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("золотой акции")</w:t>
      </w:r>
      <w:r>
        <w:tab/>
      </w:r>
      <w:r>
        <w:fldChar w:fldCharType="begin"/>
      </w:r>
      <w:r>
        <w:instrText>PAGEREF __RefHeading___19 \h</w:instrText>
      </w:r>
      <w:r>
        <w:fldChar w:fldCharType="separate"/>
      </w:r>
      <w:r>
        <w:t>16</w:t>
      </w:r>
      <w:r>
        <w:fldChar w:fldCharType="end"/>
      </w:r>
      <w:r>
        <w:fldChar w:fldCharType="end"/>
      </w:r>
    </w:p>
    <w:p w14:paraId="74000000">
      <w:pPr>
        <w:pStyle w:val="Style_7"/>
        <w:tabs>
          <w:tab w:leader="dot" w:pos="9638" w:val="right"/>
        </w:tabs>
        <w:ind/>
      </w:pPr>
      <w:r>
        <w:fldChar w:fldCharType="begin"/>
      </w:r>
      <w:r>
        <w:instrText>HYPERLINK \l "__RefHeading___20"</w:instrText>
      </w:r>
      <w:r>
        <w:fldChar w:fldCharType="separate"/>
      </w:r>
      <w:r>
        <w:t>3.4.    Сделки эмитента, в совершении которых имелась заинтересованность</w:t>
      </w:r>
      <w:r>
        <w:tab/>
      </w:r>
      <w:r>
        <w:fldChar w:fldCharType="begin"/>
      </w:r>
      <w:r>
        <w:instrText>PAGEREF __RefHeading___20 \h</w:instrText>
      </w:r>
      <w:r>
        <w:fldChar w:fldCharType="separate"/>
      </w:r>
      <w:r>
        <w:t>16</w:t>
      </w:r>
      <w:r>
        <w:fldChar w:fldCharType="end"/>
      </w:r>
      <w:r>
        <w:fldChar w:fldCharType="end"/>
      </w:r>
    </w:p>
    <w:p w14:paraId="75000000">
      <w:pPr>
        <w:pStyle w:val="Style_7"/>
        <w:tabs>
          <w:tab w:leader="dot" w:pos="9638" w:val="right"/>
        </w:tabs>
        <w:ind/>
      </w:pPr>
      <w:r>
        <w:fldChar w:fldCharType="begin"/>
      </w:r>
      <w:r>
        <w:instrText>HYPERLINK \l "__RefHeading___21"</w:instrText>
      </w:r>
      <w:r>
        <w:fldChar w:fldCharType="separate"/>
      </w:r>
      <w:r>
        <w:t>3.5.    Крупные сделки эмитента</w:t>
      </w:r>
      <w:r>
        <w:tab/>
      </w:r>
      <w:r>
        <w:fldChar w:fldCharType="begin"/>
      </w:r>
      <w:r>
        <w:instrText>PAGEREF __RefHeading___21 \h</w:instrText>
      </w:r>
      <w:r>
        <w:fldChar w:fldCharType="separate"/>
      </w:r>
      <w:r>
        <w:t>16</w:t>
      </w:r>
      <w:r>
        <w:fldChar w:fldCharType="end"/>
      </w:r>
      <w:r>
        <w:fldChar w:fldCharType="end"/>
      </w:r>
    </w:p>
    <w:p w14:paraId="76000000">
      <w:pPr>
        <w:pStyle w:val="Style_6"/>
        <w:tabs>
          <w:tab w:leader="dot" w:pos="9638" w:val="right"/>
        </w:tabs>
        <w:ind/>
      </w:pPr>
      <w:r>
        <w:fldChar w:fldCharType="begin"/>
      </w:r>
      <w:r>
        <w:instrText>HYPERLINK \l "__RefHeading___22"</w:instrText>
      </w:r>
      <w:r>
        <w:fldChar w:fldCharType="separate"/>
      </w:r>
      <w:r>
        <w:t>Раздел 4. Дополнительные сведения об эмитенте и о размещенных им ценных бумагах</w:t>
      </w:r>
      <w:r>
        <w:tab/>
      </w:r>
      <w:r>
        <w:fldChar w:fldCharType="begin"/>
      </w:r>
      <w:r>
        <w:instrText>PAGEREF __RefHeading___22 \h</w:instrText>
      </w:r>
      <w:r>
        <w:fldChar w:fldCharType="separate"/>
      </w:r>
      <w:r>
        <w:t>16</w:t>
      </w:r>
      <w:r>
        <w:fldChar w:fldCharType="end"/>
      </w:r>
      <w:r>
        <w:fldChar w:fldCharType="end"/>
      </w:r>
    </w:p>
    <w:p w14:paraId="77000000">
      <w:pPr>
        <w:pStyle w:val="Style_7"/>
        <w:tabs>
          <w:tab w:leader="dot" w:pos="9638" w:val="right"/>
        </w:tabs>
        <w:ind/>
      </w:pPr>
      <w:r>
        <w:fldChar w:fldCharType="begin"/>
      </w:r>
      <w:r>
        <w:instrText>HYPERLINK \l "__RefHeading___23"</w:instrText>
      </w:r>
      <w:r>
        <w:fldChar w:fldCharType="separate"/>
      </w:r>
      <w:r>
        <w:t>4.1.    Подконтрольные эмитенту организации, имеющие для него существенное значение</w:t>
      </w:r>
      <w:r>
        <w:tab/>
      </w:r>
      <w:r>
        <w:fldChar w:fldCharType="begin"/>
      </w:r>
      <w:r>
        <w:instrText>PAGEREF __RefHeading___23 \h</w:instrText>
      </w:r>
      <w:r>
        <w:fldChar w:fldCharType="separate"/>
      </w:r>
      <w:r>
        <w:t>16</w:t>
      </w:r>
      <w:r>
        <w:fldChar w:fldCharType="end"/>
      </w:r>
      <w:r>
        <w:fldChar w:fldCharType="end"/>
      </w:r>
    </w:p>
    <w:p w14:paraId="78000000">
      <w:pPr>
        <w:pStyle w:val="Style_7"/>
        <w:tabs>
          <w:tab w:leader="dot" w:pos="9638" w:val="right"/>
        </w:tabs>
        <w:ind/>
      </w:pPr>
      <w:r>
        <w:fldChar w:fldCharType="begin"/>
      </w:r>
      <w:r>
        <w:instrText>HYPERLINK \l "__RefHeading___24"</w:instrText>
      </w:r>
      <w:r>
        <w:fldChar w:fldCharType="separate"/>
      </w:r>
      <w:r>
        <w:t>4.2.    Дополнительные сведения, раскрываемые эмитентами зеленых облигаций, социальных облигаций, облигаций устойчивого развития, адаптационных облигаций</w:t>
      </w:r>
      <w:r>
        <w:tab/>
      </w:r>
      <w:r>
        <w:fldChar w:fldCharType="begin"/>
      </w:r>
      <w:r>
        <w:instrText>PAGEREF __RefHeading___24 \h</w:instrText>
      </w:r>
      <w:r>
        <w:fldChar w:fldCharType="separate"/>
      </w:r>
      <w:r>
        <w:t>18</w:t>
      </w:r>
      <w:r>
        <w:fldChar w:fldCharType="end"/>
      </w:r>
      <w:r>
        <w:fldChar w:fldCharType="end"/>
      </w:r>
    </w:p>
    <w:p w14:paraId="79000000">
      <w:pPr>
        <w:pStyle w:val="Style_7"/>
        <w:tabs>
          <w:tab w:leader="dot" w:pos="9638" w:val="right"/>
        </w:tabs>
        <w:ind/>
      </w:pPr>
      <w:r>
        <w:fldChar w:fldCharType="begin"/>
      </w:r>
      <w:r>
        <w:instrText>HYPERLINK \l "__RefHeading___25"</w:instrText>
      </w:r>
      <w:r>
        <w:fldChar w:fldCharType="separate"/>
      </w:r>
      <w:r>
        <w:t>4.3.   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r>
        <w:tab/>
      </w:r>
      <w:r>
        <w:fldChar w:fldCharType="begin"/>
      </w:r>
      <w:r>
        <w:instrText>PAGEREF __RefHeading___25 \h</w:instrText>
      </w:r>
      <w:r>
        <w:fldChar w:fldCharType="separate"/>
      </w:r>
      <w:r>
        <w:t>18</w:t>
      </w:r>
      <w:r>
        <w:fldChar w:fldCharType="end"/>
      </w:r>
      <w:r>
        <w:fldChar w:fldCharType="end"/>
      </w:r>
    </w:p>
    <w:p w14:paraId="7A000000">
      <w:pPr>
        <w:pStyle w:val="Style_7"/>
        <w:tabs>
          <w:tab w:leader="dot" w:pos="9638" w:val="right"/>
        </w:tabs>
        <w:ind/>
      </w:pPr>
      <w:r>
        <w:fldChar w:fldCharType="begin"/>
      </w:r>
      <w:r>
        <w:instrText>HYPERLINK \l "__RefHeading___26"</w:instrText>
      </w:r>
      <w:r>
        <w:fldChar w:fldCharType="separate"/>
      </w:r>
      <w:r>
        <w:t>4.4.    Сведения об объявленных и выплаченных дивидендах по акциям эмитента</w:t>
      </w:r>
      <w:r>
        <w:tab/>
      </w:r>
      <w:r>
        <w:fldChar w:fldCharType="begin"/>
      </w:r>
      <w:r>
        <w:instrText>PAGEREF __RefHeading___26 \h</w:instrText>
      </w:r>
      <w:r>
        <w:fldChar w:fldCharType="separate"/>
      </w:r>
      <w:r>
        <w:t>18</w:t>
      </w:r>
      <w:r>
        <w:fldChar w:fldCharType="end"/>
      </w:r>
      <w:r>
        <w:fldChar w:fldCharType="end"/>
      </w:r>
    </w:p>
    <w:p w14:paraId="7B000000">
      <w:pPr>
        <w:pStyle w:val="Style_7"/>
        <w:tabs>
          <w:tab w:leader="dot" w:pos="9638" w:val="right"/>
        </w:tabs>
        <w:ind/>
      </w:pPr>
      <w:r>
        <w:fldChar w:fldCharType="begin"/>
      </w:r>
      <w:r>
        <w:instrText>HYPERLINK \l "__RefHeading___27"</w:instrText>
      </w:r>
      <w:r>
        <w:fldChar w:fldCharType="separate"/>
      </w:r>
      <w:r>
        <w:t>4.5.    Сведения об организациях, осуществляющих учет прав на эмиссионные ценные бумаги эмитента</w:t>
      </w:r>
      <w:r>
        <w:tab/>
      </w:r>
      <w:r>
        <w:fldChar w:fldCharType="begin"/>
      </w:r>
      <w:r>
        <w:instrText>PAGEREF __RefHeading___27 \h</w:instrText>
      </w:r>
      <w:r>
        <w:fldChar w:fldCharType="separate"/>
      </w:r>
      <w:r>
        <w:t>18</w:t>
      </w:r>
      <w:r>
        <w:fldChar w:fldCharType="end"/>
      </w:r>
      <w:r>
        <w:fldChar w:fldCharType="end"/>
      </w:r>
    </w:p>
    <w:p w14:paraId="7C000000">
      <w:pPr>
        <w:pStyle w:val="Style_7"/>
        <w:tabs>
          <w:tab w:leader="dot" w:pos="9638" w:val="right"/>
        </w:tabs>
        <w:ind/>
      </w:pPr>
      <w:r>
        <w:fldChar w:fldCharType="begin"/>
      </w:r>
      <w:r>
        <w:instrText>HYPERLINK \l "__RefHeading___28"</w:instrText>
      </w:r>
      <w:r>
        <w:fldChar w:fldCharType="separate"/>
      </w:r>
      <w:r>
        <w:t>4.5.1.    Сведения о регистраторе, осуществляющем ведение реестра владельцев ценных бумаг эмитента</w:t>
      </w:r>
      <w:r>
        <w:tab/>
      </w:r>
      <w:r>
        <w:fldChar w:fldCharType="begin"/>
      </w:r>
      <w:r>
        <w:instrText>PAGEREF __RefHeading___28 \h</w:instrText>
      </w:r>
      <w:r>
        <w:fldChar w:fldCharType="separate"/>
      </w:r>
      <w:r>
        <w:t>18</w:t>
      </w:r>
      <w:r>
        <w:fldChar w:fldCharType="end"/>
      </w:r>
      <w:r>
        <w:fldChar w:fldCharType="end"/>
      </w:r>
    </w:p>
    <w:p w14:paraId="7D000000">
      <w:pPr>
        <w:pStyle w:val="Style_7"/>
        <w:tabs>
          <w:tab w:leader="dot" w:pos="9638" w:val="right"/>
        </w:tabs>
        <w:ind/>
      </w:pPr>
      <w:r>
        <w:fldChar w:fldCharType="begin"/>
      </w:r>
      <w:r>
        <w:instrText>HYPERLINK \l "__RefHeading___29"</w:instrText>
      </w:r>
      <w:r>
        <w:fldChar w:fldCharType="separate"/>
      </w:r>
      <w:r>
        <w:t>4.5.2.    Сведения о депозитарии, осуществляющем централизованный учет прав на ценные бумаги эмитента</w:t>
      </w:r>
      <w:r>
        <w:tab/>
      </w:r>
      <w:r>
        <w:fldChar w:fldCharType="begin"/>
      </w:r>
      <w:r>
        <w:instrText>PAGEREF __RefHeading___29 \h</w:instrText>
      </w:r>
      <w:r>
        <w:fldChar w:fldCharType="separate"/>
      </w:r>
      <w:r>
        <w:t>18</w:t>
      </w:r>
      <w:r>
        <w:fldChar w:fldCharType="end"/>
      </w:r>
      <w:r>
        <w:fldChar w:fldCharType="end"/>
      </w:r>
    </w:p>
    <w:p w14:paraId="7E000000">
      <w:pPr>
        <w:pStyle w:val="Style_7"/>
        <w:tabs>
          <w:tab w:leader="dot" w:pos="9638" w:val="right"/>
        </w:tabs>
        <w:ind/>
      </w:pPr>
      <w:r>
        <w:fldChar w:fldCharType="begin"/>
      </w:r>
      <w:r>
        <w:instrText>HYPERLINK \l "__RefHeading___30"</w:instrText>
      </w:r>
      <w:r>
        <w:fldChar w:fldCharType="separate"/>
      </w:r>
      <w:r>
        <w:t>4.6.    Информация об аудиторе эмитента</w:t>
      </w:r>
      <w:r>
        <w:tab/>
      </w:r>
      <w:r>
        <w:fldChar w:fldCharType="begin"/>
      </w:r>
      <w:r>
        <w:instrText>PAGEREF __RefHeading___30 \h</w:instrText>
      </w:r>
      <w:r>
        <w:fldChar w:fldCharType="separate"/>
      </w:r>
      <w:r>
        <w:t>19</w:t>
      </w:r>
      <w:r>
        <w:fldChar w:fldCharType="end"/>
      </w:r>
      <w:r>
        <w:fldChar w:fldCharType="end"/>
      </w:r>
    </w:p>
    <w:p w14:paraId="7F000000">
      <w:pPr>
        <w:pStyle w:val="Style_6"/>
        <w:tabs>
          <w:tab w:leader="dot" w:pos="9638" w:val="right"/>
        </w:tabs>
        <w:ind/>
      </w:pPr>
      <w:r>
        <w:fldChar w:fldCharType="begin"/>
      </w:r>
      <w:r>
        <w:instrText>HYPERLINK \l "__RefHeading___31"</w:instrText>
      </w:r>
      <w:r>
        <w:fldChar w:fldCharType="separate"/>
      </w:r>
      <w:r>
        <w:t>Раздел 5. Финансовая отчетность, бухгалтерская (финансовая) отчетность эмитента</w:t>
      </w:r>
      <w:r>
        <w:tab/>
      </w:r>
      <w:r>
        <w:fldChar w:fldCharType="begin"/>
      </w:r>
      <w:r>
        <w:instrText>PAGEREF __RefHeading___31 \h</w:instrText>
      </w:r>
      <w:r>
        <w:fldChar w:fldCharType="separate"/>
      </w:r>
      <w:r>
        <w:t>19</w:t>
      </w:r>
      <w:r>
        <w:fldChar w:fldCharType="end"/>
      </w:r>
      <w:r>
        <w:fldChar w:fldCharType="end"/>
      </w:r>
    </w:p>
    <w:p w14:paraId="80000000">
      <w:pPr>
        <w:pStyle w:val="Style_7"/>
        <w:tabs>
          <w:tab w:leader="dot" w:pos="9638" w:val="right"/>
        </w:tabs>
        <w:ind/>
      </w:pPr>
      <w:r>
        <w:fldChar w:fldCharType="begin"/>
      </w:r>
      <w:r>
        <w:instrText>HYPERLINK \l "__RefHeading___32"</w:instrText>
      </w:r>
      <w:r>
        <w:fldChar w:fldCharType="separate"/>
      </w:r>
      <w:r>
        <w:t>5.1. Консолидированная финансовая отчетность (финансовая отчетность) эмитента</w:t>
      </w:r>
      <w:r>
        <w:tab/>
      </w:r>
      <w:r>
        <w:fldChar w:fldCharType="begin"/>
      </w:r>
      <w:r>
        <w:instrText>PAGEREF __RefHeading___32 \h</w:instrText>
      </w:r>
      <w:r>
        <w:fldChar w:fldCharType="separate"/>
      </w:r>
      <w:r>
        <w:t>19</w:t>
      </w:r>
      <w:r>
        <w:fldChar w:fldCharType="end"/>
      </w:r>
      <w:r>
        <w:fldChar w:fldCharType="end"/>
      </w:r>
    </w:p>
    <w:p w14:paraId="81000000">
      <w:pPr>
        <w:pStyle w:val="Style_7"/>
        <w:tabs>
          <w:tab w:leader="dot" w:pos="9638" w:val="right"/>
        </w:tabs>
        <w:ind/>
      </w:pPr>
      <w:r>
        <w:fldChar w:fldCharType="begin"/>
      </w:r>
      <w:r>
        <w:instrText>HYPERLINK \l "__RefHeading___33"</w:instrText>
      </w:r>
      <w:r>
        <w:fldChar w:fldCharType="separate"/>
      </w:r>
      <w:r>
        <w:t>5.2.     Бухгалтерская (финансовая) отчетность</w:t>
      </w:r>
      <w:r>
        <w:tab/>
      </w:r>
      <w:r>
        <w:fldChar w:fldCharType="begin"/>
      </w:r>
      <w:r>
        <w:instrText>PAGEREF __RefHeading___33 \h</w:instrText>
      </w:r>
      <w:r>
        <w:fldChar w:fldCharType="separate"/>
      </w:r>
      <w:r>
        <w:t>20</w:t>
      </w:r>
      <w:r>
        <w:fldChar w:fldCharType="end"/>
      </w:r>
      <w:r>
        <w:fldChar w:fldCharType="end"/>
      </w:r>
    </w:p>
    <w:p>
      <w:r>
        <w:fldChar w:fldCharType="end"/>
      </w:r>
    </w:p>
    <w:p w14:paraId="83000000">
      <w:pPr>
        <w:rPr>
          <w:b w:val="1"/>
        </w:rPr>
      </w:pPr>
    </w:p>
    <w:p w14:paraId="84000000">
      <w:pPr>
        <w:rPr>
          <w:b w:val="1"/>
        </w:rPr>
      </w:pPr>
    </w:p>
    <w:p w14:paraId="85000000">
      <w:pPr>
        <w:rPr>
          <w:b w:val="1"/>
        </w:rPr>
      </w:pPr>
    </w:p>
    <w:p w14:paraId="86000000">
      <w:pPr>
        <w:rPr>
          <w:b w:val="1"/>
        </w:rPr>
      </w:pPr>
    </w:p>
    <w:p w14:paraId="87000000">
      <w:pPr>
        <w:rPr>
          <w:b w:val="1"/>
        </w:rPr>
      </w:pPr>
    </w:p>
    <w:p w14:paraId="88000000">
      <w:pPr>
        <w:rPr>
          <w:b w:val="1"/>
        </w:rPr>
      </w:pPr>
    </w:p>
    <w:p w14:paraId="89000000">
      <w:pPr>
        <w:rPr>
          <w:b w:val="1"/>
        </w:rPr>
      </w:pPr>
    </w:p>
    <w:p w14:paraId="8A000000">
      <w:pPr>
        <w:rPr>
          <w:b w:val="1"/>
        </w:rPr>
      </w:pPr>
    </w:p>
    <w:p w14:paraId="8B000000">
      <w:pPr>
        <w:rPr>
          <w:b w:val="1"/>
        </w:rPr>
      </w:pPr>
    </w:p>
    <w:p w14:paraId="8C000000">
      <w:pPr>
        <w:rPr>
          <w:b w:val="1"/>
        </w:rPr>
      </w:pPr>
    </w:p>
    <w:p w14:paraId="8D000000">
      <w:pPr>
        <w:rPr>
          <w:b w:val="1"/>
        </w:rPr>
      </w:pPr>
    </w:p>
    <w:p w14:paraId="8E000000">
      <w:pPr>
        <w:rPr>
          <w:b w:val="1"/>
        </w:rPr>
      </w:pPr>
    </w:p>
    <w:p w14:paraId="8F000000">
      <w:pPr>
        <w:rPr>
          <w:b w:val="1"/>
        </w:rPr>
      </w:pPr>
    </w:p>
    <w:p w14:paraId="90000000">
      <w:pPr>
        <w:rPr>
          <w:b w:val="1"/>
        </w:rPr>
      </w:pPr>
    </w:p>
    <w:p w14:paraId="91000000">
      <w:pPr>
        <w:rPr>
          <w:b w:val="1"/>
        </w:rPr>
      </w:pPr>
    </w:p>
    <w:p w14:paraId="92000000">
      <w:pPr>
        <w:rPr>
          <w:b w:val="1"/>
        </w:rPr>
      </w:pPr>
    </w:p>
    <w:p w14:paraId="93000000">
      <w:pPr>
        <w:rPr>
          <w:b w:val="1"/>
        </w:rPr>
      </w:pPr>
    </w:p>
    <w:p w14:paraId="94000000">
      <w:pPr>
        <w:rPr>
          <w:b w:val="1"/>
        </w:rPr>
      </w:pPr>
    </w:p>
    <w:p w14:paraId="95000000">
      <w:pPr>
        <w:rPr>
          <w:b w:val="1"/>
        </w:rPr>
      </w:pPr>
    </w:p>
    <w:p w14:paraId="96000000">
      <w:pPr>
        <w:rPr>
          <w:b w:val="1"/>
        </w:rPr>
      </w:pPr>
    </w:p>
    <w:p w14:paraId="97000000">
      <w:pPr>
        <w:rPr>
          <w:b w:val="1"/>
        </w:rPr>
      </w:pPr>
    </w:p>
    <w:p w14:paraId="98000000">
      <w:pPr>
        <w:rPr>
          <w:b w:val="1"/>
        </w:rPr>
      </w:pPr>
    </w:p>
    <w:p w14:paraId="99000000">
      <w:pPr>
        <w:rPr>
          <w:b w:val="1"/>
        </w:rPr>
      </w:pPr>
    </w:p>
    <w:p w14:paraId="9A000000">
      <w:pPr>
        <w:rPr>
          <w:b w:val="1"/>
        </w:rPr>
      </w:pPr>
    </w:p>
    <w:p w14:paraId="9B000000">
      <w:pPr>
        <w:rPr>
          <w:b w:val="1"/>
        </w:rPr>
      </w:pPr>
    </w:p>
    <w:p w14:paraId="9C000000">
      <w:pPr>
        <w:rPr>
          <w:b w:val="1"/>
        </w:rPr>
      </w:pPr>
    </w:p>
    <w:p w14:paraId="9D000000">
      <w:pPr>
        <w:rPr>
          <w:b w:val="1"/>
        </w:rPr>
      </w:pPr>
    </w:p>
    <w:p w14:paraId="9E000000">
      <w:pPr>
        <w:rPr>
          <w:b w:val="1"/>
        </w:rPr>
      </w:pPr>
    </w:p>
    <w:p w14:paraId="9F000000">
      <w:pPr>
        <w:rPr>
          <w:b w:val="1"/>
        </w:rPr>
      </w:pPr>
    </w:p>
    <w:p w14:paraId="A0000000">
      <w:pPr>
        <w:rPr>
          <w:b w:val="1"/>
        </w:rPr>
      </w:pPr>
    </w:p>
    <w:p w14:paraId="A1000000">
      <w:pPr>
        <w:rPr>
          <w:b w:val="1"/>
        </w:rPr>
      </w:pPr>
    </w:p>
    <w:p w14:paraId="A2000000">
      <w:pPr>
        <w:ind/>
        <w:jc w:val="center"/>
        <w:rPr>
          <w:rFonts w:ascii="Times New Roman" w:hAnsi="Times New Roman"/>
          <w:b w:val="1"/>
          <w:sz w:val="22"/>
        </w:rPr>
      </w:pPr>
      <w:r>
        <w:rPr>
          <w:b w:val="1"/>
          <w:sz w:val="28"/>
        </w:rPr>
        <w:br w:type="page"/>
      </w:r>
      <w:r>
        <w:rPr>
          <w:rFonts w:ascii="Times New Roman" w:hAnsi="Times New Roman"/>
          <w:b w:val="1"/>
          <w:sz w:val="22"/>
        </w:rPr>
        <w:t>Введение</w:t>
      </w:r>
    </w:p>
    <w:p w14:paraId="A3000000">
      <w:pPr>
        <w:widowControl w:val="0"/>
        <w:spacing w:after="40" w:before="240"/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Информация, содержащаяся в отчете Публичного акционерного общества «Северное управление строительства» (далее – Общество, эмитент) , подлежит раскрытию на основании пункта 1 статьи 92 Федерального закона от 26.12.1995 г. №208-ФЗ  «Об акционерных обществах» (далее – Закон №208-ФЗ) и подпункта 1  пункта 4 статьи 30 Федерального закона от 22.04.1996 №39-ФЗ "О рынке ценных бумаг"(далее -Закон №39-ФЗ). </w:t>
      </w:r>
    </w:p>
    <w:p w14:paraId="A4000000">
      <w:pPr>
        <w:widowControl w:val="0"/>
        <w:spacing w:after="40" w:before="240"/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Основаниями возникновения у Общества обязанности осуществлять раскрытие информации в форме отчета эмитента являются- регистрация плана приватизации, зарегистрированного в качестве проспекта эмиссии ценных бумаг, а также то, что Общество является публичным.</w:t>
      </w:r>
    </w:p>
    <w:p w14:paraId="A5000000">
      <w:pPr>
        <w:widowControl w:val="0"/>
        <w:spacing w:after="40" w:before="20"/>
        <w:ind w:firstLine="709" w:left="0"/>
        <w:jc w:val="both"/>
        <w:rPr>
          <w:rFonts w:ascii="Times New Roman" w:hAnsi="Times New Roman"/>
          <w:b w:val="0"/>
          <w:i w:val="0"/>
        </w:rPr>
      </w:pPr>
      <w:r>
        <w:rPr>
          <w:rFonts w:ascii="Times New Roman" w:hAnsi="Times New Roman"/>
          <w:b w:val="0"/>
          <w:i w:val="0"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лиц.</w:t>
      </w:r>
    </w:p>
    <w:p w14:paraId="A6000000">
      <w:pPr>
        <w:pStyle w:val="Style_8"/>
        <w:ind w:firstLine="72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Бухгалтерская (финансовая) отчетность, на основании которой в настоящем отчете эмитента раскрыта информация о финансово-хозяйственной деятельности эмитента (эмитента и лица, предоставляющего (предоставившего) обеспечение по облигациям эмитента), дает объективное и достоверное представление об активах, обязательствах, финансовом состоянии, прибыли или убытке эмитента. Информация о финансовом состоянии и результатах деятельности эмитента содержит достоверное представление о деятельности, а также об основных рисках, связанных с его (их) деятельностью.</w:t>
      </w:r>
    </w:p>
    <w:p w14:paraId="A7000000">
      <w:pPr>
        <w:pStyle w:val="Style_8"/>
        <w:ind w:firstLine="72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 основную деятельность, и результатов деятельности эмитента, его (их) планов, вероятности наступления определенных событий и совершения определенных действий.</w:t>
      </w:r>
    </w:p>
    <w:p w14:paraId="A8000000">
      <w:pPr>
        <w:pStyle w:val="Style_8"/>
        <w:ind w:firstLine="72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Инвесторы не должны полностью полагаться на оценки и прогнозы, приведенные в настоящем отчете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описанными в настоящем отчете эмитента.</w:t>
      </w:r>
    </w:p>
    <w:p w14:paraId="A9000000">
      <w:bookmarkStart w:id="1" w:name="__RefHeading___1"/>
      <w:bookmarkEnd w:id="1"/>
      <w:pPr>
        <w:widowControl w:val="0"/>
        <w:spacing w:after="120" w:before="360"/>
        <w:ind/>
        <w:jc w:val="center"/>
        <w:outlineLvl w:val="0"/>
        <w:rPr>
          <w:rFonts w:ascii="Times New Roman" w:hAnsi="Times New Roman"/>
          <w:b w:val="1"/>
          <w:color w:val="203864"/>
        </w:rPr>
      </w:pPr>
      <w:r>
        <w:rPr>
          <w:b w:val="1"/>
          <w:sz w:val="28"/>
        </w:rPr>
        <w:br w:type="page"/>
      </w:r>
      <w:r>
        <w:rPr>
          <w:rFonts w:ascii="Times New Roman" w:hAnsi="Times New Roman"/>
          <w:b w:val="1"/>
          <w:color w:val="203864"/>
        </w:rPr>
        <w:t>Раздел I. Управленческий отчет эмитента</w:t>
      </w:r>
    </w:p>
    <w:p w14:paraId="AA000000">
      <w:bookmarkStart w:id="2" w:name="__RefHeading___2"/>
      <w:bookmarkEnd w:id="2"/>
      <w:pPr>
        <w:pStyle w:val="Style_9"/>
        <w:spacing w:before="240"/>
        <w:ind w:firstLine="425" w:left="0"/>
        <w:jc w:val="both"/>
        <w:rPr>
          <w:rFonts w:ascii="Times New Roman" w:hAnsi="Times New Roman"/>
          <w:b w:val="1"/>
        </w:rPr>
      </w:pPr>
      <w:bookmarkStart w:id="3" w:name="P108"/>
      <w:bookmarkEnd w:id="3"/>
      <w:r>
        <w:rPr>
          <w:rFonts w:ascii="Times New Roman" w:hAnsi="Times New Roman"/>
          <w:b w:val="1"/>
        </w:rPr>
        <w:t>1.1. Общие сведения об эмитенте и его деятельности</w:t>
      </w:r>
    </w:p>
    <w:p w14:paraId="AB000000">
      <w:pPr>
        <w:spacing w:before="240"/>
        <w:ind w:firstLine="426" w:left="0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Полное фирменное наименование</w:t>
      </w:r>
      <w:r>
        <w:rPr>
          <w:rFonts w:ascii="Times New Roman" w:hAnsi="Times New Roman"/>
        </w:rPr>
        <w:t>: Публичное акционерное общество "Северное управление строительства»,</w:t>
      </w:r>
    </w:p>
    <w:p w14:paraId="AC000000">
      <w:pPr>
        <w:ind w:firstLine="426" w:left="0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Сокращенное фирменное наименование</w:t>
      </w:r>
      <w:r>
        <w:rPr>
          <w:rFonts w:ascii="Times New Roman" w:hAnsi="Times New Roman"/>
        </w:rPr>
        <w:t>: ПАО "СУС",</w:t>
      </w:r>
    </w:p>
    <w:p w14:paraId="AD000000">
      <w:pPr>
        <w:ind w:firstLine="426" w:left="0"/>
        <w:jc w:val="both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Сведения о способе и дате создания эмитента</w:t>
      </w:r>
      <w:r>
        <w:rPr>
          <w:rFonts w:ascii="Times New Roman" w:hAnsi="Times New Roman"/>
        </w:rPr>
        <w:t xml:space="preserve">: ПАО «СУС» было создано в результате приватизации путем преобразования Северного управления строительства в акционерное общество, в соответствии с Указом Президента РФ от 1 июля 1992 г. № 721, «Плана приватизации предприятий и организаций ядерно-энергетического комплекса на 1992 г». Постановлением главы администрации г. Сосновый Бор от 19.11.1992 г. № 717 принято решение о перерегистрации государственного предприятия «Северное управление строительство» в связи с реорганизацией в акционерное общество. </w:t>
      </w:r>
    </w:p>
    <w:p w14:paraId="AE000000">
      <w:pPr>
        <w:ind w:firstLine="567" w:left="0"/>
        <w:jc w:val="both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Изменения наименования эмитента</w:t>
      </w:r>
      <w:r>
        <w:rPr>
          <w:rFonts w:ascii="Times New Roman" w:hAnsi="Times New Roman"/>
        </w:rPr>
        <w:t xml:space="preserve"> в течении трех последних лет, предшествующих дате окончания отчетного периода, не было.</w:t>
      </w:r>
    </w:p>
    <w:p w14:paraId="AF000000">
      <w:pPr>
        <w:ind w:firstLine="426" w:left="0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Основной государственный регистрационный номер</w:t>
      </w:r>
      <w:r>
        <w:rPr>
          <w:rFonts w:ascii="Times New Roman" w:hAnsi="Times New Roman"/>
        </w:rPr>
        <w:t xml:space="preserve"> (ОГРН) 1024701762535.</w:t>
      </w:r>
    </w:p>
    <w:p w14:paraId="B0000000">
      <w:pPr>
        <w:ind w:firstLine="426" w:left="0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Идентификационный номер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>налогоплательщика</w:t>
      </w:r>
      <w:r>
        <w:rPr>
          <w:rFonts w:ascii="Times New Roman" w:hAnsi="Times New Roman"/>
        </w:rPr>
        <w:t xml:space="preserve"> (ИНН) 4714000211.</w:t>
      </w:r>
    </w:p>
    <w:p w14:paraId="B1000000">
      <w:pPr>
        <w:ind w:firstLine="426" w:left="0"/>
        <w:rPr>
          <w:rFonts w:ascii="Times New Roman" w:hAnsi="Times New Roman"/>
        </w:rPr>
      </w:pPr>
    </w:p>
    <w:p w14:paraId="B2000000">
      <w:pPr>
        <w:pStyle w:val="Style_10"/>
        <w:ind w:firstLine="72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ПАО «Северное управление строительства» осуществляет свою</w:t>
      </w:r>
      <w:r>
        <w:rPr>
          <w:rFonts w:ascii="Times New Roman" w:hAnsi="Times New Roman"/>
          <w:b w:val="1"/>
          <w:sz w:val="24"/>
        </w:rPr>
        <w:t xml:space="preserve"> финансово-экономическую деятельность в </w:t>
      </w:r>
      <w:r>
        <w:rPr>
          <w:rFonts w:ascii="Times New Roman" w:hAnsi="Times New Roman"/>
          <w:sz w:val="24"/>
        </w:rPr>
        <w:t>области промышленного строительства.</w:t>
      </w:r>
    </w:p>
    <w:p w14:paraId="B3000000">
      <w:pPr>
        <w:pStyle w:val="Style_10"/>
        <w:ind w:firstLine="720" w:left="0"/>
        <w:jc w:val="both"/>
        <w:rPr>
          <w:rFonts w:ascii="Times New Roman" w:hAnsi="Times New Roman"/>
          <w:color w:val="252525"/>
          <w:spacing w:val="3"/>
          <w:sz w:val="24"/>
        </w:rPr>
      </w:pPr>
      <w:r>
        <w:rPr>
          <w:rFonts w:ascii="Times New Roman" w:hAnsi="Times New Roman"/>
          <w:color w:val="252525"/>
          <w:spacing w:val="3"/>
          <w:sz w:val="24"/>
        </w:rPr>
        <w:t>Отличительными особенностями промышленного строительства от жилищного или социального являются: гораздо более длительный цикл производства работ и период окупаемости. На сроках и стоимости сказывается уникальность проектов - типовых объектов практически нет. Учитывая особую опасность многих индустриальных объектов, их значительное влияние на окружающую среду и другие особенности, к ним предъявляются повышенные требования в плане проведения различных экспертиз, сертификации, проводится усиленный контроль.</w:t>
      </w:r>
    </w:p>
    <w:p w14:paraId="B4000000">
      <w:pPr>
        <w:pStyle w:val="Style_10"/>
        <w:ind w:firstLine="72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color w:val="252525"/>
          <w:spacing w:val="3"/>
          <w:sz w:val="24"/>
        </w:rPr>
        <w:t>Основным направлением деятельности ПАО СУС является строительство АЭС и иных объектов атомной отрасли.</w:t>
      </w:r>
    </w:p>
    <w:p w14:paraId="B5000000">
      <w:pPr>
        <w:pStyle w:val="Style_10"/>
        <w:ind w:firstLine="720" w:left="0"/>
        <w:jc w:val="both"/>
        <w:rPr>
          <w:rFonts w:ascii="Times New Roman" w:hAnsi="Times New Roman"/>
          <w:sz w:val="24"/>
          <w:shd w:fill="4BF357" w:val="clear"/>
        </w:rPr>
      </w:pPr>
    </w:p>
    <w:p w14:paraId="B6000000">
      <w:pPr>
        <w:pStyle w:val="Style_10"/>
        <w:ind w:firstLine="72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ПАО «СУС» осуществляет свою деятельность на территории нескольких субъектов Российской Федерации. Обособленные подразделения открыты в Красноярском крае, Калининградской, Томской и Курской, Смоленской, Новосибирской областях. </w:t>
      </w:r>
    </w:p>
    <w:p w14:paraId="B7000000">
      <w:pPr>
        <w:pStyle w:val="Style_10"/>
        <w:ind w:firstLine="72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В 2023 году география обслуживания эмитента расширилась, появились международные направление. По заключённым договорам предоставляются услуги в Турецкой Республике и АРЕ. </w:t>
      </w:r>
    </w:p>
    <w:p w14:paraId="B8000000">
      <w:pPr>
        <w:ind w:firstLine="426" w:left="0"/>
        <w:rPr>
          <w:rFonts w:ascii="Times New Roman" w:hAnsi="Times New Roman"/>
        </w:rPr>
      </w:pPr>
    </w:p>
    <w:p w14:paraId="B9000000">
      <w:pPr>
        <w:ind w:firstLine="426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Эмитент в период с 01.01.2024 по 01.07.2024 г. году не осуществлял деятельность по использованию ядерных материалов и радиоактивных веществ при проведении работ по использованию атомной энергии в оборонных целях. Эмитент не относится к хозяйственным обществам, имеющим стратегическое значение для обеспечения обороны станы и безопасности государства (пп.2 п.1 ст.3 Федерального закона от 29.04.2008 №57-ФЗ «О порядке осуществления иностранных инвестиций в хозяйственные общества, имеющие стратегическое значение для обеспечения обороны страны и безопасности государства».</w:t>
      </w:r>
    </w:p>
    <w:p w14:paraId="BA000000">
      <w:pPr>
        <w:ind w:firstLine="426" w:left="0"/>
        <w:rPr>
          <w:rFonts w:ascii="Times New Roman" w:hAnsi="Times New Roman"/>
        </w:rPr>
      </w:pPr>
      <w:r>
        <w:rPr>
          <w:rFonts w:ascii="Times New Roman" w:hAnsi="Times New Roman"/>
        </w:rPr>
        <w:t>Иных ограничений, связанные с участием в уставном капитале эмитента, установленных его уставом нет.</w:t>
      </w:r>
    </w:p>
    <w:p w14:paraId="BB000000">
      <w:bookmarkStart w:id="4" w:name="__RefHeading___3"/>
      <w:bookmarkEnd w:id="4"/>
      <w:pPr>
        <w:pStyle w:val="Style_9"/>
        <w:spacing w:before="240"/>
        <w:ind w:firstLine="0" w:left="425"/>
        <w:jc w:val="both"/>
        <w:rPr>
          <w:rFonts w:ascii="Times New Roman" w:hAnsi="Times New Roman"/>
          <w:b w:val="1"/>
        </w:rPr>
      </w:pPr>
      <w:bookmarkStart w:id="5" w:name="P118"/>
      <w:bookmarkEnd w:id="5"/>
      <w:r>
        <w:rPr>
          <w:rFonts w:ascii="Times New Roman" w:hAnsi="Times New Roman"/>
          <w:b w:val="1"/>
        </w:rPr>
        <w:t>1.2. Сведения о положении эмитента в отрасли</w:t>
      </w:r>
    </w:p>
    <w:tbl>
      <w:tblPr>
        <w:tblStyle w:val="Style_2"/>
        <w:tblW w:type="auto" w:w="0"/>
        <w:tblLayout w:type="fixed"/>
        <w:tblCellMar>
          <w:left w:type="dxa" w:w="72"/>
          <w:right w:type="dxa" w:w="72"/>
        </w:tblCellMar>
      </w:tblPr>
      <w:tblGrid>
        <w:gridCol w:w="3758"/>
        <w:gridCol w:w="5528"/>
      </w:tblGrid>
      <w:tr>
        <w:tc>
          <w:tcPr>
            <w:tcW w:type="dxa" w:w="3758"/>
            <w:tcBorders>
              <w:top w:color="000000" w:sz="6" w:val="doub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BC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Коды ОКВЭД</w:t>
            </w:r>
          </w:p>
        </w:tc>
        <w:tc>
          <w:tcPr>
            <w:tcW w:type="dxa" w:w="5528"/>
            <w:tcBorders>
              <w:top w:color="000000" w:sz="6" w:val="doub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BD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BE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41.2</w:t>
            </w:r>
          </w:p>
        </w:tc>
        <w:tc>
          <w:tcPr>
            <w:tcW w:type="dxa" w:w="552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BF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Строительство жилых и нежилых зданий</w:t>
            </w:r>
          </w:p>
        </w:tc>
      </w:tr>
    </w:tbl>
    <w:p w14:paraId="C0000000">
      <w:pPr>
        <w:widowControl w:val="0"/>
        <w:ind/>
        <w:jc w:val="center"/>
        <w:rPr>
          <w:rFonts w:ascii="Times New Roman" w:hAnsi="Times New Roman"/>
          <w:highlight w:val="yellow"/>
        </w:rPr>
      </w:pPr>
    </w:p>
    <w:tbl>
      <w:tblPr>
        <w:tblStyle w:val="Style_2"/>
        <w:tblW w:type="auto" w:w="0"/>
        <w:tblLayout w:type="fixed"/>
        <w:tblCellMar>
          <w:left w:type="dxa" w:w="72"/>
          <w:right w:type="dxa" w:w="72"/>
        </w:tblCellMar>
      </w:tblPr>
      <w:tblGrid>
        <w:gridCol w:w="3758"/>
      </w:tblGrid>
      <w:tr>
        <w:tc>
          <w:tcPr>
            <w:tcW w:type="dxa" w:w="3758"/>
            <w:tcBorders>
              <w:top w:color="000000" w:sz="6" w:val="doub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C1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Коды ОКВЭД (дополнительные)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C2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08.12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C3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18.1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C4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35.12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C5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35.30.2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C6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35.30.5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C7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49.20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C8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49.3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C9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49.4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CA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49.20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CB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  <w:highlight w:val="yellow"/>
              </w:rPr>
            </w:pPr>
            <w:r>
              <w:rPr>
                <w:rFonts w:ascii="Times New Roman" w:hAnsi="Times New Roman"/>
              </w:rPr>
              <w:t>53.20.1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CC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55.90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CD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61.10.1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CE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68.20.2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CF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69.20.2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D0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71.20.9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D1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77.3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D2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85.42.9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doub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D3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86.90.4</w:t>
            </w:r>
          </w:p>
        </w:tc>
      </w:tr>
    </w:tbl>
    <w:p w14:paraId="D4000000">
      <w:pPr>
        <w:pStyle w:val="Style_10"/>
        <w:ind w:firstLine="720" w:left="0"/>
        <w:jc w:val="both"/>
        <w:rPr>
          <w:rFonts w:ascii="Times New Roman" w:hAnsi="Times New Roman"/>
        </w:rPr>
      </w:pPr>
      <w:bookmarkStart w:id="6" w:name="P126"/>
      <w:bookmarkEnd w:id="6"/>
    </w:p>
    <w:p w14:paraId="D5000000">
      <w:pPr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На сегодняшний день Публичное акционерное общество «Северное управление строительства» осуществляет полный комплекс услуг по реализации объектов строительства – от проведения инженерных изысканий и составления проектной документации, до благоустройства прилегающей территории и сдачи объекта в эксплуатацию государственным органам.</w:t>
      </w:r>
    </w:p>
    <w:p w14:paraId="D6000000">
      <w:pPr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Проводит экспертизу и обследования зданий и сооружений любого назначения.</w:t>
      </w:r>
    </w:p>
    <w:p w14:paraId="D7000000">
      <w:pPr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Значительный вклад при определении качества и надежности материалов, в процессе строительства, вносит аттестованный испытательный центр строительных материалов ПАО СУС (ИЦСМиК) – строительная лаборатория, имеющая свидетельство Росаккредитации.</w:t>
      </w:r>
    </w:p>
    <w:p w14:paraId="D8000000">
      <w:pPr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Испытания строительных материалов проводятся по основным параметрам в соответствии с требованиями ГОСТ, СНиП и иных нормативных документов: цемент – на активность, сроки схватывания, тонкость помола, тесто нормальной густоты; песок на плотность, объемный вес, пустотность, загрязнение; щебень — на плот</w:t>
      </w:r>
      <w:r>
        <w:rPr>
          <w:rFonts w:ascii="Times New Roman" w:hAnsi="Times New Roman"/>
        </w:rPr>
        <w:t>ность, объёмный вес</w:t>
      </w:r>
      <w:r>
        <w:rPr>
          <w:rFonts w:ascii="Times New Roman" w:hAnsi="Times New Roman"/>
        </w:rPr>
        <w:t>, гранулометрический состав.</w:t>
      </w:r>
    </w:p>
    <w:p w14:paraId="D9000000">
      <w:pPr>
        <w:pStyle w:val="Style_10"/>
        <w:ind w:firstLine="72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В 2023 году начался подготовительный период для будущих блоков Ленинградской АЭС-2. Проводятся инженерные изыскания на месте будущих энергоблоков №1 и №2 на Смоленской АЭС-2 и др.</w:t>
      </w:r>
    </w:p>
    <w:p w14:paraId="DA000000">
      <w:pPr>
        <w:pStyle w:val="Style_10"/>
        <w:ind w:firstLine="720" w:left="0"/>
        <w:jc w:val="both"/>
        <w:rPr>
          <w:rFonts w:ascii="Times New Roman" w:hAnsi="Times New Roman"/>
          <w:spacing w:val="4"/>
          <w:sz w:val="24"/>
        </w:rPr>
      </w:pPr>
      <w:r>
        <w:rPr>
          <w:rFonts w:ascii="Times New Roman" w:hAnsi="Times New Roman"/>
          <w:sz w:val="24"/>
        </w:rPr>
        <w:t xml:space="preserve">В начале 1-го полугодия 2024 года </w:t>
      </w:r>
      <w:r>
        <w:rPr>
          <w:rFonts w:ascii="Times New Roman" w:hAnsi="Times New Roman"/>
          <w:spacing w:val="4"/>
          <w:sz w:val="24"/>
        </w:rPr>
        <w:t xml:space="preserve">строители приступили к бетонной подготовке под фундаменты нескольких новых зданий на стройплощадке нового энергоблока №7 Ленинградской АЭС: управления, безопасности, ядерного обслуживания, паровой камеры, вспомогательного корпуса и т.д. Большинство из них относятся к так называемому «ядерному острову» - целому комплексу сооружений, которые обеспечивают эксплуатацию и функционирование ядерного реактора. </w:t>
      </w:r>
    </w:p>
    <w:p w14:paraId="DB000000">
      <w:pPr>
        <w:pStyle w:val="Style_10"/>
        <w:ind w:firstLine="72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pacing w:val="4"/>
          <w:sz w:val="24"/>
        </w:rPr>
        <w:t>До конца 2024 года планируется завершить устройство всех фундаментных плит зданий ядерного острова. Строительно-монтажные работы основного периода продлятся в течение пяти лет.</w:t>
      </w:r>
    </w:p>
    <w:p w14:paraId="DC000000">
      <w:pPr>
        <w:pStyle w:val="Style_10"/>
        <w:ind w:firstLine="72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pacing w:val="4"/>
          <w:sz w:val="24"/>
        </w:rPr>
        <w:t xml:space="preserve"> </w:t>
      </w:r>
      <w:r>
        <w:rPr>
          <w:rFonts w:ascii="Times New Roman" w:hAnsi="Times New Roman"/>
          <w:sz w:val="24"/>
          <w:highlight w:val="white"/>
        </w:rPr>
        <w:t>Рассматривая тенденции строительной отрасли РФ, можно отметить следующее.</w:t>
      </w:r>
      <w:r>
        <w:rPr>
          <w:rFonts w:ascii="Times New Roman" w:hAnsi="Times New Roman"/>
          <w:sz w:val="24"/>
        </w:rPr>
        <w:t xml:space="preserve"> </w:t>
      </w:r>
    </w:p>
    <w:p w14:paraId="DD000000">
      <w:pPr>
        <w:ind w:firstLine="720" w:left="0"/>
        <w:jc w:val="both"/>
        <w:rPr>
          <w:rFonts w:ascii="Times New Roman" w:hAnsi="Times New Roman"/>
          <w:color w:val="1C1C1C"/>
          <w:shd w:fill="F6F6F6" w:val="clear"/>
        </w:rPr>
      </w:pPr>
      <w:r>
        <w:rPr>
          <w:rFonts w:ascii="Times New Roman" w:hAnsi="Times New Roman"/>
          <w:color w:val="1C1C1C"/>
          <w:shd w:fill="F6F6F6" w:val="clear"/>
        </w:rPr>
        <w:t xml:space="preserve">Согласно данным Росстата, объем строительных работ в России в 2023 году составил 15,1 трлн руб., увеличившись в сопоставимых ценах на 7,9% по отношению к 2022му. </w:t>
      </w:r>
    </w:p>
    <w:p w14:paraId="DE000000">
      <w:pPr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  <w:color w:val="1C1C1C"/>
          <w:shd w:fill="F6F6F6" w:val="clear"/>
        </w:rPr>
        <w:t xml:space="preserve">В первом полугодии 2024 года, так же наблюдается повышение динамики, связанное с продолжающимся </w:t>
      </w:r>
      <w:r>
        <w:rPr>
          <w:rFonts w:ascii="Times New Roman" w:hAnsi="Times New Roman"/>
          <w:highlight w:val="white"/>
        </w:rPr>
        <w:t xml:space="preserve">подъемом в жилищном </w:t>
      </w:r>
      <w:r>
        <w:rPr>
          <w:rFonts w:ascii="Times New Roman" w:hAnsi="Times New Roman"/>
          <w:shd w:fill="F6F6F6" w:val="clear"/>
        </w:rPr>
        <w:fldChar w:fldCharType="begin"/>
      </w:r>
      <w:r>
        <w:rPr>
          <w:rFonts w:ascii="Times New Roman" w:hAnsi="Times New Roman"/>
          <w:shd w:fill="F6F6F6" w:val="clear"/>
        </w:rPr>
        <w:instrText>HYPERLINK "https://www.tadviser.ru/index.php/%D0%A1%D1%82%D1%80%D0%BE%D0%B8%D1%82%D0%B5%D0%BB%D1%8C%D1%81%D1%82%D0%B2%D0%BE_%D0%B8_%D0%BF%D1%80%D0%BE%D0%BC%D1%8B%D1%88%D0%BB%D0%B5%D0%BD%D0%BD%D0%BE%D1%81%D1%82%D1%8C_%D1%81%D1%82%D1%80%D0%BE%D0%B8%D1%82%D0%B5%D0%BB%D1%8C%D0%BD%D1%8B%D1%85_%D0%BC%D0%B0%D1%82%D0%B5%D1%80%D0%B8%D0%B0%D0%BB%D0%BE%D0%B2" \o "Строительство и промышленность строительных материалов"</w:instrText>
      </w:r>
      <w:r>
        <w:rPr>
          <w:rFonts w:ascii="Times New Roman" w:hAnsi="Times New Roman"/>
          <w:shd w:fill="F6F6F6" w:val="clear"/>
        </w:rPr>
        <w:fldChar w:fldCharType="separate"/>
      </w:r>
      <w:r>
        <w:rPr>
          <w:rFonts w:ascii="Times New Roman" w:hAnsi="Times New Roman"/>
          <w:shd w:fill="F6F6F6" w:val="clear"/>
        </w:rPr>
        <w:t>строительстве</w:t>
      </w:r>
      <w:r>
        <w:rPr>
          <w:rFonts w:ascii="Times New Roman" w:hAnsi="Times New Roman"/>
          <w:shd w:fill="F6F6F6" w:val="clear"/>
        </w:rPr>
        <w:fldChar w:fldCharType="end"/>
      </w:r>
      <w:r>
        <w:rPr>
          <w:rFonts w:ascii="Times New Roman" w:hAnsi="Times New Roman"/>
          <w:highlight w:val="white"/>
        </w:rPr>
        <w:t>, увеличением вложений в нацпроект «Безопасные качественные дороги» и созданием новых объектов в промышленности.</w:t>
      </w:r>
      <w:r>
        <w:rPr>
          <w:rFonts w:ascii="Times New Roman" w:hAnsi="Times New Roman"/>
        </w:rPr>
        <w:t xml:space="preserve"> </w:t>
      </w:r>
    </w:p>
    <w:p w14:paraId="DF000000">
      <w:pPr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К основным причинам, оказавшим влияние на рост объемов строительства, можно отнести:</w:t>
      </w:r>
    </w:p>
    <w:p w14:paraId="E0000000">
      <w:pPr>
        <w:numPr>
          <w:ilvl w:val="0"/>
          <w:numId w:val="1"/>
        </w:numPr>
        <w:tabs>
          <w:tab w:leader="none" w:pos="1134" w:val="left"/>
        </w:tabs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присоединение новых территорий и увеличение инвестиций со стороны госкомпаний и коммерческих заказчиков, работающих в рамках законодательства о закупках;</w:t>
      </w:r>
    </w:p>
    <w:p w14:paraId="E1000000">
      <w:pPr>
        <w:numPr>
          <w:ilvl w:val="0"/>
          <w:numId w:val="1"/>
        </w:numPr>
        <w:tabs>
          <w:tab w:leader="none" w:pos="1134" w:val="left"/>
        </w:tabs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устойчивость экономики РФ к внешнему давлению;</w:t>
      </w:r>
    </w:p>
    <w:p w14:paraId="E2000000">
      <w:pPr>
        <w:numPr>
          <w:ilvl w:val="0"/>
          <w:numId w:val="1"/>
        </w:numPr>
        <w:tabs>
          <w:tab w:leader="none" w:pos="1134" w:val="left"/>
        </w:tabs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компетентность Минфина и ЦБ, что облегчило доступность к финресурсам (кредиты для МСП) при растущем спросе и относительно невысокой инфляции;</w:t>
      </w:r>
    </w:p>
    <w:p w14:paraId="E3000000">
      <w:pPr>
        <w:numPr>
          <w:ilvl w:val="0"/>
          <w:numId w:val="1"/>
        </w:numPr>
        <w:tabs>
          <w:tab w:leader="none" w:pos="1134" w:val="left"/>
        </w:tabs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переход к отечественной продукции, снижение импортозависимости (не превышает 4% в строительстве);</w:t>
      </w:r>
    </w:p>
    <w:p w14:paraId="E4000000">
      <w:pPr>
        <w:numPr>
          <w:ilvl w:val="0"/>
          <w:numId w:val="1"/>
        </w:numPr>
        <w:tabs>
          <w:tab w:leader="none" w:pos="1134" w:val="left"/>
        </w:tabs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изменение системы ценообразования. Согласно новому ресурсно-индексному методу, объекты будут возводиться не по устаревшим нормам, а исходя из реальной, рыночной стоимости двух позиций: стройматериалов и услуг рабочих.</w:t>
      </w:r>
    </w:p>
    <w:p w14:paraId="E5000000">
      <w:pPr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ПАО «СУС» может выделить ряд ключевых факторов, которые обуславливают его высокую конкурентоспособность в соответствующей отрасли:</w:t>
      </w:r>
    </w:p>
    <w:p w14:paraId="E6000000">
      <w:pPr>
        <w:numPr>
          <w:ilvl w:val="0"/>
          <w:numId w:val="2"/>
        </w:numPr>
        <w:tabs>
          <w:tab w:leader="none" w:pos="1134" w:val="left"/>
        </w:tabs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наличие долгосрочных контрактов с крупными российскими и иностранными контрагентами в сфере атомной энергетики и промышленного строительства; </w:t>
      </w:r>
    </w:p>
    <w:p w14:paraId="E7000000">
      <w:pPr>
        <w:numPr>
          <w:ilvl w:val="0"/>
          <w:numId w:val="2"/>
        </w:numPr>
        <w:tabs>
          <w:tab w:leader="none" w:pos="1134" w:val="left"/>
        </w:tabs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эффективное управление проектами</w:t>
      </w:r>
    </w:p>
    <w:p w14:paraId="E8000000">
      <w:pPr>
        <w:numPr>
          <w:ilvl w:val="0"/>
          <w:numId w:val="2"/>
        </w:numPr>
        <w:tabs>
          <w:tab w:leader="none" w:pos="1134" w:val="left"/>
        </w:tabs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надежность и качество выполнения строительно-монтажных работ в том числе, за счет проведения анализа и подбора оптимальных материалов и технологий для строительства;</w:t>
      </w:r>
    </w:p>
    <w:p w14:paraId="E9000000">
      <w:pPr>
        <w:numPr>
          <w:ilvl w:val="0"/>
          <w:numId w:val="2"/>
        </w:numPr>
        <w:tabs>
          <w:tab w:leader="none" w:pos="1134" w:val="left"/>
        </w:tabs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контроль качества и безопасности строительных работ;</w:t>
      </w:r>
    </w:p>
    <w:p w14:paraId="EA000000">
      <w:pPr>
        <w:numPr>
          <w:ilvl w:val="0"/>
          <w:numId w:val="2"/>
        </w:numPr>
        <w:tabs>
          <w:tab w:leader="none" w:pos="1134" w:val="left"/>
        </w:tabs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соблюдение сроков строительства и контроль за бюджетом;</w:t>
      </w:r>
    </w:p>
    <w:p w14:paraId="EB000000">
      <w:pPr>
        <w:numPr>
          <w:ilvl w:val="0"/>
          <w:numId w:val="2"/>
        </w:numPr>
        <w:tabs>
          <w:tab w:leader="none" w:pos="1134" w:val="left"/>
        </w:tabs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организация работы строительных подразделений и обеспечение их материально-технической базой;</w:t>
      </w:r>
    </w:p>
    <w:p w14:paraId="EC000000">
      <w:pPr>
        <w:numPr>
          <w:ilvl w:val="0"/>
          <w:numId w:val="2"/>
        </w:numPr>
        <w:tabs>
          <w:tab w:leader="none" w:pos="1134" w:val="left"/>
        </w:tabs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профессионализм и компетентность персонала.</w:t>
      </w:r>
    </w:p>
    <w:p w14:paraId="ED000000">
      <w:pPr>
        <w:widowControl w:val="0"/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ПАО СУС является дочерней организацией Холдинга «ТИТАН -2.</w:t>
      </w:r>
    </w:p>
    <w:p w14:paraId="EE000000">
      <w:pPr>
        <w:ind w:firstLine="720" w:left="0"/>
        <w:jc w:val="both"/>
        <w:rPr>
          <w:rFonts w:ascii="Times New Roman" w:hAnsi="Times New Roman"/>
          <w:color w:val="000000"/>
          <w:spacing w:val="11"/>
        </w:rPr>
      </w:pPr>
      <w:r>
        <w:rPr>
          <w:rFonts w:ascii="Times New Roman" w:hAnsi="Times New Roman"/>
          <w:color w:val="000000"/>
          <w:spacing w:val="11"/>
        </w:rPr>
        <w:t xml:space="preserve">Холдинг «ТИТАН-2» </w:t>
      </w:r>
      <w:r>
        <w:rPr>
          <w:rFonts w:ascii="Times New Roman" w:hAnsi="Times New Roman"/>
          <w:color w:val="000000"/>
          <w:spacing w:val="11"/>
        </w:rPr>
        <w:t>- одна из самых крупных и динамично развивающихся строительных компаний в России.</w:t>
      </w:r>
    </w:p>
    <w:p w14:paraId="EF000000">
      <w:pPr>
        <w:ind w:firstLine="720" w:left="0"/>
        <w:jc w:val="both"/>
        <w:rPr>
          <w:rFonts w:ascii="Times New Roman" w:hAnsi="Times New Roman"/>
          <w:color w:val="000000"/>
          <w:spacing w:val="11"/>
        </w:rPr>
      </w:pPr>
      <w:r>
        <w:rPr>
          <w:rFonts w:ascii="Times New Roman" w:hAnsi="Times New Roman"/>
          <w:color w:val="000000"/>
          <w:spacing w:val="11"/>
        </w:rPr>
        <w:t>Холдинг объединяет восемь основных организаций, которые ведут сооружение объектов ядерной и тепловой энергетики, нефтегазовой и химической промышленности. Специалисты компании работают над сооружением аэродромов, причалов, жилых комплексов, дорог, а также социально-значимых объектов.</w:t>
      </w:r>
    </w:p>
    <w:p w14:paraId="F0000000">
      <w:pPr>
        <w:ind w:firstLine="720" w:left="0"/>
        <w:jc w:val="both"/>
        <w:rPr>
          <w:rFonts w:ascii="Times New Roman" w:hAnsi="Times New Roman"/>
          <w:color w:val="000000"/>
          <w:spacing w:val="11"/>
        </w:rPr>
      </w:pPr>
      <w:r>
        <w:rPr>
          <w:rFonts w:ascii="Times New Roman" w:hAnsi="Times New Roman"/>
          <w:color w:val="000000"/>
          <w:spacing w:val="11"/>
        </w:rPr>
        <w:t xml:space="preserve"> Акционерами </w:t>
      </w:r>
      <w:r>
        <w:rPr>
          <w:rFonts w:ascii="Times New Roman" w:hAnsi="Times New Roman"/>
          <w:color w:val="000000"/>
          <w:spacing w:val="11"/>
        </w:rPr>
        <w:t>Холдинга «ТИТАН-2»</w:t>
      </w:r>
      <w:r>
        <w:rPr>
          <w:rFonts w:ascii="Times New Roman" w:hAnsi="Times New Roman"/>
          <w:color w:val="000000"/>
          <w:spacing w:val="11"/>
        </w:rPr>
        <w:t xml:space="preserve"> являются АО «ТИТАН-2» и АО «Концерн Росэнергоатом».</w:t>
      </w:r>
    </w:p>
    <w:p w14:paraId="F1000000">
      <w:pPr>
        <w:ind w:firstLine="720" w:left="0"/>
        <w:jc w:val="both"/>
        <w:rPr>
          <w:rFonts w:ascii="Times New Roman" w:hAnsi="Times New Roman"/>
          <w:color w:val="000000"/>
          <w:spacing w:val="4"/>
        </w:rPr>
      </w:pPr>
      <w:r>
        <w:rPr>
          <w:rFonts w:ascii="Times New Roman" w:hAnsi="Times New Roman"/>
          <w:color w:val="000000"/>
          <w:spacing w:val="11"/>
        </w:rPr>
        <w:t>На протяжении последнего десятилетия, Холдинг «ТИТАН-2» является стратегическим партнером Госкорпорации «Росатом», возводит различные объекты промышленного и социального назначения, выполняет работы на действующих и строящихся АЭС.</w:t>
      </w:r>
      <w:r>
        <w:rPr>
          <w:rFonts w:ascii="Times New Roman" w:hAnsi="Times New Roman"/>
          <w:color w:val="000000"/>
          <w:spacing w:val="4"/>
        </w:rPr>
        <w:t xml:space="preserve"> </w:t>
      </w:r>
    </w:p>
    <w:p w14:paraId="F2000000">
      <w:pPr>
        <w:ind w:firstLine="720" w:left="0"/>
        <w:jc w:val="both"/>
        <w:rPr>
          <w:rFonts w:ascii="Times New Roman" w:hAnsi="Times New Roman"/>
          <w:color w:val="000000"/>
          <w:spacing w:val="4"/>
        </w:rPr>
      </w:pPr>
      <w:r>
        <w:rPr>
          <w:rFonts w:ascii="Times New Roman" w:hAnsi="Times New Roman"/>
          <w:color w:val="000000"/>
          <w:spacing w:val="4"/>
        </w:rPr>
        <w:t>Холдинг «ТИТАН-2» выступает генеральным подрядчиком на сооружении новых энергоблоков Ленинградской атомной станции. Организациями холдинга осуществляются все общестроительные, монтажные и электромонтажные работы на стройплощадке. Холдинг участвует в строительстве АЭС «Аккую» в Турции, АЭС «Пакш-2» в Венгрии и АЭС «Эль-Дабаа» в Египте.</w:t>
      </w:r>
    </w:p>
    <w:p w14:paraId="F3000000">
      <w:pPr>
        <w:ind w:firstLine="720" w:left="0"/>
        <w:jc w:val="both"/>
        <w:rPr>
          <w:rFonts w:ascii="Times New Roman" w:hAnsi="Times New Roman"/>
          <w:color w:val="000000"/>
          <w:spacing w:val="11"/>
        </w:rPr>
      </w:pPr>
      <w:r>
        <w:rPr>
          <w:rFonts w:ascii="Times New Roman" w:hAnsi="Times New Roman"/>
          <w:color w:val="000000"/>
          <w:spacing w:val="4"/>
        </w:rPr>
        <w:t>В настоящее время, объекты использования атомной энергии – считаются самыми экологичными индустриальными объектами.</w:t>
      </w:r>
    </w:p>
    <w:p w14:paraId="F4000000">
      <w:pPr>
        <w:pStyle w:val="Style_11"/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Конкурентоспособность ПАО СУС основывается на уникальной материально-технической базе и кадровых ресурсах, а также опыте координации деятельности научных, проектных и конструкторских организаций.</w:t>
      </w:r>
    </w:p>
    <w:p w14:paraId="F5000000">
      <w:pPr>
        <w:pStyle w:val="Style_11"/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Возможность оказания столь широкого спектра качественных услуг и выполнения работ, подтверждена наличием лицензий у ПАО СУС:</w:t>
      </w:r>
    </w:p>
    <w:p w14:paraId="F6000000">
      <w:pPr>
        <w:pStyle w:val="Style_12"/>
        <w:numPr>
          <w:ilvl w:val="0"/>
          <w:numId w:val="3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Лицензия на «Строительство комплексов (зданий и сооружений), предназначенных для проведения ядерно-опасных и радиационно-опасных работ при разработке, испытаниях, хранении, эксплуатации, ремонте, выводе из эксплуатации и утилизации ядерных энергетических установок военного назначения</w:t>
      </w:r>
    </w:p>
    <w:p w14:paraId="F7000000">
      <w:pPr>
        <w:pStyle w:val="Style_12"/>
        <w:numPr>
          <w:ilvl w:val="0"/>
          <w:numId w:val="3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Лицензия на сооружение ядерных установок (атомные станции)</w:t>
      </w:r>
    </w:p>
    <w:p w14:paraId="F8000000">
      <w:pPr>
        <w:pStyle w:val="Style_12"/>
        <w:numPr>
          <w:ilvl w:val="0"/>
          <w:numId w:val="3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Свидетельство об аттестации испытательной лаборатории № ИЛ-ЛРИ-0054</w:t>
      </w:r>
    </w:p>
    <w:p w14:paraId="F9000000">
      <w:pPr>
        <w:pStyle w:val="Style_12"/>
        <w:numPr>
          <w:ilvl w:val="0"/>
          <w:numId w:val="3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Лицензия на право осуществления образовательной деятельности по образовательным программам</w:t>
      </w:r>
    </w:p>
    <w:p w14:paraId="FA000000">
      <w:pPr>
        <w:pStyle w:val="Style_12"/>
        <w:numPr>
          <w:ilvl w:val="0"/>
          <w:numId w:val="3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Свидетельство об аккредитации ИЦСМиК</w:t>
      </w:r>
    </w:p>
    <w:p w14:paraId="FB000000">
      <w:pPr>
        <w:pStyle w:val="Style_12"/>
        <w:numPr>
          <w:ilvl w:val="0"/>
          <w:numId w:val="3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Лицензия на осуществление деятельности по сохранению объектов культурного наследия (памятников истории и культуры) народов РФ</w:t>
      </w:r>
    </w:p>
    <w:p w14:paraId="FC000000">
      <w:pPr>
        <w:pStyle w:val="Style_12"/>
        <w:numPr>
          <w:ilvl w:val="0"/>
          <w:numId w:val="3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Лицензия на осуществление деятельности по монтажу, техническому обслуживанию и ремонту средств обеспечения пожарной безопасности зданий и сооружений</w:t>
      </w:r>
    </w:p>
    <w:p w14:paraId="FD000000">
      <w:pPr>
        <w:pStyle w:val="Style_12"/>
        <w:numPr>
          <w:ilvl w:val="0"/>
          <w:numId w:val="3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Лицензия на эксплуатацию ядерных установок (атомные станции)</w:t>
      </w:r>
    </w:p>
    <w:p w14:paraId="FE000000">
      <w:pPr>
        <w:pStyle w:val="Style_12"/>
        <w:numPr>
          <w:ilvl w:val="0"/>
          <w:numId w:val="3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Лицензия на обращение с радиоактивными веществами при транспортировании </w:t>
      </w:r>
    </w:p>
    <w:p w14:paraId="FF000000">
      <w:pPr>
        <w:pStyle w:val="Style_12"/>
        <w:numPr>
          <w:ilvl w:val="0"/>
          <w:numId w:val="3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Лицензия на эксплуатацию пунктов хранения ядерных материалов, радиоактивных веществ, хранилищ радиоактивных отходов</w:t>
      </w:r>
    </w:p>
    <w:p w14:paraId="00010000">
      <w:pPr>
        <w:pStyle w:val="Style_12"/>
        <w:numPr>
          <w:ilvl w:val="0"/>
          <w:numId w:val="3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Свидетельство об аккредитации (лаборатория неразрушающего контроля)</w:t>
      </w:r>
    </w:p>
    <w:p w14:paraId="01010000">
      <w:pPr>
        <w:pStyle w:val="Style_12"/>
        <w:numPr>
          <w:ilvl w:val="0"/>
          <w:numId w:val="3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Сертификат соответствия БТОЗ требованиям стандарта ГОСТ Р 54934-2012 (OHSAS 18001:2007)</w:t>
      </w:r>
    </w:p>
    <w:p w14:paraId="02010000">
      <w:pPr>
        <w:pStyle w:val="Style_12"/>
        <w:numPr>
          <w:ilvl w:val="0"/>
          <w:numId w:val="3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Сертификат соответствия СМК требованиям стандарта ГOCT P ИCO 9001-2015 (ISO 9001:2015)</w:t>
      </w:r>
    </w:p>
    <w:p w14:paraId="03010000">
      <w:pPr>
        <w:pStyle w:val="Style_12"/>
        <w:numPr>
          <w:ilvl w:val="0"/>
          <w:numId w:val="3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Сертификат соответствия СЭМ требованиям стандарта ГOCT P ИСО 14001-2007 (ISO 14001:2015)</w:t>
      </w:r>
    </w:p>
    <w:p w14:paraId="04010000">
      <w:pPr>
        <w:pStyle w:val="Style_12"/>
        <w:numPr>
          <w:ilvl w:val="0"/>
          <w:numId w:val="3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Сертификат на техническое обслуживание, ремонт легковых автомобилей, грузовых и строительно-дорожных машин и оборудования</w:t>
      </w:r>
    </w:p>
    <w:p w14:paraId="05010000">
      <w:pPr>
        <w:ind w:firstLine="720" w:left="0"/>
        <w:jc w:val="both"/>
        <w:rPr>
          <w:rFonts w:ascii="Times New Roman" w:hAnsi="Times New Roman"/>
          <w:color w:val="000000"/>
          <w:spacing w:val="11"/>
        </w:rPr>
      </w:pPr>
    </w:p>
    <w:p w14:paraId="06010000">
      <w:pPr>
        <w:ind w:firstLine="720" w:left="0"/>
        <w:jc w:val="both"/>
        <w:rPr>
          <w:rFonts w:ascii="Times New Roman" w:hAnsi="Times New Roman"/>
          <w:color w:val="000000"/>
          <w:spacing w:val="11"/>
        </w:rPr>
      </w:pPr>
      <w:r>
        <w:rPr>
          <w:rFonts w:ascii="Times New Roman" w:hAnsi="Times New Roman"/>
          <w:color w:val="000000"/>
          <w:spacing w:val="11"/>
        </w:rPr>
        <w:t>Организационная структура Эмитента дает возможность осуществлять полный цикл работ по созданию объекта - строительные работы нулевого цикла, сооружение зданий, монтаж металлоконструкций и железобетонных изделий, кровли любого типа, прокладку инженерных сетей, строительство дорог и благоустройство территорий, отделку помещений. Подразделения, входящие в ПАО «СУС» выполняют проектные, общестроительные, земляные работы, обеспечивают объекты дорогами, электроэнергией, транспортом, стройматериалами.</w:t>
      </w:r>
    </w:p>
    <w:p w14:paraId="07010000">
      <w:pPr>
        <w:tabs>
          <w:tab w:leader="none" w:pos="154" w:val="left"/>
        </w:tabs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202</w:t>
      </w:r>
      <w:r>
        <w:rPr>
          <w:rFonts w:ascii="Times New Roman" w:hAnsi="Times New Roman"/>
        </w:rPr>
        <w:t>4</w:t>
      </w:r>
      <w:r>
        <w:rPr>
          <w:rFonts w:ascii="Times New Roman" w:hAnsi="Times New Roman"/>
        </w:rPr>
        <w:t xml:space="preserve">г. </w:t>
      </w:r>
      <w:r>
        <w:rPr>
          <w:rFonts w:ascii="Times New Roman" w:hAnsi="Times New Roman"/>
        </w:rPr>
        <w:t xml:space="preserve">продолжило расширять свое производство. </w:t>
      </w:r>
    </w:p>
    <w:p w14:paraId="08010000">
      <w:pPr>
        <w:tabs>
          <w:tab w:leader="none" w:pos="154" w:val="left"/>
        </w:tabs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</w:t>
      </w:r>
      <w:r>
        <w:rPr>
          <w:rFonts w:ascii="Times New Roman" w:hAnsi="Times New Roman"/>
        </w:rPr>
        <w:t>рганизационная структура,</w:t>
      </w:r>
      <w:r>
        <w:rPr>
          <w:rFonts w:ascii="Times New Roman" w:hAnsi="Times New Roman"/>
        </w:rPr>
        <w:t xml:space="preserve"> была дополнена Дирекцией по производству металлоконструкций,  Дирекцией по производству внутренней защитной оболочки 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и Дирекцией по поставкам строительных и проектных материалов, что позволяет предприятию </w:t>
      </w:r>
      <w:r>
        <w:rPr>
          <w:rFonts w:ascii="Times New Roman" w:hAnsi="Times New Roman"/>
        </w:rPr>
        <w:t>оперативн</w:t>
      </w:r>
      <w:r>
        <w:rPr>
          <w:rFonts w:ascii="Times New Roman" w:hAnsi="Times New Roman"/>
        </w:rPr>
        <w:t>ее</w:t>
      </w:r>
      <w:r>
        <w:rPr>
          <w:rFonts w:ascii="Times New Roman" w:hAnsi="Times New Roman"/>
        </w:rPr>
        <w:t xml:space="preserve"> и качественно решать задачи, связанные с деятельностью и развитием строительного </w:t>
      </w:r>
      <w:r>
        <w:rPr>
          <w:rFonts w:ascii="Times New Roman" w:hAnsi="Times New Roman"/>
        </w:rPr>
        <w:t xml:space="preserve">атомного </w:t>
      </w:r>
      <w:r>
        <w:rPr>
          <w:rFonts w:ascii="Times New Roman" w:hAnsi="Times New Roman"/>
        </w:rPr>
        <w:t>комплекса.</w:t>
      </w:r>
    </w:p>
    <w:p w14:paraId="09010000">
      <w:pPr>
        <w:tabs>
          <w:tab w:leader="none" w:pos="1134" w:val="left"/>
        </w:tabs>
        <w:ind w:firstLine="709" w:left="0"/>
        <w:jc w:val="both"/>
        <w:rPr>
          <w:rFonts w:ascii="Times New Roman" w:hAnsi="Times New Roman"/>
          <w:sz w:val="22"/>
        </w:rPr>
      </w:pPr>
    </w:p>
    <w:p w14:paraId="0A010000">
      <w:bookmarkStart w:id="7" w:name="__RefHeading___4"/>
      <w:bookmarkEnd w:id="7"/>
      <w:pPr>
        <w:pStyle w:val="Style_9"/>
        <w:spacing w:before="240"/>
        <w:ind w:firstLine="0" w:left="425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1.3. Основные операционные показатели, характер</w:t>
      </w:r>
      <w:r>
        <w:rPr>
          <w:rFonts w:ascii="Times New Roman" w:hAnsi="Times New Roman"/>
          <w:b w:val="1"/>
        </w:rPr>
        <w:t>изующие деятельность эмитента.</w:t>
      </w:r>
    </w:p>
    <w:p w14:paraId="0B010000">
      <w:pPr>
        <w:pStyle w:val="Style_13"/>
        <w:spacing w:before="0" w:line="240" w:lineRule="auto"/>
        <w:ind w:firstLine="720" w:left="0"/>
        <w:jc w:val="both"/>
        <w:rPr>
          <w:b w:val="0"/>
          <w:sz w:val="22"/>
        </w:rPr>
      </w:pPr>
    </w:p>
    <w:p w14:paraId="0C010000">
      <w:pPr>
        <w:ind w:firstLine="720" w:left="0"/>
        <w:jc w:val="center"/>
        <w:rPr>
          <w:rFonts w:ascii="Times New Roman" w:hAnsi="Times New Roman"/>
          <w:b w:val="0"/>
          <w:sz w:val="22"/>
        </w:rPr>
      </w:pPr>
      <w:r>
        <w:rPr>
          <w:rFonts w:ascii="Times New Roman" w:hAnsi="Times New Roman"/>
          <w:b w:val="0"/>
        </w:rPr>
        <w:t xml:space="preserve">Основные операционные  </w:t>
      </w:r>
      <w:r>
        <w:rPr>
          <w:rFonts w:ascii="Times New Roman" w:hAnsi="Times New Roman"/>
          <w:b w:val="0"/>
        </w:rPr>
        <w:t>показатели, характеризующие результаты деятельности</w:t>
      </w:r>
    </w:p>
    <w:p w14:paraId="0D010000">
      <w:pPr>
        <w:ind w:firstLine="720" w:left="0"/>
        <w:jc w:val="center"/>
        <w:rPr>
          <w:rFonts w:ascii="Times New Roman" w:hAnsi="Times New Roman"/>
          <w:sz w:val="22"/>
        </w:rPr>
      </w:pPr>
      <w:r>
        <w:rPr>
          <w:rFonts w:ascii="Times New Roman" w:hAnsi="Times New Roman"/>
          <w:b w:val="0"/>
        </w:rPr>
        <w:t xml:space="preserve">ПАО «СУС», </w:t>
      </w:r>
      <w:r>
        <w:rPr>
          <w:rFonts w:ascii="Times New Roman" w:hAnsi="Times New Roman"/>
          <w:b w:val="0"/>
        </w:rPr>
        <w:t>(</w:t>
      </w:r>
      <w:r>
        <w:rPr>
          <w:rFonts w:ascii="Times New Roman" w:hAnsi="Times New Roman"/>
          <w:b w:val="0"/>
        </w:rPr>
        <w:t>тыс.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22"/>
        </w:rPr>
        <w:t>руб.)</w:t>
      </w:r>
    </w:p>
    <w:p w14:paraId="0E010000">
      <w:pPr>
        <w:ind w:firstLine="720" w:left="0"/>
        <w:jc w:val="center"/>
        <w:rPr>
          <w:rFonts w:ascii="Times New Roman" w:hAnsi="Times New Roman"/>
          <w:sz w:val="22"/>
        </w:rPr>
      </w:pPr>
    </w:p>
    <w:tbl>
      <w:tblPr>
        <w:tblStyle w:val="Style_14"/>
        <w:tblW w:type="auto" w:w="0"/>
        <w:tblLayout w:type="fixed"/>
      </w:tblPr>
      <w:tblGrid>
        <w:gridCol w:w="4673"/>
        <w:gridCol w:w="1701"/>
        <w:gridCol w:w="1701"/>
        <w:gridCol w:w="1495"/>
      </w:tblGrid>
      <w:tr>
        <w:tc>
          <w:tcPr>
            <w:tcW w:type="dxa" w:w="467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0F010000">
            <w:pPr>
              <w:spacing w:line="360" w:lineRule="auto"/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Наименование показателей</w:t>
            </w:r>
          </w:p>
        </w:tc>
        <w:tc>
          <w:tcPr>
            <w:tcW w:type="dxa" w:w="1701"/>
            <w:vAlign w:val="center"/>
          </w:tcPr>
          <w:p w14:paraId="10010000">
            <w:pPr>
              <w:ind/>
              <w:jc w:val="center"/>
              <w:rPr>
                <w:rFonts w:ascii="Times New Roman" w:hAnsi="Times New Roman"/>
                <w:b w:val="1"/>
                <w:sz w:val="22"/>
              </w:rPr>
            </w:pPr>
            <w:r>
              <w:rPr>
                <w:rFonts w:ascii="Times New Roman" w:hAnsi="Times New Roman"/>
                <w:b w:val="1"/>
                <w:sz w:val="22"/>
              </w:rPr>
              <w:t>1 полугодие</w:t>
            </w:r>
          </w:p>
          <w:p w14:paraId="11010000">
            <w:pPr>
              <w:ind/>
              <w:jc w:val="center"/>
              <w:rPr>
                <w:rFonts w:ascii="Times New Roman" w:hAnsi="Times New Roman"/>
                <w:b w:val="1"/>
                <w:sz w:val="22"/>
              </w:rPr>
            </w:pPr>
            <w:r>
              <w:rPr>
                <w:rFonts w:ascii="Times New Roman" w:hAnsi="Times New Roman"/>
                <w:b w:val="1"/>
                <w:sz w:val="22"/>
              </w:rPr>
              <w:t>2022 года</w:t>
            </w:r>
          </w:p>
        </w:tc>
        <w:tc>
          <w:tcPr>
            <w:tcW w:type="dxa" w:w="1701"/>
            <w:vAlign w:val="center"/>
          </w:tcPr>
          <w:p w14:paraId="12010000">
            <w:pPr>
              <w:ind/>
              <w:jc w:val="center"/>
              <w:rPr>
                <w:rFonts w:ascii="Times New Roman" w:hAnsi="Times New Roman"/>
                <w:b w:val="1"/>
                <w:sz w:val="22"/>
              </w:rPr>
            </w:pPr>
            <w:r>
              <w:rPr>
                <w:rFonts w:ascii="Times New Roman" w:hAnsi="Times New Roman"/>
                <w:b w:val="1"/>
                <w:sz w:val="22"/>
              </w:rPr>
              <w:t>1 полугодие</w:t>
            </w:r>
          </w:p>
          <w:p w14:paraId="13010000">
            <w:pPr>
              <w:ind/>
              <w:jc w:val="center"/>
              <w:rPr>
                <w:rFonts w:ascii="Times New Roman" w:hAnsi="Times New Roman"/>
                <w:b w:val="1"/>
                <w:sz w:val="22"/>
              </w:rPr>
            </w:pPr>
            <w:r>
              <w:rPr>
                <w:rFonts w:ascii="Times New Roman" w:hAnsi="Times New Roman"/>
                <w:b w:val="1"/>
                <w:sz w:val="22"/>
              </w:rPr>
              <w:t>2023 года</w:t>
            </w:r>
          </w:p>
        </w:tc>
        <w:tc>
          <w:tcPr>
            <w:tcW w:type="dxa" w:w="1495"/>
            <w:vAlign w:val="center"/>
          </w:tcPr>
          <w:p w14:paraId="14010000">
            <w:pPr>
              <w:ind/>
              <w:jc w:val="center"/>
              <w:rPr>
                <w:rFonts w:ascii="Times New Roman" w:hAnsi="Times New Roman"/>
                <w:b w:val="1"/>
                <w:sz w:val="22"/>
              </w:rPr>
            </w:pPr>
            <w:r>
              <w:rPr>
                <w:rFonts w:ascii="Times New Roman" w:hAnsi="Times New Roman"/>
                <w:b w:val="1"/>
                <w:sz w:val="22"/>
              </w:rPr>
              <w:t>1 полугодие</w:t>
            </w:r>
          </w:p>
          <w:p w14:paraId="15010000">
            <w:pPr>
              <w:ind/>
              <w:jc w:val="center"/>
              <w:rPr>
                <w:rFonts w:ascii="Times New Roman" w:hAnsi="Times New Roman"/>
                <w:b w:val="1"/>
                <w:sz w:val="22"/>
              </w:rPr>
            </w:pPr>
            <w:r>
              <w:rPr>
                <w:rFonts w:ascii="Times New Roman" w:hAnsi="Times New Roman"/>
                <w:b w:val="1"/>
                <w:sz w:val="22"/>
              </w:rPr>
              <w:t>2024 года</w:t>
            </w:r>
          </w:p>
        </w:tc>
      </w:tr>
      <w:tr>
        <w:tc>
          <w:tcPr>
            <w:tcW w:type="dxa" w:w="467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16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Выручка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17010000">
            <w:pPr>
              <w:spacing w:line="360" w:lineRule="auto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1 066 734</w:t>
            </w:r>
          </w:p>
        </w:tc>
        <w:tc>
          <w:tcPr>
            <w:tcW w:type="dxa" w:w="1701"/>
            <w:vAlign w:val="center"/>
          </w:tcPr>
          <w:p w14:paraId="18010000">
            <w:pPr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1 742 524</w:t>
            </w:r>
          </w:p>
        </w:tc>
        <w:tc>
          <w:tcPr>
            <w:tcW w:type="dxa" w:w="1495"/>
            <w:vAlign w:val="center"/>
          </w:tcPr>
          <w:p w14:paraId="19010000">
            <w:pPr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</w:rPr>
              <w:t>3 548 800</w:t>
            </w:r>
          </w:p>
        </w:tc>
      </w:tr>
      <w:tr>
        <w:tc>
          <w:tcPr>
            <w:tcW w:type="dxa" w:w="467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1A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Себестоимость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1B010000">
            <w:pPr>
              <w:spacing w:line="360" w:lineRule="auto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1 116 055</w:t>
            </w:r>
          </w:p>
        </w:tc>
        <w:tc>
          <w:tcPr>
            <w:tcW w:type="dxa" w:w="1701"/>
            <w:vAlign w:val="center"/>
          </w:tcPr>
          <w:p w14:paraId="1C010000">
            <w:pPr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1 767 090</w:t>
            </w:r>
          </w:p>
        </w:tc>
        <w:tc>
          <w:tcPr>
            <w:tcW w:type="dxa" w:w="1495"/>
            <w:vAlign w:val="center"/>
          </w:tcPr>
          <w:p w14:paraId="1D010000">
            <w:pPr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</w:rPr>
              <w:t>4 146 922</w:t>
            </w:r>
          </w:p>
        </w:tc>
      </w:tr>
      <w:tr>
        <w:tc>
          <w:tcPr>
            <w:tcW w:type="dxa" w:w="467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1E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Прибыль (+)/убыток (-) от продаж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bottom"/>
          </w:tcPr>
          <w:p w14:paraId="1F010000">
            <w:pPr>
              <w:spacing w:line="360" w:lineRule="auto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-95 625</w:t>
            </w:r>
          </w:p>
        </w:tc>
        <w:tc>
          <w:tcPr>
            <w:tcW w:type="dxa" w:w="1701"/>
            <w:vAlign w:val="bottom"/>
          </w:tcPr>
          <w:p w14:paraId="20010000">
            <w:pPr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- 91 408</w:t>
            </w:r>
          </w:p>
        </w:tc>
        <w:tc>
          <w:tcPr>
            <w:tcW w:type="dxa" w:w="1495"/>
            <w:vAlign w:val="bottom"/>
          </w:tcPr>
          <w:p w14:paraId="21010000">
            <w:pPr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- 669 820</w:t>
            </w:r>
          </w:p>
        </w:tc>
      </w:tr>
      <w:tr>
        <w:tc>
          <w:tcPr>
            <w:tcW w:type="dxa" w:w="467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22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Прибыль (+)/Убыток (-) до налогообложения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23010000">
            <w:pPr>
              <w:spacing w:line="360" w:lineRule="auto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-109 018</w:t>
            </w:r>
          </w:p>
        </w:tc>
        <w:tc>
          <w:tcPr>
            <w:tcW w:type="dxa" w:w="1701"/>
            <w:vAlign w:val="center"/>
          </w:tcPr>
          <w:p w14:paraId="24010000">
            <w:pPr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- 119 715</w:t>
            </w:r>
          </w:p>
        </w:tc>
        <w:tc>
          <w:tcPr>
            <w:tcW w:type="dxa" w:w="1495"/>
            <w:vAlign w:val="center"/>
          </w:tcPr>
          <w:p w14:paraId="25010000">
            <w:pPr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- 729 830</w:t>
            </w:r>
          </w:p>
        </w:tc>
      </w:tr>
      <w:tr>
        <w:tc>
          <w:tcPr>
            <w:tcW w:type="dxa" w:w="467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26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Чистая прибыль/убыток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27010000">
            <w:pPr>
              <w:spacing w:line="360" w:lineRule="auto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-90 863</w:t>
            </w:r>
          </w:p>
        </w:tc>
        <w:tc>
          <w:tcPr>
            <w:tcW w:type="dxa" w:w="1701"/>
            <w:vAlign w:val="center"/>
          </w:tcPr>
          <w:p w14:paraId="28010000">
            <w:pPr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- 100 658</w:t>
            </w:r>
          </w:p>
        </w:tc>
        <w:tc>
          <w:tcPr>
            <w:tcW w:type="dxa" w:w="1495"/>
            <w:vAlign w:val="center"/>
          </w:tcPr>
          <w:p w14:paraId="29010000">
            <w:pPr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- 585 261</w:t>
            </w:r>
          </w:p>
        </w:tc>
      </w:tr>
      <w:tr>
        <w:tc>
          <w:tcPr>
            <w:tcW w:type="dxa" w:w="467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2A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Сумма активов баланса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2B010000">
            <w:pPr>
              <w:spacing w:line="360" w:lineRule="auto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2 827 606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2C010000">
            <w:pPr>
              <w:spacing w:line="360" w:lineRule="auto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3 575м997</w:t>
            </w:r>
          </w:p>
        </w:tc>
        <w:tc>
          <w:tcPr>
            <w:tcW w:type="dxa" w:w="149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2D010000">
            <w:pPr>
              <w:spacing w:line="360" w:lineRule="auto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17 177 642</w:t>
            </w:r>
          </w:p>
        </w:tc>
      </w:tr>
      <w:tr>
        <w:tc>
          <w:tcPr>
            <w:tcW w:type="dxa" w:w="467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2E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Оборотные средства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2F010000">
            <w:pPr>
              <w:spacing w:line="360" w:lineRule="auto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1 735 953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30010000">
            <w:pPr>
              <w:spacing w:line="360" w:lineRule="auto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2 981 549</w:t>
            </w:r>
          </w:p>
        </w:tc>
        <w:tc>
          <w:tcPr>
            <w:tcW w:type="dxa" w:w="149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31010000">
            <w:pPr>
              <w:spacing w:line="360" w:lineRule="auto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16 585 422</w:t>
            </w:r>
          </w:p>
        </w:tc>
      </w:tr>
      <w:tr>
        <w:tc>
          <w:tcPr>
            <w:tcW w:type="dxa" w:w="467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32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Кредиторская задолженность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33010000">
            <w:pPr>
              <w:spacing w:line="360" w:lineRule="auto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5 756 443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34010000">
            <w:pPr>
              <w:spacing w:line="360" w:lineRule="auto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5 665 476</w:t>
            </w:r>
          </w:p>
        </w:tc>
        <w:tc>
          <w:tcPr>
            <w:tcW w:type="dxa" w:w="149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35010000">
            <w:pPr>
              <w:spacing w:line="360" w:lineRule="auto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20 284 143</w:t>
            </w:r>
          </w:p>
        </w:tc>
      </w:tr>
      <w:tr>
        <w:tc>
          <w:tcPr>
            <w:tcW w:type="dxa" w:w="467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36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Чистые активы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37010000">
            <w:pPr>
              <w:spacing w:line="360" w:lineRule="auto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-2 928 837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38010000">
            <w:pPr>
              <w:spacing w:line="360" w:lineRule="auto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-3 288 998</w:t>
            </w:r>
          </w:p>
        </w:tc>
        <w:tc>
          <w:tcPr>
            <w:tcW w:type="dxa" w:w="149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39010000">
            <w:pPr>
              <w:spacing w:line="360" w:lineRule="auto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-3 745 180</w:t>
            </w:r>
          </w:p>
        </w:tc>
      </w:tr>
      <w:tr>
        <w:tc>
          <w:tcPr>
            <w:tcW w:type="dxa" w:w="4673"/>
            <w:vAlign w:val="center"/>
          </w:tcPr>
          <w:p w14:paraId="3A01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Среднесписочная численность, чел.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3B010000">
            <w:pPr>
              <w:spacing w:line="360" w:lineRule="auto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687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3C010000">
            <w:pPr>
              <w:spacing w:line="360" w:lineRule="auto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604*</w:t>
            </w:r>
          </w:p>
        </w:tc>
        <w:tc>
          <w:tcPr>
            <w:tcW w:type="dxa" w:w="149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3D010000">
            <w:pPr>
              <w:spacing w:line="360" w:lineRule="auto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655</w:t>
            </w:r>
          </w:p>
        </w:tc>
      </w:tr>
    </w:tbl>
    <w:p w14:paraId="3E010000">
      <w:pPr>
        <w:pStyle w:val="Style_13"/>
        <w:spacing w:before="0" w:line="240" w:lineRule="auto"/>
        <w:ind w:firstLine="720" w:left="0"/>
        <w:jc w:val="both"/>
        <w:rPr>
          <w:sz w:val="18"/>
        </w:rPr>
      </w:pPr>
      <w:r>
        <w:rPr>
          <w:sz w:val="18"/>
        </w:rPr>
        <w:t>*в т.ч. 268 чел в филиале АРЕ</w:t>
      </w:r>
    </w:p>
    <w:p w14:paraId="3F010000">
      <w:pPr>
        <w:pStyle w:val="Style_13"/>
        <w:spacing w:before="0" w:line="240" w:lineRule="auto"/>
        <w:ind w:firstLine="720" w:left="0"/>
        <w:jc w:val="center"/>
        <w:rPr>
          <w:sz w:val="22"/>
        </w:rPr>
      </w:pPr>
    </w:p>
    <w:p w14:paraId="40010000">
      <w:pPr>
        <w:pStyle w:val="Style_13"/>
        <w:spacing w:before="0" w:line="240" w:lineRule="auto"/>
        <w:ind w:firstLine="720" w:left="0"/>
        <w:jc w:val="both"/>
        <w:rPr>
          <w:sz w:val="24"/>
        </w:rPr>
      </w:pPr>
      <w:r>
        <w:rPr>
          <w:sz w:val="24"/>
        </w:rPr>
        <w:t>Целями ПАО «СУС» в долгосрочной перспективе являются дальнейшее поэтапное развитие компании и усиление эффективности деятельности с целью увеличения прибыли, расширение географии присутствия на строительных площадках путем пополнения производственной программы новыми объектами, находящимися за пределами региона.</w:t>
      </w:r>
    </w:p>
    <w:p w14:paraId="41010000">
      <w:pPr>
        <w:pStyle w:val="Style_13"/>
        <w:spacing w:before="0" w:line="240" w:lineRule="auto"/>
        <w:ind w:firstLine="720" w:left="0"/>
        <w:jc w:val="both"/>
        <w:rPr>
          <w:sz w:val="24"/>
        </w:rPr>
      </w:pPr>
      <w:r>
        <w:rPr>
          <w:sz w:val="24"/>
        </w:rPr>
        <w:t xml:space="preserve">Основными перспективными направлениями деятельности ПАО «СУС» в 2023 и на 2024 годы стали: </w:t>
      </w:r>
    </w:p>
    <w:p w14:paraId="42010000">
      <w:pPr>
        <w:pStyle w:val="Style_13"/>
        <w:numPr>
          <w:ilvl w:val="0"/>
          <w:numId w:val="4"/>
        </w:numPr>
        <w:tabs>
          <w:tab w:leader="none" w:pos="993" w:val="left"/>
        </w:tabs>
        <w:spacing w:before="0" w:line="240" w:lineRule="auto"/>
        <w:ind w:firstLine="720" w:left="0"/>
        <w:jc w:val="both"/>
        <w:rPr>
          <w:sz w:val="24"/>
        </w:rPr>
      </w:pPr>
      <w:r>
        <w:rPr>
          <w:sz w:val="24"/>
        </w:rPr>
        <w:t xml:space="preserve">подготовка к строительству объектов замещающих мощностей на стройплощадке ЛАЭС-2 (блоки № 3 и № 4); </w:t>
      </w:r>
    </w:p>
    <w:p w14:paraId="43010000">
      <w:pPr>
        <w:pStyle w:val="Style_13"/>
        <w:numPr>
          <w:ilvl w:val="0"/>
          <w:numId w:val="4"/>
        </w:numPr>
        <w:tabs>
          <w:tab w:leader="none" w:pos="993" w:val="left"/>
        </w:tabs>
        <w:spacing w:before="0" w:line="240" w:lineRule="auto"/>
        <w:ind w:firstLine="720" w:left="0"/>
        <w:jc w:val="both"/>
        <w:rPr>
          <w:sz w:val="24"/>
        </w:rPr>
      </w:pPr>
      <w:r>
        <w:rPr>
          <w:sz w:val="24"/>
        </w:rPr>
        <w:t>реконструкция объектов (вывод из эксплуатации остановленных и реконструкция действующих) энергоблоков Ленинградской АЭС;</w:t>
      </w:r>
    </w:p>
    <w:p w14:paraId="44010000">
      <w:pPr>
        <w:pStyle w:val="Style_13"/>
        <w:numPr>
          <w:ilvl w:val="0"/>
          <w:numId w:val="4"/>
        </w:numPr>
        <w:tabs>
          <w:tab w:leader="none" w:pos="993" w:val="left"/>
        </w:tabs>
        <w:spacing w:before="0" w:line="240" w:lineRule="auto"/>
        <w:ind w:firstLine="720" w:left="0"/>
        <w:jc w:val="both"/>
        <w:rPr>
          <w:sz w:val="24"/>
        </w:rPr>
      </w:pPr>
      <w:r>
        <w:rPr>
          <w:sz w:val="24"/>
        </w:rPr>
        <w:t>выполнение работ в г. Сосновый Бор, заказчиком которых выступает ФГУП «Научно - исследовательский технологический институт им. А.П. Александрова», Правительство Ленинградской области;</w:t>
      </w:r>
    </w:p>
    <w:p w14:paraId="45010000">
      <w:pPr>
        <w:pStyle w:val="Style_13"/>
        <w:numPr>
          <w:ilvl w:val="0"/>
          <w:numId w:val="4"/>
        </w:numPr>
        <w:tabs>
          <w:tab w:leader="none" w:pos="993" w:val="left"/>
        </w:tabs>
        <w:spacing w:before="0" w:line="240" w:lineRule="auto"/>
        <w:ind w:firstLine="720" w:left="0"/>
        <w:jc w:val="both"/>
        <w:rPr>
          <w:sz w:val="24"/>
        </w:rPr>
      </w:pPr>
      <w:r>
        <w:rPr>
          <w:sz w:val="24"/>
        </w:rPr>
        <w:t>строительство Центра обработки и хранения данных (ЦОД) на территории Республики Татарстана</w:t>
      </w:r>
    </w:p>
    <w:p w14:paraId="46010000">
      <w:pPr>
        <w:pStyle w:val="Style_13"/>
        <w:numPr>
          <w:ilvl w:val="0"/>
          <w:numId w:val="4"/>
        </w:numPr>
        <w:tabs>
          <w:tab w:leader="none" w:pos="993" w:val="left"/>
        </w:tabs>
        <w:spacing w:before="0" w:line="240" w:lineRule="auto"/>
        <w:ind w:firstLine="720" w:left="0"/>
        <w:jc w:val="both"/>
        <w:rPr>
          <w:sz w:val="24"/>
        </w:rPr>
      </w:pPr>
      <w:r>
        <w:rPr>
          <w:sz w:val="24"/>
        </w:rPr>
        <w:t>завершение работ на объекте «ЛСК» (Калининградская область), выполнение работ на объектах Курская АЭС, объект «Прорыв» в ЗАТО г. Северск, Красноярский Край г. Норильск), Центральном, Уральском, Сибирском Федеральных округах.</w:t>
      </w:r>
    </w:p>
    <w:p w14:paraId="47010000">
      <w:pPr>
        <w:pStyle w:val="Style_13"/>
        <w:numPr>
          <w:ilvl w:val="0"/>
          <w:numId w:val="4"/>
        </w:numPr>
        <w:tabs>
          <w:tab w:leader="none" w:pos="993" w:val="left"/>
        </w:tabs>
        <w:spacing w:before="0" w:line="240" w:lineRule="auto"/>
        <w:ind w:firstLine="720" w:left="0"/>
        <w:jc w:val="both"/>
        <w:rPr>
          <w:sz w:val="24"/>
        </w:rPr>
      </w:pPr>
      <w:r>
        <w:rPr>
          <w:sz w:val="24"/>
        </w:rPr>
        <w:t>2022-2024 гг. участие в реализации проектов по строительству энергоблоков АЭС в Турецкой Республике (АЭС «АКУЮ»), Арабской Республике Египет (АЭС «ЭЛЬ ДАБАА»), Венгерской Республике (АЭС «ПАКШ»);</w:t>
      </w:r>
    </w:p>
    <w:p w14:paraId="48010000">
      <w:pPr>
        <w:pStyle w:val="Style_13"/>
        <w:numPr>
          <w:ilvl w:val="0"/>
          <w:numId w:val="4"/>
        </w:numPr>
        <w:tabs>
          <w:tab w:leader="none" w:pos="993" w:val="left"/>
        </w:tabs>
        <w:spacing w:before="0" w:line="240" w:lineRule="auto"/>
        <w:ind w:firstLine="720" w:left="0"/>
        <w:jc w:val="both"/>
        <w:rPr>
          <w:sz w:val="24"/>
        </w:rPr>
      </w:pPr>
      <w:r>
        <w:rPr>
          <w:sz w:val="24"/>
        </w:rPr>
        <w:t>заключение в 2023 года крупных договоров субподряда на выполнение строительно-монтажных работ, поставки оборудования, пусконаладочных работ и прочих работ на проектах «Производственно-технический комплекс по обработке, утилизации и обезвреживанию отходов I и II классов опасности «Щучье», «Горный»; строительство ЛАЭС-2 (3,4 энергоблок); Строительство Центра обработки и хранения данных на территории Республики Татарстан.</w:t>
      </w:r>
    </w:p>
    <w:p w14:paraId="49010000">
      <w:pPr>
        <w:pStyle w:val="Style_13"/>
        <w:spacing w:before="0" w:line="240" w:lineRule="auto"/>
        <w:ind w:firstLine="720" w:left="0"/>
        <w:jc w:val="both"/>
        <w:rPr>
          <w:sz w:val="22"/>
        </w:rPr>
      </w:pPr>
    </w:p>
    <w:p w14:paraId="4A010000">
      <w:bookmarkStart w:id="8" w:name="__RefHeading___5"/>
      <w:bookmarkEnd w:id="8"/>
      <w:pPr>
        <w:pStyle w:val="Style_9"/>
        <w:spacing w:before="240"/>
        <w:ind w:firstLine="0" w:left="425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1.4. Основные финансовые показатели ПАО «СУС»</w:t>
      </w:r>
    </w:p>
    <w:p w14:paraId="4B010000">
      <w:pPr>
        <w:pStyle w:val="Style_10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Ценные бумаги Эмитента не допущены к организованным торгам, поэтому данный пункт в состав отчета эмитента за 6 месяцев не включается.</w:t>
      </w:r>
    </w:p>
    <w:p w14:paraId="4C010000">
      <w:bookmarkStart w:id="9" w:name="__RefHeading___6"/>
      <w:bookmarkEnd w:id="9"/>
      <w:pPr>
        <w:pStyle w:val="Style_9"/>
        <w:spacing w:before="240"/>
        <w:ind w:firstLine="0" w:left="283"/>
        <w:jc w:val="both"/>
        <w:rPr>
          <w:rFonts w:ascii="Times New Roman" w:hAnsi="Times New Roman"/>
          <w:b w:val="1"/>
        </w:rPr>
      </w:pPr>
      <w:bookmarkStart w:id="10" w:name="P242"/>
      <w:bookmarkEnd w:id="10"/>
      <w:r>
        <w:rPr>
          <w:rFonts w:ascii="Times New Roman" w:hAnsi="Times New Roman"/>
          <w:b w:val="1"/>
        </w:rPr>
        <w:t>1.5. Сведения об основных поставщиках эмитента</w:t>
      </w:r>
    </w:p>
    <w:p w14:paraId="4D010000">
      <w:pPr>
        <w:pStyle w:val="Style_10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Ценные бумаги Эмитента не допущены к организованным торгам, поэтому данный пункт в состав отчета эмитента за 6 месяцев не включается.</w:t>
      </w:r>
    </w:p>
    <w:p w14:paraId="4E010000">
      <w:bookmarkStart w:id="11" w:name="__RefHeading___7"/>
      <w:bookmarkEnd w:id="11"/>
      <w:pPr>
        <w:pStyle w:val="Style_9"/>
        <w:spacing w:before="240"/>
        <w:ind w:firstLine="0" w:left="283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1.6. Сведения об основных дебиторах эмитента</w:t>
      </w:r>
    </w:p>
    <w:p w14:paraId="4F010000">
      <w:pPr>
        <w:pStyle w:val="Style_10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Ценные бумаги Эмитента не допущены к организованным торгам, поэтому данный пункт в состав отчета эмитента за 6 месяцев не включается.</w:t>
      </w:r>
    </w:p>
    <w:p w14:paraId="50010000">
      <w:bookmarkStart w:id="12" w:name="__RefHeading___8"/>
      <w:bookmarkEnd w:id="12"/>
      <w:pPr>
        <w:pStyle w:val="Style_9"/>
        <w:spacing w:before="240"/>
        <w:ind w:firstLine="0" w:left="283"/>
        <w:jc w:val="both"/>
        <w:rPr>
          <w:rFonts w:ascii="Times New Roman" w:hAnsi="Times New Roman"/>
          <w:b w:val="1"/>
        </w:rPr>
      </w:pPr>
      <w:bookmarkStart w:id="13" w:name="P268"/>
      <w:bookmarkEnd w:id="13"/>
      <w:r>
        <w:rPr>
          <w:rFonts w:ascii="Times New Roman" w:hAnsi="Times New Roman"/>
          <w:b w:val="1"/>
        </w:rPr>
        <w:t>1.7. Сведения об обязательствах эмитента</w:t>
      </w:r>
    </w:p>
    <w:p w14:paraId="51010000">
      <w:pPr>
        <w:pStyle w:val="Style_10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Ценные бумаги Эмитента не допущены к организованным торгам, поэтому данный пункт в состав отчета эмитента за 6 месяцев не включается.</w:t>
      </w:r>
    </w:p>
    <w:p w14:paraId="52010000">
      <w:bookmarkStart w:id="14" w:name="__RefHeading___9"/>
      <w:bookmarkEnd w:id="14"/>
      <w:pPr>
        <w:pStyle w:val="Style_9"/>
        <w:spacing w:before="240"/>
        <w:ind w:firstLine="0" w:left="283"/>
        <w:jc w:val="both"/>
        <w:rPr>
          <w:rFonts w:ascii="Times New Roman" w:hAnsi="Times New Roman"/>
          <w:b w:val="1"/>
        </w:rPr>
      </w:pPr>
      <w:bookmarkStart w:id="15" w:name="P300"/>
      <w:bookmarkEnd w:id="15"/>
      <w:r>
        <w:rPr>
          <w:rFonts w:ascii="Times New Roman" w:hAnsi="Times New Roman"/>
          <w:b w:val="1"/>
        </w:rPr>
        <w:t>1.8. Сведения о перспективах развития эмитента</w:t>
      </w:r>
    </w:p>
    <w:p w14:paraId="53010000">
      <w:pPr>
        <w:pStyle w:val="Style_10"/>
        <w:spacing w:before="220"/>
        <w:ind w:firstLine="540" w:left="0"/>
        <w:jc w:val="both"/>
        <w:rPr>
          <w:rFonts w:ascii="Times New Roman" w:hAnsi="Times New Roman"/>
          <w:sz w:val="24"/>
        </w:rPr>
      </w:pPr>
      <w:bookmarkStart w:id="16" w:name="P304"/>
      <w:bookmarkEnd w:id="16"/>
      <w:r>
        <w:rPr>
          <w:rFonts w:ascii="Times New Roman" w:hAnsi="Times New Roman"/>
          <w:sz w:val="24"/>
        </w:rPr>
        <w:t>Сведения о перспективах развития общества на 2024-2025 гг. раскрыта Обществом в Годовом отчете, утвержденном Общим собранием акционеров ПАО «СУС» 28.06.2024 г. (Протокол ГОСА 1-2024 от 01.07.2024).</w:t>
      </w:r>
    </w:p>
    <w:p w14:paraId="54010000">
      <w:pPr>
        <w:ind w:firstLine="72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В целях улучшения финансового состояния ПАО СУС в 2024 году, продолжены мероприятия, заложенные в основу в 2023 году, в т.ч.:</w:t>
      </w:r>
    </w:p>
    <w:p w14:paraId="55010000">
      <w:pPr>
        <w:pStyle w:val="Style_13"/>
        <w:numPr>
          <w:ilvl w:val="0"/>
          <w:numId w:val="5"/>
        </w:numPr>
        <w:tabs>
          <w:tab w:leader="none" w:pos="710" w:val="left"/>
          <w:tab w:leader="none" w:pos="1276" w:val="left"/>
        </w:tabs>
        <w:spacing w:before="0" w:line="240" w:lineRule="auto"/>
        <w:ind w:firstLine="851" w:left="0"/>
        <w:jc w:val="both"/>
        <w:rPr>
          <w:sz w:val="24"/>
        </w:rPr>
      </w:pPr>
      <w:r>
        <w:rPr>
          <w:sz w:val="24"/>
        </w:rPr>
        <w:t>исключение простоев техники и рабочей силы, обеспечивая тем самым непрерывность производственных процессов на объектах строительства;</w:t>
      </w:r>
    </w:p>
    <w:p w14:paraId="56010000">
      <w:pPr>
        <w:pStyle w:val="Style_13"/>
        <w:numPr>
          <w:ilvl w:val="0"/>
          <w:numId w:val="5"/>
        </w:numPr>
        <w:tabs>
          <w:tab w:leader="none" w:pos="710" w:val="left"/>
          <w:tab w:leader="none" w:pos="1276" w:val="left"/>
        </w:tabs>
        <w:spacing w:before="0" w:line="240" w:lineRule="auto"/>
        <w:ind w:firstLine="851" w:left="0"/>
        <w:jc w:val="both"/>
        <w:rPr>
          <w:sz w:val="24"/>
        </w:rPr>
      </w:pPr>
      <w:r>
        <w:rPr>
          <w:sz w:val="24"/>
        </w:rPr>
        <w:t xml:space="preserve">минимизация затрат на создание временной инфраструктуры строительной площадки (временные дороги, временные ограждения, временное энерго- и водоснабжение) путем рациональной организации строительной площадки; </w:t>
      </w:r>
    </w:p>
    <w:p w14:paraId="57010000">
      <w:pPr>
        <w:pStyle w:val="Style_13"/>
        <w:numPr>
          <w:ilvl w:val="0"/>
          <w:numId w:val="5"/>
        </w:numPr>
        <w:tabs>
          <w:tab w:leader="none" w:pos="710" w:val="left"/>
          <w:tab w:leader="none" w:pos="1276" w:val="left"/>
        </w:tabs>
        <w:spacing w:before="0" w:line="240" w:lineRule="auto"/>
        <w:ind w:firstLine="851" w:left="0"/>
        <w:jc w:val="both"/>
        <w:rPr>
          <w:sz w:val="24"/>
        </w:rPr>
      </w:pPr>
      <w:r>
        <w:rPr>
          <w:sz w:val="24"/>
        </w:rPr>
        <w:t>обеспечение качественных санитарно-бытовых условий для работающих и безопасных условий труда на строительной площадке с соблюдением требований охраны труда и экологии производства.</w:t>
      </w:r>
    </w:p>
    <w:p w14:paraId="58010000">
      <w:bookmarkStart w:id="17" w:name="__RefHeading___10"/>
      <w:bookmarkEnd w:id="17"/>
      <w:pPr>
        <w:pStyle w:val="Style_9"/>
        <w:spacing w:before="240"/>
        <w:ind w:firstLine="0" w:left="283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1.9. Сведения о рисках, связанных с деятельностью эмитента</w:t>
      </w:r>
    </w:p>
    <w:p w14:paraId="59010000">
      <w:pPr>
        <w:pStyle w:val="Style_10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Ценные бумаги Эмитента не допущены к организованным торгам, поэтому данный пункт в состав отчета эмитента за 6 месяцев не включается.</w:t>
      </w:r>
    </w:p>
    <w:p w14:paraId="5A010000">
      <w:bookmarkStart w:id="18" w:name="__RefHeading___11"/>
      <w:bookmarkEnd w:id="18"/>
      <w:pPr>
        <w:widowControl w:val="0"/>
        <w:spacing w:after="120" w:before="360"/>
        <w:ind/>
        <w:jc w:val="both"/>
        <w:outlineLvl w:val="0"/>
        <w:rPr>
          <w:rFonts w:ascii="Times New Roman" w:hAnsi="Times New Roman"/>
          <w:b w:val="1"/>
          <w:color w:val="000000"/>
        </w:rPr>
      </w:pPr>
      <w:r>
        <w:rPr>
          <w:rFonts w:ascii="Times New Roman" w:hAnsi="Times New Roman"/>
          <w:b w:val="1"/>
          <w:color w:val="000000"/>
        </w:rPr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 - хозяйственной деятельностью и внутреннего контроля, внутреннего аудита, а также сведения о работниках эмитента</w:t>
      </w:r>
    </w:p>
    <w:p w14:paraId="5B010000">
      <w:bookmarkStart w:id="19" w:name="__RefHeading___12"/>
      <w:bookmarkEnd w:id="19"/>
      <w:pPr>
        <w:pStyle w:val="Style_9"/>
        <w:numPr>
          <w:ilvl w:val="1"/>
          <w:numId w:val="6"/>
        </w:numPr>
        <w:spacing w:before="240"/>
        <w:ind/>
        <w:jc w:val="both"/>
        <w:rPr>
          <w:rFonts w:ascii="Times New Roman" w:hAnsi="Times New Roman"/>
          <w:b w:val="1"/>
        </w:rPr>
      </w:pPr>
      <w:bookmarkStart w:id="20" w:name="P380"/>
      <w:bookmarkEnd w:id="20"/>
      <w:r>
        <w:rPr>
          <w:rFonts w:ascii="Times New Roman" w:hAnsi="Times New Roman"/>
          <w:b w:val="1"/>
        </w:rPr>
        <w:t>Информация о лицах, входящих в состав органов управления эмитента</w:t>
      </w:r>
    </w:p>
    <w:p w14:paraId="5C010000">
      <w:pPr>
        <w:pStyle w:val="Style_10"/>
        <w:spacing w:before="220"/>
        <w:ind w:firstLine="20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Ценные бумаги Эмитента не допущены к организованным торгам, поэтому данный пункт в состав отчета эмитента за 6 месяцев не включается. </w:t>
      </w:r>
    </w:p>
    <w:p w14:paraId="5D010000">
      <w:bookmarkStart w:id="21" w:name="__RefHeading___13"/>
      <w:bookmarkEnd w:id="21"/>
      <w:pPr>
        <w:pStyle w:val="Style_9"/>
        <w:numPr>
          <w:ilvl w:val="1"/>
          <w:numId w:val="6"/>
        </w:numPr>
        <w:spacing w:before="240"/>
        <w:ind w:firstLine="425" w:left="0"/>
        <w:jc w:val="both"/>
        <w:rPr>
          <w:rFonts w:ascii="Times New Roman" w:hAnsi="Times New Roman"/>
          <w:b w:val="1"/>
        </w:rPr>
      </w:pPr>
      <w:bookmarkStart w:id="22" w:name="P406"/>
      <w:bookmarkEnd w:id="22"/>
      <w:r>
        <w:rPr>
          <w:rFonts w:ascii="Times New Roman" w:hAnsi="Times New Roman"/>
          <w:b w:val="1"/>
        </w:rPr>
        <w:t>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</w:p>
    <w:p w14:paraId="5E010000">
      <w:pPr>
        <w:pStyle w:val="Style_10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Ценные бумаги Эмитента не допущены к организованным торгам, поэтому данный пункт в состав отчета эмитента за 6 месяцев не включается. </w:t>
      </w:r>
    </w:p>
    <w:p w14:paraId="5F010000">
      <w:bookmarkStart w:id="23" w:name="__RefHeading___14"/>
      <w:bookmarkEnd w:id="23"/>
      <w:pPr>
        <w:pStyle w:val="Style_9"/>
        <w:numPr>
          <w:ilvl w:val="1"/>
          <w:numId w:val="6"/>
        </w:numPr>
        <w:spacing w:before="240"/>
        <w:ind w:firstLine="425" w:left="0"/>
        <w:jc w:val="both"/>
        <w:rPr>
          <w:rFonts w:ascii="Times New Roman" w:hAnsi="Times New Roman"/>
          <w:b w:val="1"/>
        </w:rPr>
      </w:pPr>
      <w:bookmarkStart w:id="24" w:name="P413"/>
      <w:bookmarkEnd w:id="24"/>
      <w:r>
        <w:rPr>
          <w:rFonts w:ascii="Times New Roman" w:hAnsi="Times New Roman"/>
          <w:b w:val="1"/>
        </w:rPr>
        <w:t>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</w:p>
    <w:p w14:paraId="60010000">
      <w:pPr>
        <w:pStyle w:val="Style_10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Ценные бумаги Эмитента не допущены к организованным торгам, поэтому данный пункт в состав отчета эмитента за 6 месяцев не включается. </w:t>
      </w:r>
    </w:p>
    <w:p w14:paraId="61010000">
      <w:bookmarkStart w:id="25" w:name="__RefHeading___15"/>
      <w:bookmarkEnd w:id="25"/>
      <w:pPr>
        <w:pStyle w:val="Style_9"/>
        <w:numPr>
          <w:ilvl w:val="1"/>
          <w:numId w:val="6"/>
        </w:numPr>
        <w:spacing w:before="240"/>
        <w:ind w:firstLine="567" w:left="0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Информация о лицах, ответственных в эмитенте за организацию и осуществление управления рисками, контроля за финансово - хозяйственной деятельностью и внутреннего контроля, внутреннего аудита</w:t>
      </w:r>
    </w:p>
    <w:p w14:paraId="62010000">
      <w:pPr>
        <w:widowControl w:val="0"/>
        <w:spacing w:before="22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составе ревизионной комиссии Общества на годовом собрании акционеров в отчетном </w:t>
      </w:r>
      <w:r>
        <w:rPr>
          <w:rFonts w:ascii="Times New Roman" w:hAnsi="Times New Roman"/>
        </w:rPr>
        <w:t>периоде были избраны:</w:t>
      </w:r>
    </w:p>
    <w:p w14:paraId="63010000">
      <w:pPr>
        <w:widowControl w:val="0"/>
        <w:numPr>
          <w:ilvl w:val="0"/>
          <w:numId w:val="7"/>
        </w:numPr>
        <w:spacing w:after="40" w:before="20"/>
        <w:ind w:hanging="357" w:left="284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Зиновьев Андрей Николаевич</w:t>
      </w:r>
    </w:p>
    <w:p w14:paraId="64010000">
      <w:pPr>
        <w:widowControl w:val="0"/>
        <w:spacing w:after="40" w:before="20"/>
        <w:ind w:firstLine="329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Год рождения: 1978</w:t>
      </w:r>
    </w:p>
    <w:p w14:paraId="65010000">
      <w:pPr>
        <w:ind w:firstLine="283" w:left="284"/>
        <w:rPr>
          <w:rFonts w:ascii="Times New Roman" w:hAnsi="Times New Roman"/>
          <w:color w:val="CF0000"/>
          <w:sz w:val="22"/>
        </w:rPr>
      </w:pPr>
      <w:r>
        <w:rPr>
          <w:rFonts w:ascii="Times New Roman" w:hAnsi="Times New Roman"/>
        </w:rPr>
        <w:t>Образование:</w:t>
      </w:r>
      <w:r>
        <w:t xml:space="preserve"> </w:t>
      </w:r>
      <w:r>
        <w:rPr>
          <w:rFonts w:ascii="Times New Roman" w:hAnsi="Times New Roman"/>
        </w:rPr>
        <w:t xml:space="preserve">высшее, окончил </w:t>
      </w:r>
      <w:r>
        <w:rPr>
          <w:rFonts w:ascii="Times New Roman" w:hAnsi="Times New Roman"/>
          <w:sz w:val="22"/>
        </w:rPr>
        <w:t>Санкт-Петербургский государст</w:t>
      </w:r>
      <w:r>
        <w:rPr>
          <w:rFonts w:ascii="Times New Roman" w:hAnsi="Times New Roman"/>
          <w:sz w:val="22"/>
        </w:rPr>
        <w:t>венный университет МВД России, квали</w:t>
      </w:r>
      <w:r>
        <w:rPr>
          <w:rFonts w:ascii="Times New Roman" w:hAnsi="Times New Roman"/>
          <w:sz w:val="22"/>
        </w:rPr>
        <w:t>фикация (специальнос</w:t>
      </w:r>
      <w:r>
        <w:rPr>
          <w:rFonts w:ascii="Times New Roman" w:hAnsi="Times New Roman"/>
          <w:sz w:val="22"/>
        </w:rPr>
        <w:t>ть)– юрист, 1999</w:t>
      </w:r>
      <w:r>
        <w:rPr>
          <w:rFonts w:ascii="Times New Roman" w:hAnsi="Times New Roman"/>
          <w:sz w:val="22"/>
        </w:rPr>
        <w:t>.</w:t>
      </w:r>
    </w:p>
    <w:p w14:paraId="66010000">
      <w:pPr>
        <w:widowControl w:val="0"/>
        <w:spacing w:after="40" w:before="20"/>
        <w:ind w:firstLine="329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совместительству:</w:t>
      </w:r>
    </w:p>
    <w:tbl>
      <w:tblPr>
        <w:tblStyle w:val="Style_2"/>
        <w:tblW w:type="auto" w:w="0"/>
        <w:tblLayout w:type="fixed"/>
        <w:tblCellMar>
          <w:left w:type="dxa" w:w="72"/>
          <w:right w:type="dxa" w:w="72"/>
        </w:tblCellMar>
      </w:tblPr>
      <w:tblGrid>
        <w:gridCol w:w="1490"/>
        <w:gridCol w:w="1559"/>
        <w:gridCol w:w="2977"/>
        <w:gridCol w:w="3226"/>
      </w:tblGrid>
      <w:tr>
        <w:tc>
          <w:tcPr>
            <w:tcW w:type="dxa" w:w="3049"/>
            <w:gridSpan w:val="2"/>
            <w:tcBorders>
              <w:top w:color="000000" w:sz="6" w:val="double"/>
              <w:left w:color="000000" w:sz="6" w:val="doub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67010000">
            <w:pPr>
              <w:widowControl w:val="0"/>
              <w:spacing w:after="40" w:before="20"/>
              <w:ind w:firstLine="0" w:left="284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Период</w:t>
            </w:r>
          </w:p>
        </w:tc>
        <w:tc>
          <w:tcPr>
            <w:tcW w:type="dxa" w:w="2977"/>
            <w:vMerge w:val="restart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68010000">
            <w:pPr>
              <w:widowControl w:val="0"/>
              <w:spacing w:after="40" w:before="20"/>
              <w:ind w:firstLine="0" w:left="284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 организации</w:t>
            </w:r>
          </w:p>
        </w:tc>
        <w:tc>
          <w:tcPr>
            <w:tcW w:type="dxa" w:w="3226"/>
            <w:vMerge w:val="restart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69010000">
            <w:pPr>
              <w:widowControl w:val="0"/>
              <w:spacing w:after="40" w:before="20"/>
              <w:ind w:firstLine="0" w:left="284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Должность</w:t>
            </w:r>
          </w:p>
        </w:tc>
      </w:tr>
      <w:tr>
        <w:tc>
          <w:tcPr>
            <w:tcW w:type="dxa" w:w="1490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6A010000">
            <w:pPr>
              <w:widowControl w:val="0"/>
              <w:spacing w:after="40" w:before="20"/>
              <w:ind w:firstLine="0" w:left="284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</w:t>
            </w:r>
          </w:p>
        </w:tc>
        <w:tc>
          <w:tcPr>
            <w:tcW w:type="dxa" w:w="1559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6B010000">
            <w:pPr>
              <w:widowControl w:val="0"/>
              <w:spacing w:after="40" w:before="20"/>
              <w:ind w:firstLine="0" w:left="284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</w:t>
            </w:r>
          </w:p>
        </w:tc>
        <w:tc>
          <w:tcPr>
            <w:tcW w:type="dxa" w:w="2977"/>
            <w:gridSpan w:val="1"/>
            <w:vMerge w:val="continue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/>
        </w:tc>
        <w:tc>
          <w:tcPr>
            <w:tcW w:type="dxa" w:w="3226"/>
            <w:gridSpan w:val="1"/>
            <w:vMerge w:val="continue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/>
        </w:tc>
      </w:tr>
      <w:tr>
        <w:tc>
          <w:tcPr>
            <w:tcW w:type="dxa" w:w="1490"/>
            <w:tcBorders>
              <w:top w:color="000000" w:sz="6" w:val="single"/>
              <w:left w:color="000000" w:sz="6" w:val="double"/>
              <w:bottom w:color="000000" w:sz="6" w:val="doub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6C010000">
            <w:pPr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20.12.2019</w:t>
            </w:r>
          </w:p>
        </w:tc>
        <w:tc>
          <w:tcPr>
            <w:tcW w:type="dxa" w:w="1559"/>
            <w:tcBorders>
              <w:top w:color="000000" w:sz="6" w:val="single"/>
              <w:left w:color="000000" w:sz="6" w:val="single"/>
              <w:bottom w:color="000000" w:sz="6" w:val="doub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6D010000">
            <w:pPr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По настоящее</w:t>
            </w:r>
          </w:p>
          <w:p w14:paraId="6E010000">
            <w:pPr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время</w:t>
            </w:r>
          </w:p>
        </w:tc>
        <w:tc>
          <w:tcPr>
            <w:tcW w:type="dxa" w:w="2977"/>
            <w:tcBorders>
              <w:top w:color="000000" w:sz="6" w:val="single"/>
              <w:left w:color="000000" w:sz="6" w:val="single"/>
              <w:bottom w:color="000000" w:sz="6" w:val="doub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6F010000">
            <w:pPr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АО КОНЦЕРН ТИТАН-2</w:t>
            </w:r>
          </w:p>
        </w:tc>
        <w:tc>
          <w:tcPr>
            <w:tcW w:type="dxa" w:w="3226"/>
            <w:tcBorders>
              <w:top w:color="000000" w:sz="6" w:val="single"/>
              <w:left w:color="000000" w:sz="6" w:val="single"/>
              <w:bottom w:color="000000" w:sz="6" w:val="doub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70010000">
            <w:pPr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Гл. специалист ОЭБ</w:t>
            </w:r>
          </w:p>
        </w:tc>
      </w:tr>
    </w:tbl>
    <w:p w14:paraId="71010000">
      <w:pPr>
        <w:widowControl w:val="0"/>
        <w:spacing w:after="40" w:before="20"/>
        <w:ind w:firstLine="0" w:left="284"/>
        <w:jc w:val="both"/>
        <w:rPr>
          <w:rFonts w:ascii="Times New Roman" w:hAnsi="Times New Roman"/>
        </w:rPr>
      </w:pPr>
    </w:p>
    <w:p w14:paraId="72010000">
      <w:pPr>
        <w:widowControl w:val="0"/>
        <w:numPr>
          <w:ilvl w:val="0"/>
          <w:numId w:val="7"/>
        </w:numPr>
        <w:spacing w:after="40" w:before="20"/>
        <w:ind w:hanging="357" w:left="284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Морозов Борис Владимирович</w:t>
      </w:r>
    </w:p>
    <w:p w14:paraId="73010000">
      <w:pPr>
        <w:spacing w:after="40" w:before="20"/>
        <w:ind w:firstLine="333" w:left="284"/>
        <w:rPr>
          <w:rFonts w:ascii="Times New Roman" w:hAnsi="Times New Roman"/>
          <w:i w:val="1"/>
          <w:sz w:val="22"/>
        </w:rPr>
      </w:pPr>
      <w:r>
        <w:rPr>
          <w:rFonts w:ascii="Times New Roman" w:hAnsi="Times New Roman"/>
          <w:sz w:val="22"/>
        </w:rPr>
        <w:t>Год рождения: 1960</w:t>
      </w:r>
    </w:p>
    <w:p w14:paraId="74010000">
      <w:pPr>
        <w:spacing w:after="40" w:before="20"/>
        <w:ind w:firstLine="333" w:left="284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Образование: высшее,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ГОУ ВПО "Санкт-Петербургский государственный унив</w:t>
      </w:r>
      <w:r>
        <w:rPr>
          <w:rFonts w:ascii="Times New Roman" w:hAnsi="Times New Roman"/>
          <w:sz w:val="22"/>
        </w:rPr>
        <w:t>ерситет экономики и финансов", квали</w:t>
      </w:r>
      <w:r>
        <w:rPr>
          <w:rFonts w:ascii="Times New Roman" w:hAnsi="Times New Roman"/>
          <w:sz w:val="22"/>
        </w:rPr>
        <w:t>фикация (по специальности)- экономист</w:t>
      </w:r>
    </w:p>
    <w:p w14:paraId="75010000">
      <w:pPr>
        <w:spacing w:after="40" w:before="20"/>
        <w:ind w:firstLine="333" w:left="284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</w:p>
    <w:p w14:paraId="76010000">
      <w:pPr>
        <w:widowControl w:val="0"/>
        <w:ind/>
        <w:rPr>
          <w:rFonts w:ascii="Times New Roman" w:hAnsi="Times New Roman"/>
          <w:sz w:val="22"/>
        </w:rPr>
      </w:pPr>
    </w:p>
    <w:tbl>
      <w:tblPr>
        <w:tblStyle w:val="Style_2"/>
        <w:tblW w:type="auto" w:w="0"/>
        <w:tblLayout w:type="fixed"/>
        <w:tblCellMar>
          <w:left w:type="dxa" w:w="72"/>
          <w:right w:type="dxa" w:w="72"/>
        </w:tblCellMar>
      </w:tblPr>
      <w:tblGrid>
        <w:gridCol w:w="1490"/>
        <w:gridCol w:w="1559"/>
        <w:gridCol w:w="2977"/>
        <w:gridCol w:w="3226"/>
      </w:tblGrid>
      <w:tr>
        <w:tc>
          <w:tcPr>
            <w:tcW w:type="dxa" w:w="3049"/>
            <w:gridSpan w:val="2"/>
            <w:tcBorders>
              <w:top w:color="000000" w:sz="6" w:val="double"/>
              <w:left w:color="000000" w:sz="6" w:val="doub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77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Период</w:t>
            </w:r>
          </w:p>
        </w:tc>
        <w:tc>
          <w:tcPr>
            <w:tcW w:type="dxa" w:w="2977"/>
            <w:vMerge w:val="restart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78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Наименование организации</w:t>
            </w:r>
          </w:p>
        </w:tc>
        <w:tc>
          <w:tcPr>
            <w:tcW w:type="dxa" w:w="3226"/>
            <w:vMerge w:val="restart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79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Должность</w:t>
            </w:r>
          </w:p>
        </w:tc>
      </w:tr>
      <w:tr>
        <w:tc>
          <w:tcPr>
            <w:tcW w:type="dxa" w:w="1490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7A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с</w:t>
            </w:r>
          </w:p>
        </w:tc>
        <w:tc>
          <w:tcPr>
            <w:tcW w:type="dxa" w:w="1559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7B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по</w:t>
            </w:r>
          </w:p>
        </w:tc>
        <w:tc>
          <w:tcPr>
            <w:tcW w:type="dxa" w:w="2977"/>
            <w:gridSpan w:val="1"/>
            <w:vMerge w:val="continue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/>
        </w:tc>
        <w:tc>
          <w:tcPr>
            <w:tcW w:type="dxa" w:w="3226"/>
            <w:gridSpan w:val="1"/>
            <w:vMerge w:val="continue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/>
        </w:tc>
      </w:tr>
      <w:tr>
        <w:tc>
          <w:tcPr>
            <w:tcW w:type="dxa" w:w="1490"/>
            <w:tcBorders>
              <w:top w:color="000000" w:sz="6" w:val="single"/>
              <w:left w:color="000000" w:sz="6" w:val="double"/>
              <w:bottom w:color="000000" w:sz="6" w:val="doub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7C010000">
            <w:pPr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23.04.2019</w:t>
            </w:r>
          </w:p>
        </w:tc>
        <w:tc>
          <w:tcPr>
            <w:tcW w:type="dxa" w:w="1559"/>
            <w:tcBorders>
              <w:top w:color="000000" w:sz="6" w:val="single"/>
              <w:left w:color="000000" w:sz="6" w:val="single"/>
              <w:bottom w:color="000000" w:sz="6" w:val="doub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7D010000">
            <w:pPr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по настоящее время</w:t>
            </w:r>
          </w:p>
        </w:tc>
        <w:tc>
          <w:tcPr>
            <w:tcW w:type="dxa" w:w="2977"/>
            <w:tcBorders>
              <w:top w:color="000000" w:sz="6" w:val="single"/>
              <w:left w:color="000000" w:sz="6" w:val="single"/>
              <w:bottom w:color="000000" w:sz="6" w:val="doub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7E010000">
            <w:pPr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АО «КОНЦЕРН ТИТАН-2»</w:t>
            </w:r>
          </w:p>
        </w:tc>
        <w:tc>
          <w:tcPr>
            <w:tcW w:type="dxa" w:w="3226"/>
            <w:tcBorders>
              <w:top w:color="000000" w:sz="6" w:val="single"/>
              <w:left w:color="000000" w:sz="6" w:val="single"/>
              <w:bottom w:color="000000" w:sz="6" w:val="doub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7F010000">
            <w:pPr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Зам. директора по внутреннему контролю и экономической безопасности</w:t>
            </w:r>
          </w:p>
        </w:tc>
      </w:tr>
    </w:tbl>
    <w:p w14:paraId="80010000">
      <w:pPr>
        <w:ind w:firstLine="0" w:left="720"/>
        <w:contextualSpacing w:val="1"/>
        <w:rPr>
          <w:rFonts w:ascii="Times New Roman" w:hAnsi="Times New Roman"/>
          <w:shd w:fill="FF9D41" w:val="clear"/>
        </w:rPr>
      </w:pPr>
    </w:p>
    <w:p w14:paraId="81010000">
      <w:pPr>
        <w:widowControl w:val="0"/>
        <w:numPr>
          <w:ilvl w:val="0"/>
          <w:numId w:val="7"/>
        </w:numPr>
        <w:spacing w:after="40" w:before="20"/>
        <w:ind w:hanging="357" w:left="284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Нестерчук Андрей Федорович</w:t>
      </w:r>
    </w:p>
    <w:p w14:paraId="82010000">
      <w:pPr>
        <w:widowControl w:val="0"/>
        <w:spacing w:after="40" w:before="20"/>
        <w:ind w:firstLine="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Год рождения: 1964 </w:t>
      </w:r>
    </w:p>
    <w:p w14:paraId="83010000">
      <w:pPr>
        <w:widowControl w:val="0"/>
        <w:spacing w:after="40" w:before="20"/>
        <w:ind w:firstLine="0" w:left="284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</w:rPr>
        <w:t>Образование: высшее, Ленинградский инженерно-экономический институт им. Тольятти,</w:t>
      </w:r>
      <w:r>
        <w:rPr>
          <w:rFonts w:ascii="Times New Roman" w:hAnsi="Times New Roman"/>
          <w:color w:val="CF0000"/>
        </w:rPr>
        <w:t xml:space="preserve"> </w:t>
      </w:r>
      <w:r>
        <w:rPr>
          <w:rFonts w:ascii="Times New Roman" w:hAnsi="Times New Roman"/>
          <w:sz w:val="22"/>
        </w:rPr>
        <w:t>квали</w:t>
      </w:r>
      <w:r>
        <w:rPr>
          <w:rFonts w:ascii="Times New Roman" w:hAnsi="Times New Roman"/>
          <w:sz w:val="22"/>
        </w:rPr>
        <w:t>фикация (специальность)– инженер - экономист.</w:t>
      </w:r>
    </w:p>
    <w:p w14:paraId="84010000">
      <w:pPr>
        <w:widowControl w:val="0"/>
        <w:spacing w:after="40" w:before="20"/>
        <w:ind w:firstLine="0" w:left="284"/>
        <w:jc w:val="both"/>
        <w:rPr>
          <w:rFonts w:ascii="Times New Roman" w:hAnsi="Times New Roman"/>
          <w:color w:val="CF0000"/>
          <w:sz w:val="22"/>
        </w:rPr>
      </w:pPr>
      <w:r>
        <w:rPr>
          <w:rFonts w:ascii="Times New Roman" w:hAnsi="Times New Roman"/>
        </w:rPr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совместительству:</w:t>
      </w:r>
    </w:p>
    <w:tbl>
      <w:tblPr>
        <w:tblStyle w:val="Style_2"/>
        <w:tblW w:type="auto" w:w="0"/>
        <w:tblLayout w:type="fixed"/>
        <w:tblCellMar>
          <w:left w:type="dxa" w:w="72"/>
          <w:right w:type="dxa" w:w="72"/>
        </w:tblCellMar>
      </w:tblPr>
      <w:tblGrid>
        <w:gridCol w:w="1490"/>
        <w:gridCol w:w="1559"/>
        <w:gridCol w:w="2977"/>
        <w:gridCol w:w="3226"/>
      </w:tblGrid>
      <w:tr>
        <w:tc>
          <w:tcPr>
            <w:tcW w:type="dxa" w:w="3049"/>
            <w:gridSpan w:val="2"/>
            <w:tcBorders>
              <w:top w:color="000000" w:sz="6" w:val="double"/>
              <w:left w:color="000000" w:sz="6" w:val="doub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85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Период</w:t>
            </w:r>
          </w:p>
        </w:tc>
        <w:tc>
          <w:tcPr>
            <w:tcW w:type="dxa" w:w="2977"/>
            <w:vMerge w:val="restart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86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Наименование организации</w:t>
            </w:r>
          </w:p>
        </w:tc>
        <w:tc>
          <w:tcPr>
            <w:tcW w:type="dxa" w:w="3226"/>
            <w:vMerge w:val="restart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87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Должность</w:t>
            </w:r>
          </w:p>
        </w:tc>
      </w:tr>
      <w:tr>
        <w:tc>
          <w:tcPr>
            <w:tcW w:type="dxa" w:w="1490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88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с</w:t>
            </w:r>
          </w:p>
        </w:tc>
        <w:tc>
          <w:tcPr>
            <w:tcW w:type="dxa" w:w="1559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89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по</w:t>
            </w:r>
          </w:p>
        </w:tc>
        <w:tc>
          <w:tcPr>
            <w:tcW w:type="dxa" w:w="2977"/>
            <w:gridSpan w:val="1"/>
            <w:vMerge w:val="continue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/>
        </w:tc>
        <w:tc>
          <w:tcPr>
            <w:tcW w:type="dxa" w:w="3226"/>
            <w:gridSpan w:val="1"/>
            <w:vMerge w:val="continue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/>
        </w:tc>
      </w:tr>
      <w:tr>
        <w:tc>
          <w:tcPr>
            <w:tcW w:type="dxa" w:w="1490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8A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с 08.08.2021г.  </w:t>
            </w:r>
          </w:p>
        </w:tc>
        <w:tc>
          <w:tcPr>
            <w:tcW w:type="dxa" w:w="1559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8B010000">
            <w:pPr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настоящее время</w:t>
            </w:r>
          </w:p>
        </w:tc>
        <w:tc>
          <w:tcPr>
            <w:tcW w:type="dxa" w:w="2977"/>
            <w:tcBorders>
              <w:left w:color="000000" w:sz="6" w:val="sing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8C010000">
            <w:pPr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ООО «АДС»</w:t>
            </w:r>
          </w:p>
        </w:tc>
        <w:tc>
          <w:tcPr>
            <w:tcW w:type="dxa" w:w="3226"/>
            <w:tcBorders>
              <w:left w:color="000000" w:sz="6" w:val="sing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8D010000">
            <w:pPr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Генеральный директор (совместительство)</w:t>
            </w:r>
          </w:p>
        </w:tc>
      </w:tr>
      <w:tr>
        <w:tc>
          <w:tcPr>
            <w:tcW w:type="dxa" w:w="1490"/>
            <w:tcBorders>
              <w:top w:color="000000" w:sz="6" w:val="single"/>
              <w:left w:color="000000" w:sz="6" w:val="double"/>
              <w:bottom w:color="000000" w:sz="6" w:val="doub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8E010000">
            <w:pPr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с 01.11.2017 </w:t>
            </w:r>
          </w:p>
        </w:tc>
        <w:tc>
          <w:tcPr>
            <w:tcW w:type="dxa" w:w="1559"/>
            <w:tcBorders>
              <w:top w:color="000000" w:sz="6" w:val="single"/>
              <w:left w:color="000000" w:sz="6" w:val="single"/>
              <w:bottom w:color="000000" w:sz="6" w:val="doub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8F010000">
            <w:pPr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 настоящее время</w:t>
            </w:r>
          </w:p>
        </w:tc>
        <w:tc>
          <w:tcPr>
            <w:tcW w:type="dxa" w:w="2977"/>
            <w:tcBorders>
              <w:top w:color="000000" w:sz="6" w:val="single"/>
              <w:left w:color="000000" w:sz="6" w:val="single"/>
              <w:bottom w:color="000000" w:sz="6" w:val="doub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90010000">
            <w:pPr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</w:rPr>
              <w:t>АО «КОНЦЕРН ТИТАН-2»</w:t>
            </w:r>
          </w:p>
        </w:tc>
        <w:tc>
          <w:tcPr>
            <w:tcW w:type="dxa" w:w="3226"/>
            <w:tcBorders>
              <w:top w:color="000000" w:sz="6" w:val="single"/>
              <w:left w:color="000000" w:sz="6" w:val="single"/>
              <w:bottom w:color="000000" w:sz="6" w:val="doub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91010000">
            <w:pPr>
              <w:widowControl w:val="0"/>
              <w:ind w:right="-1"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заместитель генерального директора по внутреннему контролю и экономической безопасности по российским неатомным проектам.</w:t>
            </w:r>
          </w:p>
          <w:p w14:paraId="92010000">
            <w:pPr>
              <w:rPr>
                <w:rFonts w:ascii="Times New Roman" w:hAnsi="Times New Roman"/>
                <w:sz w:val="22"/>
              </w:rPr>
            </w:pPr>
          </w:p>
        </w:tc>
      </w:tr>
    </w:tbl>
    <w:p w14:paraId="93010000">
      <w:pPr>
        <w:widowControl w:val="0"/>
        <w:ind w:firstLine="540" w:left="0"/>
        <w:jc w:val="both"/>
        <w:rPr>
          <w:rFonts w:ascii="Times New Roman" w:hAnsi="Times New Roman"/>
          <w:shd w:fill="FF9D41" w:val="clear"/>
        </w:rPr>
      </w:pPr>
    </w:p>
    <w:p w14:paraId="94010000">
      <w:pPr>
        <w:widowControl w:val="0"/>
        <w:ind w:firstLine="540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  <w:b w:val="1"/>
        </w:rPr>
        <w:t>Долей участия членов ревизионной комиссии</w:t>
      </w:r>
      <w:r>
        <w:rPr>
          <w:rFonts w:ascii="Times New Roman" w:hAnsi="Times New Roman"/>
        </w:rPr>
        <w:t xml:space="preserve"> в уставном капитале</w:t>
      </w:r>
      <w:r>
        <w:rPr>
          <w:rFonts w:ascii="Times New Roman" w:hAnsi="Times New Roman"/>
        </w:rPr>
        <w:t xml:space="preserve"> эмитента, являющегося коммерческой организацией, а для эмитентов, являющихся акционерными обществами, - также доли принадлежащих члену ревизионной комиссии (ревизору) обыкновенных акций эмитента и количества акций эмитента каждой категории (типа), которые могут быть приобретены членом ревизионной комиссии (ревизором) в результате конвертации принадлежащих ему ценных бумаг, конвертируемых в акции-  </w:t>
      </w:r>
      <w:r>
        <w:rPr>
          <w:rFonts w:ascii="Times New Roman" w:hAnsi="Times New Roman"/>
          <w:i w:val="1"/>
        </w:rPr>
        <w:t>не имеют</w:t>
      </w:r>
    </w:p>
    <w:p w14:paraId="95010000">
      <w:pPr>
        <w:widowControl w:val="0"/>
        <w:ind w:firstLine="540" w:left="0"/>
        <w:jc w:val="both"/>
        <w:rPr>
          <w:rFonts w:ascii="Times New Roman" w:hAnsi="Times New Roman"/>
        </w:rPr>
      </w:pPr>
    </w:p>
    <w:p w14:paraId="96010000">
      <w:pPr>
        <w:widowControl w:val="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  <w:b w:val="1"/>
        </w:rPr>
        <w:t>Долей участия членов ревизионной комиссии</w:t>
      </w:r>
      <w:r>
        <w:rPr>
          <w:rFonts w:ascii="Times New Roman" w:hAnsi="Times New Roman"/>
        </w:rPr>
        <w:t xml:space="preserve"> (ревизора) в уставном (складочном) капитале подконтрольных эмитенту организаций, имеющих для эмитента существенное </w:t>
      </w:r>
      <w:r>
        <w:rPr>
          <w:rFonts w:ascii="Times New Roman" w:hAnsi="Times New Roman"/>
        </w:rPr>
        <w:t xml:space="preserve">значение- </w:t>
      </w:r>
      <w:r>
        <w:rPr>
          <w:rFonts w:ascii="Times New Roman" w:hAnsi="Times New Roman"/>
          <w:i w:val="1"/>
        </w:rPr>
        <w:t>нет.</w:t>
      </w:r>
    </w:p>
    <w:p w14:paraId="97010000">
      <w:pPr>
        <w:widowControl w:val="0"/>
        <w:ind w:firstLine="540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  <w:b w:val="1"/>
        </w:rPr>
        <w:t>Характера родственных связей</w:t>
      </w:r>
      <w:r>
        <w:rPr>
          <w:rFonts w:ascii="Times New Roman" w:hAnsi="Times New Roman"/>
        </w:rPr>
        <w:t xml:space="preserve"> (супруги, родители, дети, усыновители, усыновленные, родные братья и сестры, дедушки, бабушки, внуки) между членом ревизионной комиссии (ревизором) и членами совета директоров (наблюдательного совета), членами коллегиального исполнительного органа, лицом, занимающим должность (осуществляющим функции) единоличного исполнительного органа эмитента-</w:t>
      </w:r>
      <w:r>
        <w:rPr>
          <w:rFonts w:ascii="Times New Roman" w:hAnsi="Times New Roman"/>
          <w:i w:val="1"/>
        </w:rPr>
        <w:t xml:space="preserve"> не установлено.</w:t>
      </w:r>
    </w:p>
    <w:p w14:paraId="98010000">
      <w:pPr>
        <w:widowControl w:val="0"/>
        <w:ind w:firstLine="540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  <w:b w:val="1"/>
        </w:rPr>
        <w:t>Сведений о привлечении члена ревизионной комиссии</w:t>
      </w:r>
      <w:r>
        <w:rPr>
          <w:rFonts w:ascii="Times New Roman" w:hAnsi="Times New Roman"/>
        </w:rPr>
        <w:t xml:space="preserve"> (ревизора)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власти- </w:t>
      </w:r>
      <w:r>
        <w:rPr>
          <w:rFonts w:ascii="Times New Roman" w:hAnsi="Times New Roman"/>
          <w:i w:val="1"/>
        </w:rPr>
        <w:t>нет.</w:t>
      </w:r>
    </w:p>
    <w:p w14:paraId="99010000">
      <w:pPr>
        <w:widowControl w:val="0"/>
        <w:ind w:firstLine="540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  <w:b w:val="1"/>
        </w:rPr>
        <w:t xml:space="preserve">Сведений о занятии членом ревизионной комиссии </w:t>
      </w:r>
      <w:r>
        <w:rPr>
          <w:rFonts w:ascii="Times New Roman" w:hAnsi="Times New Roman"/>
        </w:rPr>
        <w:t>(ревизором)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(банкротстве)"-</w:t>
      </w:r>
      <w:r>
        <w:rPr>
          <w:rFonts w:ascii="Times New Roman" w:hAnsi="Times New Roman"/>
          <w:i w:val="1"/>
        </w:rPr>
        <w:t>нет.</w:t>
      </w:r>
    </w:p>
    <w:p w14:paraId="9A010000">
      <w:pPr>
        <w:ind w:firstLine="567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Политика области организации внутреннего аудита публичного акционерного общества «Северное управление строительства» (далее - Политика</w:t>
      </w:r>
      <w:r>
        <w:rPr>
          <w:rFonts w:ascii="Times New Roman" w:hAnsi="Times New Roman"/>
        </w:rPr>
        <w:t xml:space="preserve">) разработана в соответствии с </w:t>
      </w:r>
      <w:r>
        <w:rPr>
          <w:rFonts w:ascii="Times New Roman" w:hAnsi="Times New Roman"/>
        </w:rPr>
        <w:t xml:space="preserve">законодательством Российской Федерации, в том числе Федеральным законом от 26.12.1995 № 208-ФЗ «Об акционерных обществах» и Уставом Общества </w:t>
      </w:r>
      <w:r>
        <w:rPr>
          <w:rFonts w:ascii="Times New Roman" w:hAnsi="Times New Roman"/>
        </w:rPr>
        <w:t>и утверждена Советом директоров 15.08.2023,</w:t>
      </w:r>
      <w:bookmarkStart w:id="26" w:name="_GoBack"/>
      <w:bookmarkEnd w:id="26"/>
      <w:r>
        <w:rPr>
          <w:rFonts w:ascii="Times New Roman" w:hAnsi="Times New Roman"/>
        </w:rPr>
        <w:t xml:space="preserve"> Протокол №11-2023. Политика является внутренним документом Общества и обязательна к применению всеми структурными подразделениями Общества.</w:t>
      </w:r>
    </w:p>
    <w:p w14:paraId="9B010000">
      <w:pPr>
        <w:ind w:firstLine="567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Внутренний аудитор – лицо, ответственное за осуществление внутреннего аудита в Обществе, который осуществляется с использованием риск-ориентированного подхода, предусматривающего планирование и проведение проверочных мероприятий на основе оценки рисков – для концентрации внимания на наиболее уязвимых объектах и направлениях деятельности.</w:t>
      </w:r>
    </w:p>
    <w:p w14:paraId="9C010000">
      <w:pPr>
        <w:tabs>
          <w:tab w:leader="none" w:pos="0" w:val="left"/>
        </w:tabs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Специалистом по внутреннему аудиту в Обществе назначена 15.08.2023 Дорофеева Е.А.</w:t>
      </w:r>
    </w:p>
    <w:p w14:paraId="9D010000">
      <w:pPr>
        <w:tabs>
          <w:tab w:leader="none" w:pos="0" w:val="left"/>
        </w:tabs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Фамилия, имя, отчество: Дорофеева Елена Алексеевна     </w:t>
      </w:r>
    </w:p>
    <w:p w14:paraId="9E010000">
      <w:pPr>
        <w:tabs>
          <w:tab w:leader="none" w:pos="0" w:val="left"/>
        </w:tabs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Год рождения:1969 г</w:t>
      </w:r>
    </w:p>
    <w:p w14:paraId="9F010000">
      <w:pPr>
        <w:tabs>
          <w:tab w:leader="none" w:pos="0" w:val="left"/>
        </w:tabs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Сведения об уровне образования: высшее,</w:t>
      </w:r>
      <w:r>
        <w:rPr>
          <w:rFonts w:ascii="Times New Roman" w:hAnsi="Times New Roman"/>
        </w:rPr>
        <w:t xml:space="preserve"> </w:t>
      </w:r>
      <w:r>
        <w:rPr>
          <w:sz w:val="22"/>
        </w:rPr>
        <w:t>Институт экономики и финансов,</w:t>
      </w:r>
      <w:r>
        <w:rPr>
          <w:rFonts w:ascii="Times New Roman" w:hAnsi="Times New Roman"/>
        </w:rPr>
        <w:t xml:space="preserve"> квалификации,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специальности: бухгалтерский учет и аудит</w:t>
      </w:r>
    </w:p>
    <w:p w14:paraId="A0010000">
      <w:pPr>
        <w:widowControl w:val="0"/>
        <w:spacing w:before="160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Все должности, которые специалист занимает или занимал в эмитенте в том числе по совместительству:</w:t>
      </w:r>
    </w:p>
    <w:p w14:paraId="A1010000">
      <w:pPr>
        <w:widowControl w:val="0"/>
        <w:spacing w:before="160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 15.08.2023 по 26.07.2024   в ПАО «СУС» специалист по внутреннему аудиту.</w:t>
      </w:r>
    </w:p>
    <w:p w14:paraId="A2010000">
      <w:pPr>
        <w:widowControl w:val="0"/>
        <w:spacing w:before="160"/>
        <w:ind w:firstLine="540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>Доля участия специалиста по внутреннему аудиту в</w:t>
      </w:r>
      <w:r>
        <w:rPr>
          <w:rFonts w:ascii="Times New Roman" w:hAnsi="Times New Roman"/>
        </w:rPr>
        <w:t xml:space="preserve"> уставном (складочном) капитале</w:t>
      </w:r>
      <w:r>
        <w:rPr>
          <w:rFonts w:ascii="Times New Roman" w:hAnsi="Times New Roman"/>
        </w:rPr>
        <w:t xml:space="preserve"> эмитента, а также доли принадлежащих специалисту обыкновенных акций эмитента и количества акций эмитента каждой категории (типа), которые могут быть приобретены специалистом в результате конвертации принадлежащих ему ценных бумаг, конвертируемых в акции–</w:t>
      </w:r>
      <w:r>
        <w:rPr>
          <w:rFonts w:ascii="Times New Roman" w:hAnsi="Times New Roman"/>
          <w:i w:val="1"/>
        </w:rPr>
        <w:t xml:space="preserve"> нет;</w:t>
      </w:r>
    </w:p>
    <w:p w14:paraId="A3010000">
      <w:pPr>
        <w:widowControl w:val="0"/>
        <w:spacing w:before="160"/>
        <w:ind w:firstLine="540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Доля участия специалиста по внутреннему аудиту в уставном (складочном) капитале подконтрольных эмитенту организаций, имеющих для эмитента существенное значение, а для тех подконтрольных эмитенту организаций, которые имеют для него существенное значение и являются акционерными обществами, - также доли принадлежащих специалисту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специалистом в результате конвертации принадлежащих ему ценных бумаг, конвертируемых в акции- </w:t>
      </w:r>
      <w:r>
        <w:rPr>
          <w:rFonts w:ascii="Times New Roman" w:hAnsi="Times New Roman"/>
          <w:i w:val="1"/>
        </w:rPr>
        <w:t>нет;</w:t>
      </w:r>
    </w:p>
    <w:p w14:paraId="A4010000">
      <w:pPr>
        <w:tabs>
          <w:tab w:leader="none" w:pos="0" w:val="left"/>
        </w:tabs>
        <w:ind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    характера родственных связей (супруги, родители, дети, усыновители, усыновленные, родные братья и сестры, дедушки, бабушки, внуки) между специалистом по внутреннему ауд</w:t>
      </w:r>
      <w:r>
        <w:rPr>
          <w:rFonts w:ascii="Times New Roman" w:hAnsi="Times New Roman"/>
        </w:rPr>
        <w:t>иту и членами совета директоров</w:t>
      </w:r>
      <w:r>
        <w:rPr>
          <w:rFonts w:ascii="Times New Roman" w:hAnsi="Times New Roman"/>
        </w:rPr>
        <w:t xml:space="preserve">, лицом, занимающим должность (осуществляющим функции) единоличного исполнительного органа эмитента: </w:t>
      </w:r>
      <w:r>
        <w:rPr>
          <w:rFonts w:ascii="Times New Roman" w:hAnsi="Times New Roman"/>
          <w:i w:val="1"/>
        </w:rPr>
        <w:t>отсутствуют;</w:t>
      </w:r>
    </w:p>
    <w:p w14:paraId="A5010000">
      <w:pPr>
        <w:widowControl w:val="0"/>
        <w:spacing w:before="160"/>
        <w:ind w:firstLine="540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сведений о привлечении специалиста по внутреннему аудиту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власти- </w:t>
      </w:r>
      <w:r>
        <w:rPr>
          <w:rFonts w:ascii="Times New Roman" w:hAnsi="Times New Roman"/>
          <w:i w:val="1"/>
        </w:rPr>
        <w:t>нет;</w:t>
      </w:r>
    </w:p>
    <w:p w14:paraId="A6010000">
      <w:pPr>
        <w:widowControl w:val="0"/>
        <w:spacing w:before="160"/>
        <w:ind w:firstLine="540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сведений о занятии специалистом по внутреннему аудиту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r>
        <w:rPr>
          <w:rFonts w:ascii="Times New Roman" w:hAnsi="Times New Roman"/>
          <w:color w:val="0000FF"/>
        </w:rPr>
        <w:fldChar w:fldCharType="begin"/>
      </w:r>
      <w:r>
        <w:rPr>
          <w:rFonts w:ascii="Times New Roman" w:hAnsi="Times New Roman"/>
          <w:color w:val="0000FF"/>
        </w:rPr>
        <w:instrText>HYPERLINK "https://login.consultant.ru/link/?req=doc&amp;base=LAW&amp;n=483133&amp;dst=570"</w:instrText>
      </w:r>
      <w:r>
        <w:rPr>
          <w:rFonts w:ascii="Times New Roman" w:hAnsi="Times New Roman"/>
          <w:color w:val="0000FF"/>
        </w:rPr>
        <w:fldChar w:fldCharType="separate"/>
      </w:r>
      <w:r>
        <w:rPr>
          <w:rFonts w:ascii="Times New Roman" w:hAnsi="Times New Roman"/>
          <w:color w:val="0000FF"/>
        </w:rPr>
        <w:t>статьей 27</w:t>
      </w:r>
      <w:r>
        <w:rPr>
          <w:rFonts w:ascii="Times New Roman" w:hAnsi="Times New Roman"/>
          <w:color w:val="0000FF"/>
        </w:rPr>
        <w:fldChar w:fldCharType="end"/>
      </w:r>
      <w:r>
        <w:rPr>
          <w:rFonts w:ascii="Times New Roman" w:hAnsi="Times New Roman"/>
        </w:rPr>
        <w:t xml:space="preserve"> Федерального закона "О несостоятельности (банкротстве)" -</w:t>
      </w:r>
      <w:r>
        <w:rPr>
          <w:rFonts w:ascii="Times New Roman" w:hAnsi="Times New Roman"/>
          <w:i w:val="1"/>
        </w:rPr>
        <w:t>нет.</w:t>
      </w:r>
    </w:p>
    <w:p w14:paraId="A7010000">
      <w:pPr>
        <w:tabs>
          <w:tab w:leader="none" w:pos="0" w:val="left"/>
        </w:tabs>
        <w:ind/>
        <w:jc w:val="both"/>
        <w:rPr>
          <w:rFonts w:ascii="Times New Roman" w:hAnsi="Times New Roman"/>
          <w:i w:val="1"/>
        </w:rPr>
      </w:pPr>
    </w:p>
    <w:p w14:paraId="A8010000">
      <w:pPr>
        <w:pStyle w:val="Style_10"/>
        <w:spacing w:before="220"/>
        <w:ind w:firstLine="540" w:left="0"/>
        <w:jc w:val="both"/>
        <w:rPr>
          <w:rFonts w:ascii="Times New Roman" w:hAnsi="Times New Roman"/>
          <w:sz w:val="24"/>
        </w:rPr>
      </w:pPr>
      <w:bookmarkStart w:id="27" w:name="P433"/>
      <w:bookmarkEnd w:id="27"/>
      <w:r>
        <w:rPr>
          <w:rFonts w:ascii="Times New Roman" w:hAnsi="Times New Roman"/>
          <w:b w:val="1"/>
          <w:sz w:val="24"/>
        </w:rP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</w:p>
    <w:p w14:paraId="A9010000">
      <w:pPr>
        <w:pStyle w:val="Style_10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Обязательства эмитента перед работниками эмитента и работниками подконтрольных эмитенту организаций, касающихся возможности их участия в уставном капитале эмит</w:t>
      </w:r>
      <w:r>
        <w:rPr>
          <w:rFonts w:ascii="Times New Roman" w:hAnsi="Times New Roman"/>
          <w:sz w:val="24"/>
        </w:rPr>
        <w:t>ента, отсутствуют. Каких-</w:t>
      </w:r>
      <w:r>
        <w:rPr>
          <w:rFonts w:ascii="Times New Roman" w:hAnsi="Times New Roman"/>
          <w:sz w:val="24"/>
        </w:rPr>
        <w:t>либо соглашений не заключалось.</w:t>
      </w:r>
    </w:p>
    <w:p w14:paraId="AA010000">
      <w:bookmarkStart w:id="28" w:name="__RefHeading___16"/>
      <w:bookmarkEnd w:id="28"/>
      <w:pPr>
        <w:widowControl w:val="0"/>
        <w:spacing w:after="120" w:before="360"/>
        <w:ind/>
        <w:jc w:val="center"/>
        <w:outlineLvl w:val="0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</w:p>
    <w:p w14:paraId="AB010000">
      <w:bookmarkStart w:id="29" w:name="__RefHeading___17"/>
      <w:bookmarkEnd w:id="29"/>
      <w:pPr>
        <w:pStyle w:val="Style_9"/>
        <w:numPr>
          <w:ilvl w:val="1"/>
          <w:numId w:val="8"/>
        </w:numPr>
        <w:spacing w:before="240"/>
        <w:ind/>
        <w:jc w:val="both"/>
        <w:rPr>
          <w:rFonts w:ascii="Times New Roman" w:hAnsi="Times New Roman"/>
          <w:b w:val="1"/>
        </w:rPr>
      </w:pPr>
      <w:bookmarkStart w:id="30" w:name="P447"/>
      <w:bookmarkEnd w:id="30"/>
      <w:r>
        <w:rPr>
          <w:rFonts w:ascii="Times New Roman" w:hAnsi="Times New Roman"/>
          <w:b w:val="1"/>
        </w:rPr>
        <w:t>Сведения об общем количестве акционеров эмитента</w:t>
      </w:r>
    </w:p>
    <w:p w14:paraId="AC010000">
      <w:pPr>
        <w:pStyle w:val="Style_10"/>
        <w:spacing w:before="220"/>
        <w:ind w:firstLine="540" w:left="0"/>
        <w:jc w:val="both"/>
        <w:rPr>
          <w:rFonts w:ascii="Times New Roman" w:hAnsi="Times New Roman"/>
          <w:b w:val="1"/>
          <w:sz w:val="24"/>
        </w:rPr>
      </w:pPr>
      <w:r>
        <w:rPr>
          <w:rFonts w:ascii="Times New Roman" w:hAnsi="Times New Roman"/>
          <w:sz w:val="24"/>
        </w:rPr>
        <w:t xml:space="preserve">Общее количество лиц с ненулевыми остатками на лицевых счетах, зарегистрированных в реестре акционеров эмитента на дату окончания отчетного квартала: </w:t>
      </w:r>
      <w:r>
        <w:rPr>
          <w:rFonts w:ascii="Times New Roman" w:hAnsi="Times New Roman"/>
          <w:b w:val="1"/>
          <w:sz w:val="24"/>
        </w:rPr>
        <w:t>4319.</w:t>
      </w:r>
    </w:p>
    <w:p w14:paraId="AD010000">
      <w:pPr>
        <w:pStyle w:val="Style_1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Общее количество номинальных держателей акций эмитента: </w:t>
      </w:r>
      <w:r>
        <w:rPr>
          <w:rFonts w:ascii="Times New Roman" w:hAnsi="Times New Roman"/>
          <w:b w:val="1"/>
          <w:sz w:val="24"/>
        </w:rPr>
        <w:t xml:space="preserve">0 </w:t>
      </w:r>
      <w:r>
        <w:rPr>
          <w:rFonts w:ascii="Times New Roman" w:hAnsi="Times New Roman"/>
          <w:sz w:val="24"/>
        </w:rPr>
        <w:t>(номинальные держатели отсутствуют, в ЦД после вывода акций из номинального держания остался нулевой счет в связи с невозможностью его закрытия согласно законодательства)</w:t>
      </w:r>
    </w:p>
    <w:p w14:paraId="AE010000">
      <w:pPr>
        <w:pStyle w:val="Style_10"/>
        <w:ind w:firstLine="540" w:left="0"/>
        <w:jc w:val="both"/>
        <w:rPr>
          <w:rFonts w:ascii="Times New Roman" w:hAnsi="Times New Roman"/>
          <w:b w:val="1"/>
          <w:sz w:val="24"/>
        </w:rPr>
      </w:pPr>
      <w:r>
        <w:rPr>
          <w:rFonts w:ascii="Times New Roman" w:hAnsi="Times New Roman"/>
          <w:sz w:val="24"/>
        </w:rPr>
        <w:t xml:space="preserve"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и, для составления которого, номинальные держатели акций эмитента представляли данные о лицах, в интересах которых они владели (владеют) акциями эмитента): </w:t>
      </w:r>
      <w:r>
        <w:rPr>
          <w:rFonts w:ascii="Times New Roman" w:hAnsi="Times New Roman"/>
          <w:b w:val="1"/>
          <w:sz w:val="24"/>
        </w:rPr>
        <w:t>4 319.</w:t>
      </w:r>
    </w:p>
    <w:p w14:paraId="AF010000">
      <w:pPr>
        <w:pStyle w:val="Style_10"/>
        <w:ind w:firstLine="540" w:left="0"/>
        <w:jc w:val="both"/>
        <w:rPr>
          <w:rFonts w:ascii="Times New Roman" w:hAnsi="Times New Roman"/>
          <w:b w:val="1"/>
          <w:sz w:val="24"/>
        </w:rPr>
      </w:pPr>
      <w:r>
        <w:rPr>
          <w:rFonts w:ascii="Times New Roman" w:hAnsi="Times New Roman"/>
          <w:sz w:val="24"/>
        </w:rPr>
        <w:t xml:space="preserve"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и, для составления которого, номинальные держатели акций эмитента представляли данные о лицах, в интересах которых они владели (владеют) акциями эмитента): </w:t>
      </w:r>
      <w:r>
        <w:rPr>
          <w:rFonts w:ascii="Times New Roman" w:hAnsi="Times New Roman"/>
          <w:b w:val="1"/>
          <w:sz w:val="24"/>
        </w:rPr>
        <w:t>03.06.2024.</w:t>
      </w:r>
    </w:p>
    <w:p w14:paraId="B0010000">
      <w:pPr>
        <w:pStyle w:val="Style_10"/>
        <w:ind w:firstLine="540" w:left="0"/>
        <w:jc w:val="both"/>
        <w:rPr>
          <w:rFonts w:ascii="Times New Roman" w:hAnsi="Times New Roman"/>
          <w:b w:val="1"/>
          <w:sz w:val="24"/>
        </w:rPr>
      </w:pPr>
      <w:r>
        <w:rPr>
          <w:rFonts w:ascii="Times New Roman" w:hAnsi="Times New Roman"/>
          <w:sz w:val="24"/>
        </w:rPr>
        <w:t xml:space="preserve">Владельцы обыкновенных акций эмитента, которые подлежали включению в такой список: </w:t>
      </w:r>
      <w:r>
        <w:rPr>
          <w:rFonts w:ascii="Times New Roman" w:hAnsi="Times New Roman"/>
          <w:b w:val="1"/>
          <w:sz w:val="24"/>
        </w:rPr>
        <w:t>3 432.</w:t>
      </w:r>
    </w:p>
    <w:p w14:paraId="B1010000">
      <w:pPr>
        <w:pStyle w:val="Style_10"/>
        <w:ind w:firstLine="540" w:left="0"/>
        <w:jc w:val="both"/>
        <w:rPr>
          <w:rFonts w:ascii="Times New Roman" w:hAnsi="Times New Roman"/>
          <w:b w:val="1"/>
          <w:sz w:val="24"/>
        </w:rPr>
      </w:pPr>
      <w:r>
        <w:rPr>
          <w:rFonts w:ascii="Times New Roman" w:hAnsi="Times New Roman"/>
          <w:sz w:val="24"/>
        </w:rPr>
        <w:t xml:space="preserve">Владельцы привилегированных акций эмитента, которые подлежали включению в такой список: </w:t>
      </w:r>
      <w:r>
        <w:rPr>
          <w:rFonts w:ascii="Times New Roman" w:hAnsi="Times New Roman"/>
          <w:b w:val="1"/>
          <w:sz w:val="24"/>
        </w:rPr>
        <w:t>3 719.</w:t>
      </w:r>
    </w:p>
    <w:p w14:paraId="B2010000">
      <w:pPr>
        <w:pStyle w:val="Style_10"/>
        <w:ind w:firstLine="540" w:left="0"/>
        <w:jc w:val="both"/>
        <w:rPr>
          <w:rFonts w:ascii="Times New Roman" w:hAnsi="Times New Roman"/>
          <w:i w:val="1"/>
          <w:sz w:val="24"/>
        </w:rPr>
      </w:pPr>
      <w:r>
        <w:rPr>
          <w:rFonts w:ascii="Times New Roman" w:hAnsi="Times New Roman"/>
          <w:sz w:val="24"/>
        </w:rPr>
        <w:t xml:space="preserve">Информация о количестве собственных акций, находящихся на балансе эмитента на дату окончания отчетного периода: </w:t>
      </w:r>
      <w:r>
        <w:rPr>
          <w:rFonts w:ascii="Times New Roman" w:hAnsi="Times New Roman"/>
          <w:i w:val="1"/>
          <w:sz w:val="24"/>
        </w:rPr>
        <w:t>нет.</w:t>
      </w:r>
    </w:p>
    <w:p w14:paraId="B3010000">
      <w:pPr>
        <w:pStyle w:val="Style_1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Информация о количестве акций, приобретенных и (или) выкупленных эмитентом, и (или) поступивших в его распоряжение, на дату окончания отчетного периода, отдельно по каждой категории (типу) акций- нет.</w:t>
      </w:r>
    </w:p>
    <w:p w14:paraId="B4010000">
      <w:pPr>
        <w:pStyle w:val="Style_10"/>
        <w:spacing w:before="220"/>
        <w:ind w:firstLine="540" w:left="0"/>
        <w:jc w:val="both"/>
        <w:rPr>
          <w:rFonts w:ascii="Times New Roman" w:hAnsi="Times New Roman"/>
          <w:i w:val="1"/>
          <w:sz w:val="24"/>
        </w:rPr>
      </w:pPr>
      <w:r>
        <w:rPr>
          <w:rFonts w:ascii="Times New Roman" w:hAnsi="Times New Roman"/>
          <w:sz w:val="24"/>
        </w:rPr>
        <w:t xml:space="preserve">Информация о количестве акций эмитента, принадлежащих подконтрольным ему организациям: Акций эмитента, принадлежащих подконтрольным ему организациям, </w:t>
      </w:r>
      <w:r>
        <w:rPr>
          <w:rFonts w:ascii="Times New Roman" w:hAnsi="Times New Roman"/>
          <w:i w:val="1"/>
          <w:sz w:val="24"/>
        </w:rPr>
        <w:t>не имеется.</w:t>
      </w:r>
    </w:p>
    <w:p w14:paraId="B5010000">
      <w:bookmarkStart w:id="31" w:name="__RefHeading___18"/>
      <w:bookmarkEnd w:id="31"/>
      <w:pPr>
        <w:pStyle w:val="Style_9"/>
        <w:numPr>
          <w:ilvl w:val="1"/>
          <w:numId w:val="8"/>
        </w:numPr>
        <w:spacing w:before="240"/>
        <w:ind w:firstLine="567" w:left="0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Сведения об акционерах эмитента или лицах, имеющих право распоряжаться голосами, приходящимися на голосующие акции, составляющие уставный капитал эмитента</w:t>
      </w:r>
    </w:p>
    <w:p w14:paraId="B6010000">
      <w:pPr>
        <w:pStyle w:val="Style_10"/>
        <w:spacing w:before="220"/>
        <w:ind w:firstLine="425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Акционером Общества, владеющим не менее чем пятью процентами его уставного капитала и имеющим право распоряжаться не менее чем пятью процентами голосов, п</w:t>
      </w:r>
      <w:r>
        <w:rPr>
          <w:rFonts w:ascii="Times New Roman" w:hAnsi="Times New Roman"/>
          <w:sz w:val="24"/>
        </w:rPr>
        <w:t>риходящихся на голосующие акции</w:t>
      </w:r>
      <w:r>
        <w:rPr>
          <w:rFonts w:ascii="Times New Roman" w:hAnsi="Times New Roman"/>
          <w:sz w:val="24"/>
        </w:rPr>
        <w:t>, составл</w:t>
      </w:r>
      <w:r>
        <w:rPr>
          <w:rFonts w:ascii="Times New Roman" w:hAnsi="Times New Roman"/>
          <w:sz w:val="24"/>
        </w:rPr>
        <w:t>яющие уставный капитал эмитента</w:t>
      </w:r>
      <w:r>
        <w:rPr>
          <w:rFonts w:ascii="Times New Roman" w:hAnsi="Times New Roman"/>
          <w:sz w:val="24"/>
        </w:rPr>
        <w:t xml:space="preserve"> является юридическое лицо:</w:t>
      </w:r>
    </w:p>
    <w:p w14:paraId="B7010000">
      <w:pPr>
        <w:widowControl w:val="0"/>
        <w:spacing w:after="40" w:before="20"/>
        <w:ind w:firstLine="567" w:left="0"/>
        <w:rPr>
          <w:rFonts w:ascii="Times New Roman" w:hAnsi="Times New Roman"/>
        </w:rPr>
      </w:pPr>
      <w:r>
        <w:rPr>
          <w:rFonts w:ascii="Times New Roman" w:hAnsi="Times New Roman"/>
        </w:rPr>
        <w:t>Полное фирменное наименование:</w:t>
      </w:r>
      <w:r>
        <w:rPr>
          <w:rFonts w:ascii="Times New Roman" w:hAnsi="Times New Roman"/>
          <w:b w:val="1"/>
          <w:i w:val="1"/>
        </w:rPr>
        <w:t xml:space="preserve"> А</w:t>
      </w:r>
      <w:r>
        <w:rPr>
          <w:rFonts w:ascii="Times New Roman" w:hAnsi="Times New Roman"/>
          <w:b w:val="1"/>
        </w:rPr>
        <w:t>кционерное общество «ТИТАН-2»</w:t>
      </w:r>
    </w:p>
    <w:p w14:paraId="B8010000">
      <w:pPr>
        <w:widowControl w:val="0"/>
        <w:spacing w:after="40" w:before="20"/>
        <w:ind w:firstLine="367" w:left="200"/>
        <w:rPr>
          <w:rFonts w:ascii="Times New Roman" w:hAnsi="Times New Roman"/>
          <w:b w:val="0"/>
        </w:rPr>
      </w:pPr>
      <w:r>
        <w:rPr>
          <w:rFonts w:ascii="Times New Roman" w:hAnsi="Times New Roman"/>
        </w:rPr>
        <w:t>Сокращенное фирменное наименование</w:t>
      </w:r>
      <w:r>
        <w:rPr>
          <w:rFonts w:ascii="Times New Roman" w:hAnsi="Times New Roman"/>
          <w:b w:val="0"/>
        </w:rPr>
        <w:t>:</w:t>
      </w:r>
      <w:r>
        <w:rPr>
          <w:rFonts w:ascii="Times New Roman" w:hAnsi="Times New Roman"/>
          <w:b w:val="0"/>
          <w:i w:val="1"/>
        </w:rPr>
        <w:t xml:space="preserve"> </w:t>
      </w:r>
      <w:r>
        <w:rPr>
          <w:rFonts w:ascii="Times New Roman" w:hAnsi="Times New Roman"/>
          <w:b w:val="0"/>
        </w:rPr>
        <w:t>АО «ТИТАН-2»</w:t>
      </w:r>
    </w:p>
    <w:p w14:paraId="B9010000">
      <w:pPr>
        <w:widowControl w:val="0"/>
        <w:spacing w:after="40" w:before="240"/>
        <w:ind w:firstLine="367" w:left="0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Место нахождения: </w:t>
      </w:r>
      <w:r>
        <w:rPr>
          <w:rFonts w:ascii="Times New Roman" w:hAnsi="Times New Roman"/>
          <w:b w:val="0"/>
        </w:rPr>
        <w:t>188540 Российская Федерация, Ленинградская область, г. Сосновый Бор, Копорское шоссе 64</w:t>
      </w:r>
    </w:p>
    <w:p w14:paraId="BA010000">
      <w:pPr>
        <w:widowControl w:val="0"/>
        <w:spacing w:after="40" w:before="20"/>
        <w:ind w:firstLine="367" w:left="200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ИНН:</w:t>
      </w:r>
      <w:r>
        <w:rPr>
          <w:rFonts w:ascii="Times New Roman" w:hAnsi="Times New Roman"/>
          <w:b w:val="0"/>
          <w:i w:val="1"/>
        </w:rPr>
        <w:t xml:space="preserve"> </w:t>
      </w:r>
      <w:r>
        <w:rPr>
          <w:rFonts w:ascii="Times New Roman" w:hAnsi="Times New Roman"/>
          <w:b w:val="0"/>
        </w:rPr>
        <w:t xml:space="preserve">4714020401    </w:t>
      </w:r>
      <w:r>
        <w:rPr>
          <w:rFonts w:ascii="Times New Roman" w:hAnsi="Times New Roman"/>
          <w:b w:val="0"/>
        </w:rPr>
        <w:t>ОГРН:</w:t>
      </w:r>
      <w:r>
        <w:rPr>
          <w:rFonts w:ascii="Times New Roman" w:hAnsi="Times New Roman"/>
          <w:b w:val="0"/>
          <w:i w:val="1"/>
        </w:rPr>
        <w:t xml:space="preserve"> </w:t>
      </w:r>
      <w:r>
        <w:rPr>
          <w:rFonts w:ascii="Times New Roman" w:hAnsi="Times New Roman"/>
          <w:b w:val="0"/>
        </w:rPr>
        <w:t>1074714000570</w:t>
      </w:r>
    </w:p>
    <w:p w14:paraId="BB010000">
      <w:pPr>
        <w:widowControl w:val="0"/>
        <w:spacing w:after="40" w:before="20"/>
        <w:ind w:firstLine="367" w:left="200"/>
        <w:rPr>
          <w:rFonts w:ascii="Times New Roman" w:hAnsi="Times New Roman"/>
        </w:rPr>
      </w:pPr>
      <w:r>
        <w:rPr>
          <w:rFonts w:ascii="Times New Roman" w:hAnsi="Times New Roman"/>
        </w:rPr>
        <w:t>Размер доли голосов в процентах</w:t>
      </w:r>
      <w:r>
        <w:rPr>
          <w:rFonts w:ascii="Times New Roman" w:hAnsi="Times New Roman"/>
        </w:rPr>
        <w:t>, приходящ</w:t>
      </w:r>
      <w:r>
        <w:rPr>
          <w:rFonts w:ascii="Times New Roman" w:hAnsi="Times New Roman"/>
        </w:rPr>
        <w:t>и</w:t>
      </w:r>
      <w:r>
        <w:rPr>
          <w:rFonts w:ascii="Times New Roman" w:hAnsi="Times New Roman"/>
        </w:rPr>
        <w:t xml:space="preserve">хся на голосующие акции, составляющие уставный капитал эмитента, которой имеет право распоряжаться лицо: </w:t>
      </w:r>
      <w:r>
        <w:rPr>
          <w:rFonts w:ascii="Times New Roman" w:hAnsi="Times New Roman"/>
          <w:b w:val="1"/>
        </w:rPr>
        <w:t>99.5149%</w:t>
      </w:r>
    </w:p>
    <w:p w14:paraId="BC010000">
      <w:pPr>
        <w:widowControl w:val="0"/>
        <w:spacing w:after="40" w:before="20"/>
        <w:ind w:firstLine="367" w:left="200"/>
        <w:rPr>
          <w:rFonts w:ascii="Times New Roman" w:hAnsi="Times New Roman"/>
        </w:rPr>
      </w:pPr>
      <w:r>
        <w:rPr>
          <w:rFonts w:ascii="Times New Roman" w:hAnsi="Times New Roman"/>
        </w:rPr>
        <w:t>Доля принадлежащих лицу обыкновенных акций эмитента:</w:t>
      </w:r>
      <w:r>
        <w:rPr>
          <w:rFonts w:ascii="Times New Roman" w:hAnsi="Times New Roman"/>
          <w:b w:val="1"/>
          <w:i w:val="1"/>
        </w:rPr>
        <w:t xml:space="preserve"> </w:t>
      </w:r>
      <w:r>
        <w:rPr>
          <w:rFonts w:ascii="Times New Roman" w:hAnsi="Times New Roman"/>
          <w:b w:val="1"/>
        </w:rPr>
        <w:t>99.7228%</w:t>
      </w:r>
    </w:p>
    <w:p w14:paraId="BD010000">
      <w:pPr>
        <w:widowControl w:val="0"/>
        <w:spacing w:before="160"/>
        <w:ind w:firstLine="425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Вид права распоряжения голосами, приходящимися на голосующие акци</w:t>
      </w:r>
      <w:r>
        <w:rPr>
          <w:rFonts w:ascii="Times New Roman" w:hAnsi="Times New Roman"/>
        </w:rPr>
        <w:t>и (доли), составляющие уставный</w:t>
      </w:r>
      <w:r>
        <w:rPr>
          <w:rFonts w:ascii="Times New Roman" w:hAnsi="Times New Roman"/>
        </w:rPr>
        <w:t xml:space="preserve"> капитал эмитента, которым обладает лицо-прямое распоряжение.</w:t>
      </w:r>
    </w:p>
    <w:p w14:paraId="BE010000">
      <w:pPr>
        <w:widowControl w:val="0"/>
        <w:spacing w:before="16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Лица, контролирующие акционера эмитента, владеющего не менее чем 5 процентами его уставного (складочного) капитала или не менее чем 5 процентами его обыкновенных акций отсутствуют.</w:t>
      </w:r>
    </w:p>
    <w:p w14:paraId="BF010000">
      <w:pPr>
        <w:widowControl w:val="0"/>
        <w:spacing w:before="16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Сведения о лицах, владеющих не менее чем 20 процентами уставного капитала или не менее чем 20 процентами обыкновенных акций акционера эмитента– АО «ТИТАН-2», который владеет не менее чем 5 процентами уставного (складочного) капитала эмитента или не менее чем 5 процентами его обыкновенных акций:</w:t>
      </w:r>
    </w:p>
    <w:p w14:paraId="C0010000">
      <w:pPr>
        <w:widowControl w:val="0"/>
        <w:numPr>
          <w:ilvl w:val="0"/>
          <w:numId w:val="9"/>
        </w:numPr>
        <w:spacing w:after="40" w:before="20"/>
        <w:ind/>
        <w:rPr>
          <w:rFonts w:ascii="Times New Roman" w:hAnsi="Times New Roman"/>
          <w:b w:val="1"/>
        </w:rPr>
      </w:pPr>
      <w:r>
        <w:rPr>
          <w:rFonts w:ascii="Times New Roman" w:hAnsi="Times New Roman"/>
        </w:rPr>
        <w:t xml:space="preserve">Полное фирменное наименование: </w:t>
      </w:r>
      <w:r>
        <w:rPr>
          <w:rFonts w:ascii="Times New Roman" w:hAnsi="Times New Roman"/>
          <w:b w:val="1"/>
        </w:rPr>
        <w:t>Закрытое акционерное общество "Н-2"</w:t>
      </w:r>
    </w:p>
    <w:p w14:paraId="C101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Сокращенное фирменное наименование:</w:t>
      </w:r>
      <w:r>
        <w:rPr>
          <w:rFonts w:ascii="Times New Roman" w:hAnsi="Times New Roman"/>
          <w:i w:val="1"/>
        </w:rPr>
        <w:t xml:space="preserve"> </w:t>
      </w:r>
      <w:r>
        <w:rPr>
          <w:rFonts w:ascii="Times New Roman" w:hAnsi="Times New Roman"/>
        </w:rPr>
        <w:t>ЗАО "Н-2"</w:t>
      </w:r>
    </w:p>
    <w:p w14:paraId="C2010000">
      <w:pPr>
        <w:widowControl w:val="0"/>
        <w:spacing w:after="4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Место нахождения: </w:t>
      </w:r>
      <w:r>
        <w:rPr>
          <w:rFonts w:ascii="Times New Roman" w:hAnsi="Times New Roman"/>
          <w:i w:val="1"/>
        </w:rPr>
        <w:t>1</w:t>
      </w:r>
      <w:r>
        <w:rPr>
          <w:rFonts w:ascii="Times New Roman" w:hAnsi="Times New Roman"/>
        </w:rPr>
        <w:t>88540 Российская Федерация, Ленинградская o6n., r. Cocновый Бор, ул. Ленинградская 32</w:t>
      </w:r>
    </w:p>
    <w:p w14:paraId="C301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ИНН:</w:t>
      </w:r>
      <w:r>
        <w:rPr>
          <w:rFonts w:ascii="Times New Roman" w:hAnsi="Times New Roman"/>
          <w:i w:val="1"/>
        </w:rPr>
        <w:t xml:space="preserve"> </w:t>
      </w:r>
      <w:r>
        <w:rPr>
          <w:rFonts w:ascii="Times New Roman" w:hAnsi="Times New Roman"/>
        </w:rPr>
        <w:t>4714020257     ОГРН: 1074714000283</w:t>
      </w:r>
    </w:p>
    <w:p w14:paraId="C401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Размер доли </w:t>
      </w:r>
      <w:r>
        <w:rPr>
          <w:rFonts w:ascii="Times New Roman" w:hAnsi="Times New Roman"/>
        </w:rPr>
        <w:t>лица в уставном капитале акционера эмитента. %:50</w:t>
      </w:r>
    </w:p>
    <w:p w14:paraId="C501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Размер доли принадлежащих ему обыкновенных акций акционера эмитента, %:</w:t>
      </w:r>
      <w:r>
        <w:rPr>
          <w:rFonts w:ascii="Times New Roman" w:hAnsi="Times New Roman"/>
          <w:b w:val="1"/>
          <w:i w:val="1"/>
        </w:rPr>
        <w:t xml:space="preserve"> 50</w:t>
      </w:r>
    </w:p>
    <w:p w14:paraId="C601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Размер доли такого лица в уставном (складочном) капитале эмитента, %:</w:t>
      </w:r>
      <w:r>
        <w:rPr>
          <w:rFonts w:ascii="Times New Roman" w:hAnsi="Times New Roman"/>
          <w:b w:val="1"/>
          <w:i w:val="1"/>
        </w:rPr>
        <w:t xml:space="preserve"> 0</w:t>
      </w:r>
    </w:p>
    <w:p w14:paraId="C701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Доля принадлежащих такому лицу обыкновенных акций эмитента, %:</w:t>
      </w:r>
      <w:r>
        <w:rPr>
          <w:rFonts w:ascii="Times New Roman" w:hAnsi="Times New Roman"/>
          <w:b w:val="1"/>
          <w:i w:val="1"/>
        </w:rPr>
        <w:t xml:space="preserve"> 0</w:t>
      </w:r>
    </w:p>
    <w:p w14:paraId="C8010000">
      <w:pPr>
        <w:widowControl w:val="0"/>
        <w:spacing w:after="40" w:before="20"/>
        <w:ind w:firstLine="0" w:left="200"/>
        <w:rPr>
          <w:rFonts w:ascii="Times New Roman" w:hAnsi="Times New Roman"/>
        </w:rPr>
      </w:pPr>
    </w:p>
    <w:p w14:paraId="C9010000">
      <w:pPr>
        <w:widowControl w:val="0"/>
        <w:numPr>
          <w:ilvl w:val="0"/>
          <w:numId w:val="9"/>
        </w:numPr>
        <w:spacing w:after="40" w:before="240"/>
        <w:ind/>
        <w:rPr>
          <w:rFonts w:ascii="Times New Roman" w:hAnsi="Times New Roman"/>
          <w:b w:val="1"/>
        </w:rPr>
      </w:pPr>
      <w:r>
        <w:rPr>
          <w:rFonts w:ascii="Times New Roman" w:hAnsi="Times New Roman"/>
        </w:rPr>
        <w:t xml:space="preserve">Полное фирменное наименование: </w:t>
      </w:r>
      <w:r>
        <w:rPr>
          <w:rFonts w:ascii="Times New Roman" w:hAnsi="Times New Roman"/>
          <w:b w:val="1"/>
        </w:rPr>
        <w:t>Закрытое акционерное общество "СЛ-ЦЕНТР"</w:t>
      </w:r>
    </w:p>
    <w:p w14:paraId="CA01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Сокращенное фирменное наименование:</w:t>
      </w:r>
      <w:r>
        <w:rPr>
          <w:rFonts w:ascii="Times New Roman" w:hAnsi="Times New Roman"/>
          <w:i w:val="1"/>
        </w:rPr>
        <w:t xml:space="preserve"> </w:t>
      </w:r>
      <w:r>
        <w:rPr>
          <w:rFonts w:ascii="Times New Roman" w:hAnsi="Times New Roman"/>
        </w:rPr>
        <w:t>ЗАО "СЛ-ЦЕНТР"</w:t>
      </w:r>
    </w:p>
    <w:p w14:paraId="CB010000">
      <w:pPr>
        <w:widowControl w:val="0"/>
        <w:spacing w:after="4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Место нахождения: 191025, Российская Федерация, г. Caнкт - Пeтербург, np - кт Невский 104, стр. лит. А</w:t>
      </w:r>
    </w:p>
    <w:p w14:paraId="CC01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ИНН:</w:t>
      </w:r>
      <w:r>
        <w:rPr>
          <w:rFonts w:ascii="Times New Roman" w:hAnsi="Times New Roman"/>
          <w:i w:val="1"/>
        </w:rPr>
        <w:t xml:space="preserve"> 7</w:t>
      </w:r>
      <w:r>
        <w:rPr>
          <w:rFonts w:ascii="Times New Roman" w:hAnsi="Times New Roman"/>
        </w:rPr>
        <w:t>841355332    ОГРН:</w:t>
      </w:r>
      <w:r>
        <w:rPr>
          <w:rFonts w:ascii="Times New Roman" w:hAnsi="Times New Roman"/>
          <w:i w:val="1"/>
        </w:rPr>
        <w:t xml:space="preserve"> </w:t>
      </w:r>
      <w:r>
        <w:rPr>
          <w:rFonts w:ascii="Times New Roman" w:hAnsi="Times New Roman"/>
        </w:rPr>
        <w:t>1077847050258</w:t>
      </w:r>
    </w:p>
    <w:p w14:paraId="CD01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Размер доли такого лица в</w:t>
      </w:r>
      <w:r>
        <w:rPr>
          <w:rFonts w:ascii="Times New Roman" w:hAnsi="Times New Roman"/>
        </w:rPr>
        <w:t xml:space="preserve"> уставном (складочном) капитале</w:t>
      </w:r>
      <w:r>
        <w:rPr>
          <w:rFonts w:ascii="Times New Roman" w:hAnsi="Times New Roman"/>
        </w:rPr>
        <w:t xml:space="preserve"> акционера эмитента, %:</w:t>
      </w:r>
      <w:r>
        <w:rPr>
          <w:rFonts w:ascii="Times New Roman" w:hAnsi="Times New Roman"/>
          <w:b w:val="1"/>
          <w:i w:val="1"/>
        </w:rPr>
        <w:t>50</w:t>
      </w:r>
    </w:p>
    <w:p w14:paraId="CE01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Доля принадлежащих такому лицу обыкновенных акций акционера эмитента, %:</w:t>
      </w:r>
      <w:r>
        <w:rPr>
          <w:rFonts w:ascii="Times New Roman" w:hAnsi="Times New Roman"/>
          <w:b w:val="1"/>
          <w:i w:val="1"/>
        </w:rPr>
        <w:t xml:space="preserve"> 50</w:t>
      </w:r>
    </w:p>
    <w:p w14:paraId="CF01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Размер доли такого лица в уставном (складочном) капитале эмитента, %:</w:t>
      </w:r>
      <w:r>
        <w:rPr>
          <w:rFonts w:ascii="Times New Roman" w:hAnsi="Times New Roman"/>
          <w:b w:val="1"/>
          <w:i w:val="1"/>
        </w:rPr>
        <w:t xml:space="preserve"> 0</w:t>
      </w:r>
    </w:p>
    <w:p w14:paraId="D001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Доля принадлежащих такому лицу обыкновенных акций эмитента, %:</w:t>
      </w:r>
      <w:r>
        <w:rPr>
          <w:rFonts w:ascii="Times New Roman" w:hAnsi="Times New Roman"/>
          <w:b w:val="1"/>
          <w:i w:val="1"/>
        </w:rPr>
        <w:t xml:space="preserve"> 0</w:t>
      </w:r>
    </w:p>
    <w:p w14:paraId="D1010000">
      <w:pPr>
        <w:pStyle w:val="Style_10"/>
        <w:spacing w:before="220"/>
        <w:ind w:firstLine="284" w:left="0"/>
        <w:jc w:val="both"/>
        <w:rPr>
          <w:rFonts w:ascii="Times New Roman" w:hAnsi="Times New Roman"/>
          <w:i w:val="1"/>
          <w:sz w:val="24"/>
        </w:rPr>
      </w:pPr>
      <w:r>
        <w:rPr>
          <w:rFonts w:ascii="Times New Roman" w:hAnsi="Times New Roman"/>
          <w:sz w:val="24"/>
        </w:rPr>
        <w:t>Иные сведения, указываемые эмитенто</w:t>
      </w:r>
      <w:r>
        <w:rPr>
          <w:rFonts w:ascii="Times New Roman" w:hAnsi="Times New Roman"/>
          <w:sz w:val="24"/>
        </w:rPr>
        <w:t xml:space="preserve">м по собственному усмотрению: </w:t>
      </w:r>
      <w:r>
        <w:rPr>
          <w:rFonts w:ascii="Times New Roman" w:hAnsi="Times New Roman"/>
          <w:i w:val="1"/>
          <w:sz w:val="24"/>
        </w:rPr>
        <w:t>иные сведения отсутствуют.</w:t>
      </w:r>
    </w:p>
    <w:p w14:paraId="D2010000">
      <w:bookmarkStart w:id="32" w:name="__RefHeading___19"/>
      <w:bookmarkEnd w:id="32"/>
      <w:pPr>
        <w:pStyle w:val="Style_9"/>
        <w:numPr>
          <w:ilvl w:val="1"/>
          <w:numId w:val="8"/>
        </w:numPr>
        <w:spacing w:before="240"/>
        <w:ind w:firstLine="425" w:left="0"/>
        <w:jc w:val="both"/>
        <w:rPr>
          <w:rFonts w:ascii="Times New Roman" w:hAnsi="Times New Roman"/>
          <w:b w:val="1"/>
        </w:rPr>
      </w:pPr>
      <w:bookmarkStart w:id="33" w:name="P486"/>
      <w:bookmarkEnd w:id="33"/>
      <w:r>
        <w:rPr>
          <w:rFonts w:ascii="Times New Roman" w:hAnsi="Times New Roman"/>
          <w:b w:val="1"/>
        </w:rPr>
        <w:t>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("золотой акции")</w:t>
      </w:r>
    </w:p>
    <w:p w14:paraId="D3010000">
      <w:pPr>
        <w:pStyle w:val="Style_10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Сведения об управляющих государственными, муниципальными пакетами акций: Указанных лиц нет.</w:t>
      </w:r>
    </w:p>
    <w:p w14:paraId="D4010000">
      <w:pPr>
        <w:pStyle w:val="Style_10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Лица, которые от имени Российской Федерации, субъекта Российской Федерации или муниципального образования осуществляют функции участника (акционера) эмитента: Указанных лиц нет.</w:t>
      </w:r>
    </w:p>
    <w:p w14:paraId="D5010000">
      <w:pPr>
        <w:pStyle w:val="Style_10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('золотой акции'), срок действия специального права ('золотой акции'): Указанное право не предусмотрено.</w:t>
      </w:r>
    </w:p>
    <w:p w14:paraId="D6010000">
      <w:bookmarkStart w:id="34" w:name="__RefHeading___20"/>
      <w:bookmarkEnd w:id="34"/>
      <w:pPr>
        <w:pStyle w:val="Style_9"/>
        <w:numPr>
          <w:ilvl w:val="1"/>
          <w:numId w:val="8"/>
        </w:numPr>
        <w:spacing w:before="240"/>
        <w:ind/>
        <w:jc w:val="both"/>
        <w:rPr>
          <w:rFonts w:ascii="Times New Roman" w:hAnsi="Times New Roman"/>
          <w:b w:val="1"/>
        </w:rPr>
      </w:pPr>
      <w:bookmarkStart w:id="35" w:name="P492"/>
      <w:bookmarkEnd w:id="35"/>
      <w:r>
        <w:rPr>
          <w:rStyle w:val="Style_9_ch"/>
          <w:rFonts w:ascii="Times New Roman" w:hAnsi="Times New Roman"/>
          <w:b w:val="1"/>
        </w:rPr>
        <w:t>Сделки эмитента, в совершении которых имелась заинтересованность</w:t>
      </w:r>
    </w:p>
    <w:p w14:paraId="D7010000">
      <w:pPr>
        <w:pStyle w:val="Style_10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Style w:val="Style_9_ch"/>
          <w:rFonts w:ascii="Times New Roman" w:hAnsi="Times New Roman"/>
        </w:rPr>
        <w:t xml:space="preserve">Информация, предусмотренная </w:t>
      </w:r>
      <w:r>
        <w:rPr>
          <w:rStyle w:val="Style_9_ch"/>
          <w:rFonts w:ascii="Times New Roman" w:hAnsi="Times New Roman"/>
        </w:rPr>
        <w:fldChar w:fldCharType="begin"/>
      </w:r>
      <w:r>
        <w:rPr>
          <w:rStyle w:val="Style_9_ch"/>
          <w:rFonts w:ascii="Times New Roman" w:hAnsi="Times New Roman"/>
        </w:rPr>
        <w:instrText>HYPERLINK "consultantplus://offline/ref=BFC33E0FE7007EF23CCBE03443DECD839EA96283CA38124717313FE902773D57A788E9BC468C05E64A660A8A6F3CB6F96F698BC38E49A31EzAH8L"</w:instrText>
      </w:r>
      <w:r>
        <w:rPr>
          <w:rStyle w:val="Style_9_ch"/>
          <w:rFonts w:ascii="Times New Roman" w:hAnsi="Times New Roman"/>
        </w:rPr>
        <w:fldChar w:fldCharType="separate"/>
      </w:r>
      <w:r>
        <w:rPr>
          <w:rStyle w:val="Style_9_ch"/>
          <w:rFonts w:ascii="Times New Roman" w:hAnsi="Times New Roman"/>
        </w:rPr>
        <w:t xml:space="preserve">пунктом </w:t>
      </w:r>
      <w:r>
        <w:rPr>
          <w:rStyle w:val="Style_9_ch"/>
          <w:rFonts w:ascii="Times New Roman" w:hAnsi="Times New Roman"/>
        </w:rPr>
        <w:fldChar w:fldCharType="end"/>
      </w:r>
      <w:r>
        <w:rPr>
          <w:rStyle w:val="Style_9_ch"/>
          <w:rFonts w:ascii="Times New Roman" w:hAnsi="Times New Roman"/>
        </w:rPr>
        <w:t>раскрывается эмитентами, акции которых допущены к орган</w:t>
      </w:r>
      <w:r>
        <w:rPr>
          <w:rStyle w:val="Style_10_ch"/>
          <w:rFonts w:ascii="Times New Roman" w:hAnsi="Times New Roman"/>
          <w:sz w:val="24"/>
        </w:rPr>
        <w:t>изованным торгам.</w:t>
      </w:r>
    </w:p>
    <w:p w14:paraId="D8010000">
      <w:bookmarkStart w:id="36" w:name="__RefHeading___21"/>
      <w:bookmarkEnd w:id="36"/>
      <w:pPr>
        <w:pStyle w:val="Style_9"/>
        <w:numPr>
          <w:ilvl w:val="1"/>
          <w:numId w:val="8"/>
        </w:numPr>
        <w:spacing w:before="240"/>
        <w:ind w:firstLine="425" w:left="0"/>
        <w:jc w:val="both"/>
        <w:rPr>
          <w:rFonts w:ascii="Times New Roman" w:hAnsi="Times New Roman"/>
          <w:b w:val="1"/>
        </w:rPr>
      </w:pPr>
      <w:r>
        <w:rPr>
          <w:rStyle w:val="Style_10_ch"/>
          <w:rFonts w:ascii="Times New Roman" w:hAnsi="Times New Roman"/>
          <w:sz w:val="24"/>
        </w:rPr>
        <w:t xml:space="preserve"> </w:t>
      </w:r>
      <w:bookmarkStart w:id="37" w:name="P497"/>
      <w:bookmarkEnd w:id="37"/>
      <w:r>
        <w:rPr>
          <w:rStyle w:val="Style_10_ch"/>
          <w:rFonts w:ascii="Times New Roman" w:hAnsi="Times New Roman"/>
          <w:b w:val="1"/>
          <w:sz w:val="24"/>
        </w:rPr>
        <w:t>Крупные сделки эмитента</w:t>
      </w:r>
    </w:p>
    <w:p w14:paraId="D9010000">
      <w:pPr>
        <w:pStyle w:val="Style_10"/>
        <w:spacing w:before="220"/>
        <w:ind/>
        <w:jc w:val="both"/>
        <w:rPr>
          <w:rFonts w:ascii="Times New Roman" w:hAnsi="Times New Roman"/>
        </w:rPr>
      </w:pPr>
      <w:r>
        <w:rPr>
          <w:rStyle w:val="Style_9_ch"/>
          <w:rFonts w:ascii="Times New Roman" w:hAnsi="Times New Roman"/>
          <w:b w:val="1"/>
        </w:rPr>
        <w:t xml:space="preserve">       </w:t>
      </w:r>
      <w:r>
        <w:rPr>
          <w:rStyle w:val="Style_9_ch"/>
          <w:rFonts w:ascii="Times New Roman" w:hAnsi="Times New Roman"/>
        </w:rPr>
        <w:t xml:space="preserve">  Информация, предусмотренная </w:t>
      </w:r>
      <w:r>
        <w:rPr>
          <w:rStyle w:val="Style_9_ch"/>
          <w:rFonts w:ascii="Times New Roman" w:hAnsi="Times New Roman"/>
        </w:rPr>
        <w:fldChar w:fldCharType="begin"/>
      </w:r>
      <w:r>
        <w:rPr>
          <w:rStyle w:val="Style_9_ch"/>
          <w:rFonts w:ascii="Times New Roman" w:hAnsi="Times New Roman"/>
        </w:rPr>
        <w:instrText>HYPERLINK "consultantplus://offline/ref=BFC33E0FE7007EF23CCBE03443DECD839EA96283CA38124717313FE902773D57A788E9BC468C05E64A660A8A6F3CB6F96F698BC38E49A31EzAH8L"</w:instrText>
      </w:r>
      <w:r>
        <w:rPr>
          <w:rStyle w:val="Style_9_ch"/>
          <w:rFonts w:ascii="Times New Roman" w:hAnsi="Times New Roman"/>
        </w:rPr>
        <w:fldChar w:fldCharType="separate"/>
      </w:r>
      <w:r>
        <w:rPr>
          <w:rStyle w:val="Style_9_ch"/>
          <w:rFonts w:ascii="Times New Roman" w:hAnsi="Times New Roman"/>
        </w:rPr>
        <w:t xml:space="preserve">пунктом </w:t>
      </w:r>
      <w:r>
        <w:rPr>
          <w:rStyle w:val="Style_9_ch"/>
          <w:rFonts w:ascii="Times New Roman" w:hAnsi="Times New Roman"/>
        </w:rPr>
        <w:fldChar w:fldCharType="end"/>
      </w:r>
      <w:r>
        <w:rPr>
          <w:rStyle w:val="Style_9_ch"/>
          <w:rFonts w:ascii="Times New Roman" w:hAnsi="Times New Roman"/>
        </w:rPr>
        <w:t>раскрывается эмитентами, акции которых допущен к организованным торгам.</w:t>
      </w:r>
    </w:p>
    <w:p w14:paraId="DA010000">
      <w:bookmarkStart w:id="38" w:name="__RefHeading___22"/>
      <w:bookmarkEnd w:id="38"/>
      <w:pPr>
        <w:widowControl w:val="0"/>
        <w:spacing w:after="120" w:before="360"/>
        <w:ind/>
        <w:jc w:val="center"/>
        <w:outlineLvl w:val="0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Раздел 4. Дополнительные сведения об эмитенте и о размещенных им ценных бумагах</w:t>
      </w:r>
    </w:p>
    <w:p w14:paraId="DB010000">
      <w:bookmarkStart w:id="39" w:name="__RefHeading___23"/>
      <w:bookmarkEnd w:id="39"/>
      <w:pPr>
        <w:pStyle w:val="Style_9"/>
        <w:numPr>
          <w:ilvl w:val="1"/>
          <w:numId w:val="10"/>
        </w:numPr>
        <w:spacing w:before="240"/>
        <w:ind/>
        <w:jc w:val="both"/>
        <w:rPr>
          <w:rFonts w:ascii="Times New Roman" w:hAnsi="Times New Roman"/>
          <w:b w:val="1"/>
        </w:rPr>
      </w:pPr>
      <w:bookmarkStart w:id="40" w:name="P511"/>
      <w:bookmarkEnd w:id="40"/>
      <w:r>
        <w:rPr>
          <w:rFonts w:ascii="Times New Roman" w:hAnsi="Times New Roman"/>
          <w:b w:val="1"/>
        </w:rPr>
        <w:t>Подконтрольные эмитенту организации, имеющие для него существенное значение</w:t>
      </w:r>
    </w:p>
    <w:p w14:paraId="DC010000">
      <w:pPr>
        <w:pStyle w:val="Style_10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На 30.06.2024 г. эмитент имеет подконтрольные эмитенту организации, имеющие для него существенное значение:</w:t>
      </w:r>
    </w:p>
    <w:tbl>
      <w:tblPr>
        <w:tblStyle w:val="Style_2"/>
        <w:tblW w:type="auto" w:w="0"/>
        <w:jc w:val="center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2144"/>
        <w:gridCol w:w="1576"/>
        <w:gridCol w:w="2126"/>
        <w:gridCol w:w="2268"/>
        <w:gridCol w:w="1524"/>
      </w:tblGrid>
      <w:tr>
        <w:tc>
          <w:tcPr>
            <w:tcW w:type="dxa" w:w="214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DD010000">
            <w:pPr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полное и сокращенное (при наличии) наименования</w:t>
            </w:r>
          </w:p>
        </w:tc>
        <w:tc>
          <w:tcPr>
            <w:tcW w:type="dxa" w:w="157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DE010000">
            <w:pPr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ИНН/№ в коммерческом  (торговом) реестре  </w:t>
            </w:r>
          </w:p>
        </w:tc>
        <w:tc>
          <w:tcPr>
            <w:tcW w:type="dxa" w:w="212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DF010000">
            <w:pPr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ОГРН/ ЕРН</w:t>
            </w:r>
          </w:p>
        </w:tc>
        <w:tc>
          <w:tcPr>
            <w:tcW w:type="dxa" w:w="226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E0010000">
            <w:pPr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место нахождения</w:t>
            </w:r>
          </w:p>
          <w:p w14:paraId="E1010000">
            <w:pPr>
              <w:ind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type="dxa" w:w="152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E2010000">
            <w:pPr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вид контроля, под которым находится организация</w:t>
            </w:r>
          </w:p>
        </w:tc>
      </w:tr>
      <w:tr>
        <w:tc>
          <w:tcPr>
            <w:tcW w:type="dxa" w:w="214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E3010000">
            <w:pPr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Открытое акционерное общество «Управление промышленных предприятий» (ОАО «УПП»)</w:t>
            </w:r>
          </w:p>
        </w:tc>
        <w:tc>
          <w:tcPr>
            <w:tcW w:type="dxa" w:w="157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E4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4714001737</w:t>
            </w:r>
          </w:p>
        </w:tc>
        <w:tc>
          <w:tcPr>
            <w:tcW w:type="dxa" w:w="212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E5010000">
            <w:pPr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1024701760313</w:t>
            </w:r>
          </w:p>
        </w:tc>
        <w:tc>
          <w:tcPr>
            <w:tcW w:type="dxa" w:w="226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E601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188540, Ленинградская область, </w:t>
            </w:r>
          </w:p>
          <w:p w14:paraId="E701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г. Сосновый Бор, Копорское шоссе д.56</w:t>
            </w:r>
          </w:p>
        </w:tc>
        <w:tc>
          <w:tcPr>
            <w:tcW w:type="dxa" w:w="152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E8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Прямой контроль</w:t>
            </w:r>
          </w:p>
          <w:p w14:paraId="E9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</w:p>
        </w:tc>
      </w:tr>
      <w:tr>
        <w:tc>
          <w:tcPr>
            <w:tcW w:type="dxa" w:w="214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EA01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Общество с ограниченной ответственностью «УМИАТ» (ООО «УМИАТ»)</w:t>
            </w:r>
          </w:p>
        </w:tc>
        <w:tc>
          <w:tcPr>
            <w:tcW w:type="dxa" w:w="157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EB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4707051769</w:t>
            </w:r>
          </w:p>
        </w:tc>
        <w:tc>
          <w:tcPr>
            <w:tcW w:type="dxa" w:w="212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EC010000">
            <w:pPr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1234700019179</w:t>
            </w:r>
          </w:p>
        </w:tc>
        <w:tc>
          <w:tcPr>
            <w:tcW w:type="dxa" w:w="226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ED01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188540, Ленинградская область, </w:t>
            </w:r>
          </w:p>
          <w:p w14:paraId="EE01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г. Сосновый Бор, Копорское шоссе д.30 помещ.1</w:t>
            </w:r>
          </w:p>
        </w:tc>
        <w:tc>
          <w:tcPr>
            <w:tcW w:type="dxa" w:w="152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EF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прямой контроль</w:t>
            </w:r>
          </w:p>
        </w:tc>
      </w:tr>
      <w:tr>
        <w:tc>
          <w:tcPr>
            <w:tcW w:type="dxa" w:w="214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001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Общество с ограниченной ответственностью «СТАЛЬИЗОЛЯ-ЦИЯ» (ООО «СТАЛЬ- ИЗОЛЯ-ЦИЯ»)</w:t>
            </w:r>
          </w:p>
        </w:tc>
        <w:tc>
          <w:tcPr>
            <w:tcW w:type="dxa" w:w="157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1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4707052522</w:t>
            </w:r>
          </w:p>
        </w:tc>
        <w:tc>
          <w:tcPr>
            <w:tcW w:type="dxa" w:w="212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2010000">
            <w:pPr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1234700023282</w:t>
            </w:r>
          </w:p>
        </w:tc>
        <w:tc>
          <w:tcPr>
            <w:tcW w:type="dxa" w:w="226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301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188540, Ленинградская область,  г. Сосновый Бор, Копорское шоссе д.56, помещ.17, ком.17</w:t>
            </w:r>
          </w:p>
        </w:tc>
        <w:tc>
          <w:tcPr>
            <w:tcW w:type="dxa" w:w="152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4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прямой контроль</w:t>
            </w:r>
          </w:p>
        </w:tc>
      </w:tr>
      <w:tr>
        <w:tc>
          <w:tcPr>
            <w:tcW w:type="dxa" w:w="214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5010000">
            <w:pPr>
              <w:ind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type="dxa" w:w="157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6010000">
            <w:pPr>
              <w:ind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type="dxa" w:w="212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7010000">
            <w:pPr>
              <w:ind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type="dxa" w:w="226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8010000">
            <w:pPr>
              <w:ind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type="dxa" w:w="152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9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</w:p>
        </w:tc>
      </w:tr>
      <w:tr>
        <w:tc>
          <w:tcPr>
            <w:tcW w:type="dxa" w:w="214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A01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СУС Египет управление проектами (ООО)</w:t>
            </w:r>
          </w:p>
        </w:tc>
        <w:tc>
          <w:tcPr>
            <w:tcW w:type="dxa" w:w="157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B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701–775– 017      </w:t>
            </w:r>
          </w:p>
        </w:tc>
        <w:tc>
          <w:tcPr>
            <w:tcW w:type="dxa" w:w="212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C010000">
            <w:pPr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10530 00001 95055</w:t>
            </w:r>
          </w:p>
          <w:p w14:paraId="FD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</w:p>
        </w:tc>
        <w:tc>
          <w:tcPr>
            <w:tcW w:type="dxa" w:w="226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E010000">
            <w:pPr>
              <w:ind w:firstLine="0" w:left="-64"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Египет, Каир, Наср  Сити, ул.Эль Таяран 24, 5 этаж, офис 11</w:t>
            </w:r>
          </w:p>
        </w:tc>
        <w:tc>
          <w:tcPr>
            <w:tcW w:type="dxa" w:w="152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F010000">
            <w:pPr>
              <w:ind/>
              <w:jc w:val="center"/>
              <w:rPr>
                <w:rFonts w:ascii="Times New Roman" w:hAnsi="Times New Roman"/>
                <w:sz w:val="22"/>
                <w:highlight w:val="yellow"/>
              </w:rPr>
            </w:pPr>
            <w:r>
              <w:rPr>
                <w:rFonts w:ascii="Times New Roman" w:hAnsi="Times New Roman"/>
                <w:sz w:val="22"/>
              </w:rPr>
              <w:t>Прямой контроль</w:t>
            </w:r>
          </w:p>
          <w:p w14:paraId="00020000">
            <w:pPr>
              <w:ind/>
              <w:jc w:val="center"/>
              <w:rPr>
                <w:rFonts w:ascii="Times New Roman" w:hAnsi="Times New Roman"/>
                <w:sz w:val="22"/>
                <w:highlight w:val="yellow"/>
              </w:rPr>
            </w:pPr>
          </w:p>
        </w:tc>
      </w:tr>
      <w:tr>
        <w:tc>
          <w:tcPr>
            <w:tcW w:type="dxa" w:w="214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0102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SUS Hungary</w:t>
            </w:r>
          </w:p>
        </w:tc>
        <w:tc>
          <w:tcPr>
            <w:tcW w:type="dxa" w:w="157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0202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32130962-2-17</w:t>
            </w:r>
          </w:p>
        </w:tc>
        <w:tc>
          <w:tcPr>
            <w:tcW w:type="dxa" w:w="212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03020000">
            <w:pPr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17-09-013472/10</w:t>
            </w:r>
          </w:p>
        </w:tc>
        <w:tc>
          <w:tcPr>
            <w:tcW w:type="dxa" w:w="226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04020000">
            <w:pPr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Венгрия</w:t>
            </w:r>
          </w:p>
          <w:p w14:paraId="05020000">
            <w:pPr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</w:rPr>
              <w:t xml:space="preserve">7030, Пакш, Ипари парк 4703/28 </w:t>
            </w:r>
          </w:p>
        </w:tc>
        <w:tc>
          <w:tcPr>
            <w:tcW w:type="dxa" w:w="152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06020000">
            <w:pPr>
              <w:ind/>
              <w:jc w:val="center"/>
              <w:rPr>
                <w:rFonts w:ascii="Times New Roman" w:hAnsi="Times New Roman"/>
                <w:sz w:val="22"/>
                <w:highlight w:val="yellow"/>
              </w:rPr>
            </w:pPr>
            <w:r>
              <w:rPr>
                <w:rFonts w:ascii="Times New Roman" w:hAnsi="Times New Roman"/>
                <w:sz w:val="22"/>
              </w:rPr>
              <w:t>Прямой контроль</w:t>
            </w:r>
          </w:p>
        </w:tc>
      </w:tr>
    </w:tbl>
    <w:p w14:paraId="07020000">
      <w:pPr>
        <w:pStyle w:val="Style_10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Признак осуществления эмитентом контроля над организацией, в отношении которой он является контролирующим лицом- право прямо распоряжаться в силу участия в подконтрольной организации более 50 процентами голосов в высшем органе управления подконтрольной эмитенту организации; право назначать (избирать) единоличный исполнительный орган подконтрольной эмитенту организации.</w:t>
      </w:r>
    </w:p>
    <w:tbl>
      <w:tblPr>
        <w:tblStyle w:val="Style_2"/>
        <w:tblW w:type="auto" w:w="0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1809"/>
        <w:gridCol w:w="1560"/>
        <w:gridCol w:w="1984"/>
        <w:gridCol w:w="4217"/>
      </w:tblGrid>
      <w:tr>
        <w:tc>
          <w:tcPr>
            <w:tcW w:type="dxa" w:w="180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0802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Размер доли,</w:t>
            </w:r>
          </w:p>
        </w:tc>
        <w:tc>
          <w:tcPr>
            <w:tcW w:type="dxa" w:w="156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0902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количество</w:t>
            </w:r>
          </w:p>
        </w:tc>
        <w:tc>
          <w:tcPr>
            <w:tcW w:type="dxa" w:w="198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0A02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общая номинальная стоимость</w:t>
            </w:r>
          </w:p>
        </w:tc>
        <w:tc>
          <w:tcPr>
            <w:tcW w:type="dxa" w:w="42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0B02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общая балансовая стоимость обыкновенных акций подконтрольной организации, принадлежащих эмитенту</w:t>
            </w:r>
          </w:p>
          <w:p w14:paraId="0C02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(руб.)</w:t>
            </w:r>
          </w:p>
        </w:tc>
      </w:tr>
      <w:tr>
        <w:tc>
          <w:tcPr>
            <w:tcW w:type="dxa" w:w="180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0D02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100%</w:t>
            </w:r>
          </w:p>
        </w:tc>
        <w:tc>
          <w:tcPr>
            <w:tcW w:type="dxa" w:w="156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0E02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4 120 000</w:t>
            </w:r>
          </w:p>
        </w:tc>
        <w:tc>
          <w:tcPr>
            <w:tcW w:type="dxa" w:w="198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0F02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20 600 000,00</w:t>
            </w:r>
          </w:p>
        </w:tc>
        <w:tc>
          <w:tcPr>
            <w:tcW w:type="dxa" w:w="42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002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230 000 000,00</w:t>
            </w:r>
          </w:p>
        </w:tc>
      </w:tr>
      <w:tr>
        <w:tc>
          <w:tcPr>
            <w:tcW w:type="dxa" w:w="180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102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100%</w:t>
            </w:r>
          </w:p>
        </w:tc>
        <w:tc>
          <w:tcPr>
            <w:tcW w:type="dxa" w:w="156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2020000">
            <w:pPr>
              <w:ind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type="dxa" w:w="198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302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  1 000 000,00</w:t>
            </w:r>
          </w:p>
        </w:tc>
        <w:tc>
          <w:tcPr>
            <w:tcW w:type="dxa" w:w="42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4020000">
            <w:pPr>
              <w:rPr>
                <w:rFonts w:ascii="Times New Roman" w:hAnsi="Times New Roman"/>
                <w:sz w:val="22"/>
              </w:rPr>
            </w:pPr>
          </w:p>
        </w:tc>
      </w:tr>
      <w:tr>
        <w:tc>
          <w:tcPr>
            <w:tcW w:type="dxa" w:w="180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502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100%</w:t>
            </w:r>
          </w:p>
        </w:tc>
        <w:tc>
          <w:tcPr>
            <w:tcW w:type="dxa" w:w="156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6020000">
            <w:pPr>
              <w:ind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type="dxa" w:w="198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702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  1 000 000,00</w:t>
            </w:r>
          </w:p>
        </w:tc>
        <w:tc>
          <w:tcPr>
            <w:tcW w:type="dxa" w:w="42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8020000">
            <w:pPr>
              <w:rPr>
                <w:rFonts w:ascii="Times New Roman" w:hAnsi="Times New Roman"/>
                <w:sz w:val="22"/>
              </w:rPr>
            </w:pPr>
          </w:p>
        </w:tc>
      </w:tr>
      <w:tr>
        <w:tc>
          <w:tcPr>
            <w:tcW w:type="dxa" w:w="180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9020000">
            <w:pPr>
              <w:ind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type="dxa" w:w="156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A020000">
            <w:pPr>
              <w:ind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type="dxa" w:w="198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B020000">
            <w:pPr>
              <w:ind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type="dxa" w:w="42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C020000">
            <w:pPr>
              <w:rPr>
                <w:rFonts w:ascii="Times New Roman" w:hAnsi="Times New Roman"/>
                <w:sz w:val="22"/>
              </w:rPr>
            </w:pPr>
          </w:p>
        </w:tc>
      </w:tr>
      <w:tr>
        <w:tc>
          <w:tcPr>
            <w:tcW w:type="dxa" w:w="180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D02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100%</w:t>
            </w:r>
          </w:p>
        </w:tc>
        <w:tc>
          <w:tcPr>
            <w:tcW w:type="dxa" w:w="156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E020000">
            <w:pPr>
              <w:ind/>
              <w:jc w:val="both"/>
              <w:rPr>
                <w:rFonts w:ascii="Times New Roman" w:hAnsi="Times New Roman"/>
                <w:sz w:val="22"/>
                <w:highlight w:val="yellow"/>
              </w:rPr>
            </w:pPr>
          </w:p>
        </w:tc>
        <w:tc>
          <w:tcPr>
            <w:tcW w:type="dxa" w:w="198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F02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35 000 долл. США</w:t>
            </w:r>
          </w:p>
        </w:tc>
        <w:tc>
          <w:tcPr>
            <w:tcW w:type="dxa" w:w="42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20020000">
            <w:pPr>
              <w:ind w:right="190"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    2 180 941,00</w:t>
            </w:r>
          </w:p>
        </w:tc>
      </w:tr>
      <w:tr>
        <w:tc>
          <w:tcPr>
            <w:tcW w:type="dxa" w:w="180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2102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100%</w:t>
            </w:r>
          </w:p>
        </w:tc>
        <w:tc>
          <w:tcPr>
            <w:tcW w:type="dxa" w:w="156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22020000">
            <w:pPr>
              <w:ind/>
              <w:jc w:val="both"/>
              <w:rPr>
                <w:rFonts w:ascii="Times New Roman" w:hAnsi="Times New Roman"/>
                <w:sz w:val="22"/>
                <w:highlight w:val="yellow"/>
              </w:rPr>
            </w:pPr>
          </w:p>
        </w:tc>
        <w:tc>
          <w:tcPr>
            <w:tcW w:type="dxa" w:w="198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23020000">
            <w:pPr>
              <w:ind/>
              <w:jc w:val="both"/>
              <w:rPr>
                <w:rFonts w:ascii="Times New Roman" w:hAnsi="Times New Roman"/>
                <w:sz w:val="22"/>
                <w:highlight w:val="yellow"/>
              </w:rPr>
            </w:pPr>
            <w:r>
              <w:rPr>
                <w:rFonts w:ascii="Times New Roman" w:hAnsi="Times New Roman"/>
              </w:rPr>
              <w:t>3.000.000 HUF</w:t>
            </w:r>
          </w:p>
        </w:tc>
        <w:tc>
          <w:tcPr>
            <w:tcW w:type="dxa" w:w="42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2402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    439 470,00 </w:t>
            </w:r>
          </w:p>
        </w:tc>
      </w:tr>
    </w:tbl>
    <w:p w14:paraId="25020000">
      <w:pPr>
        <w:pStyle w:val="Style_10"/>
        <w:spacing w:before="24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Основной вид деятельности подконтрольной эмитенту организации - ОАО «УПП»: производство товарного бетона (ОКВЭД 23.63).</w:t>
      </w:r>
    </w:p>
    <w:p w14:paraId="26020000">
      <w:pPr>
        <w:pStyle w:val="Style_1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Совет директоров у подконтрольной организации в уставе не предусмотрен.</w:t>
      </w:r>
    </w:p>
    <w:p w14:paraId="27020000">
      <w:pPr>
        <w:pStyle w:val="Style_1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Коллегиальный исполнительный орган уставом не предусмотрен.</w:t>
      </w:r>
    </w:p>
    <w:p w14:paraId="28020000">
      <w:pPr>
        <w:pStyle w:val="Style_1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Лицо, занимающее должность (осуществляющее функции) единоличного исполнительного органа подконтрольной эмитенту организации - Генерального директора: Арканов Сергей Александрович (с 04.04.2023 г).</w:t>
      </w:r>
    </w:p>
    <w:p w14:paraId="29020000">
      <w:pPr>
        <w:pStyle w:val="Style_10"/>
        <w:spacing w:after="24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Доля, принадлежащая указанному лицу обыкновенных акций эмитента – 0%.</w:t>
      </w:r>
    </w:p>
    <w:p w14:paraId="2A020000">
      <w:pPr>
        <w:pStyle w:val="Style_10"/>
        <w:spacing w:before="24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Основной вид деятельности подконтрольной эмитенту организации - ООО «УМИАТ»: деятельность автомобильного грузового транспорта (ОКВЭД 49.41).</w:t>
      </w:r>
    </w:p>
    <w:p w14:paraId="2B020000">
      <w:pPr>
        <w:pStyle w:val="Style_1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Совет директоров у подконтрольной организации в уставе не предусмотрен.</w:t>
      </w:r>
    </w:p>
    <w:p w14:paraId="2C020000">
      <w:pPr>
        <w:pStyle w:val="Style_1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Коллегиальный исполнительный орган уставом не предусмотрен.</w:t>
      </w:r>
    </w:p>
    <w:p w14:paraId="2D020000">
      <w:pPr>
        <w:pStyle w:val="Style_1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Лицо, занимающее должность (осуществляющее функции) единоличного исполнительного органа подконтрольной эмитенту организации - Генерального директора: Шелемехов Сергей Сергеевич (с 01.08.2023 г).</w:t>
      </w:r>
    </w:p>
    <w:p w14:paraId="2E020000">
      <w:pPr>
        <w:pStyle w:val="Style_10"/>
        <w:spacing w:after="24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Доля, принадлежащая указанному лицу обыкновенных акций эмитента – 0%.</w:t>
      </w:r>
    </w:p>
    <w:p w14:paraId="2F020000">
      <w:pPr>
        <w:pStyle w:val="Style_10"/>
        <w:spacing w:before="24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Основной вид деятельности подконтрольной эмитенту организации - ООО «СТАЛЬИЗОЛЯЦИЯ»: механическая обработка металлических изделий (ОКВЭД 25.62).</w:t>
      </w:r>
    </w:p>
    <w:p w14:paraId="30020000">
      <w:pPr>
        <w:pStyle w:val="Style_1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Совет директоров у подконтрольной организации в уставе не предусмотрен.</w:t>
      </w:r>
    </w:p>
    <w:p w14:paraId="31020000">
      <w:pPr>
        <w:pStyle w:val="Style_1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Коллегиальный исполнительный орган уставом не предусмотрен.</w:t>
      </w:r>
    </w:p>
    <w:p w14:paraId="32020000">
      <w:pPr>
        <w:pStyle w:val="Style_1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Лицо, занимающее должность (осуществляющее функции) единоличного исполнительного органа подконтрольной эмитенту организации - Генерального директора: Мельников Евгений Павлович (с 26.03.2024 г).</w:t>
      </w:r>
    </w:p>
    <w:p w14:paraId="33020000">
      <w:pPr>
        <w:pStyle w:val="Style_10"/>
        <w:spacing w:after="24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Доля, принадлежащая указанному лицу обыкновенных акций эмитента – 0%.</w:t>
      </w:r>
    </w:p>
    <w:p w14:paraId="34020000">
      <w:bookmarkStart w:id="41" w:name="__RefHeading___24"/>
      <w:bookmarkEnd w:id="41"/>
      <w:pPr>
        <w:pStyle w:val="Style_9"/>
        <w:numPr>
          <w:ilvl w:val="1"/>
          <w:numId w:val="10"/>
        </w:numPr>
        <w:spacing w:before="240"/>
        <w:ind/>
        <w:jc w:val="both"/>
        <w:rPr>
          <w:rFonts w:ascii="Times New Roman" w:hAnsi="Times New Roman"/>
          <w:b w:val="1"/>
          <w:sz w:val="22"/>
        </w:rPr>
      </w:pPr>
      <w:r>
        <w:rPr>
          <w:rFonts w:ascii="Times New Roman" w:hAnsi="Times New Roman"/>
          <w:b w:val="1"/>
          <w:sz w:val="22"/>
        </w:rPr>
        <w:t>Дополнительные сведения, раскрываемые эмитентами зеленых</w:t>
      </w:r>
      <w:r>
        <w:rPr>
          <w:rFonts w:ascii="Times New Roman" w:hAnsi="Times New Roman"/>
          <w:b w:val="1"/>
          <w:sz w:val="22"/>
        </w:rPr>
        <w:t xml:space="preserve"> облигаций, социальных облигаций</w:t>
      </w:r>
      <w:r>
        <w:rPr>
          <w:rFonts w:ascii="Times New Roman" w:hAnsi="Times New Roman"/>
          <w:b w:val="1"/>
          <w:sz w:val="22"/>
        </w:rPr>
        <w:t>,</w:t>
      </w:r>
      <w:r>
        <w:rPr>
          <w:rFonts w:ascii="Times New Roman" w:hAnsi="Times New Roman"/>
          <w:b w:val="1"/>
          <w:sz w:val="22"/>
        </w:rPr>
        <w:t xml:space="preserve"> облигаций устойчивого развития</w:t>
      </w:r>
      <w:r>
        <w:rPr>
          <w:rFonts w:ascii="Times New Roman" w:hAnsi="Times New Roman"/>
          <w:b w:val="1"/>
          <w:sz w:val="22"/>
        </w:rPr>
        <w:t>, адаптационных облигаций</w:t>
      </w:r>
    </w:p>
    <w:p w14:paraId="35020000">
      <w:pPr>
        <w:pStyle w:val="Style_10"/>
        <w:spacing w:after="240" w:before="24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Эмитент не идентифицирует выпуск облигаций.</w:t>
      </w:r>
    </w:p>
    <w:p w14:paraId="36020000">
      <w:bookmarkStart w:id="42" w:name="__RefHeading___25"/>
      <w:bookmarkEnd w:id="42"/>
      <w:pPr>
        <w:pStyle w:val="Style_9"/>
        <w:numPr>
          <w:ilvl w:val="1"/>
          <w:numId w:val="10"/>
        </w:numPr>
        <w:spacing w:before="240"/>
        <w:ind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</w:p>
    <w:p w14:paraId="37020000">
      <w:pPr>
        <w:pStyle w:val="Style_10"/>
        <w:spacing w:after="240" w:before="24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Эмитент не регистрировал проспект или публично не размещал (размещение путем открытой подписки) облигаций с обеспечением.</w:t>
      </w:r>
    </w:p>
    <w:p w14:paraId="38020000">
      <w:bookmarkStart w:id="43" w:name="__RefHeading___26"/>
      <w:bookmarkEnd w:id="43"/>
      <w:pPr>
        <w:pStyle w:val="Style_9"/>
        <w:numPr>
          <w:ilvl w:val="1"/>
          <w:numId w:val="10"/>
        </w:numPr>
        <w:spacing w:before="240"/>
        <w:ind/>
        <w:jc w:val="both"/>
        <w:rPr>
          <w:rFonts w:ascii="Times New Roman" w:hAnsi="Times New Roman"/>
          <w:b w:val="1"/>
          <w:sz w:val="22"/>
        </w:rPr>
      </w:pPr>
      <w:r>
        <w:rPr>
          <w:rFonts w:ascii="Times New Roman" w:hAnsi="Times New Roman"/>
          <w:b w:val="1"/>
          <w:sz w:val="22"/>
        </w:rPr>
        <w:t xml:space="preserve">  Сведения об объявленных и выплаченных дивидендах по акциям эмитента</w:t>
      </w:r>
    </w:p>
    <w:p w14:paraId="39020000">
      <w:pPr>
        <w:spacing w:before="20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Информация, предусмотренная </w:t>
      </w:r>
      <w:r>
        <w:rPr>
          <w:rFonts w:ascii="Times New Roman" w:hAnsi="Times New Roman"/>
        </w:rPr>
        <w:fldChar w:fldCharType="begin"/>
      </w:r>
      <w:r>
        <w:rPr>
          <w:rFonts w:ascii="Times New Roman" w:hAnsi="Times New Roman"/>
        </w:rPr>
        <w:instrText>HYPERLINK "consultantplus://offline/ref=BFC33E0FE7007EF23CCBE03443DECD839EA96283CA38124717313FE902773D57A788E9BC468C05E64A660A8A6F3CB6F96F698BC38E49A31EzAH8L"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t xml:space="preserve">пунктом 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>раскрывается эмитентами, акции которых допущены к организованным торгам.</w:t>
      </w:r>
    </w:p>
    <w:p w14:paraId="3A020000">
      <w:bookmarkStart w:id="44" w:name="__RefHeading___27"/>
      <w:bookmarkEnd w:id="44"/>
      <w:pPr>
        <w:pStyle w:val="Style_9"/>
        <w:numPr>
          <w:ilvl w:val="1"/>
          <w:numId w:val="10"/>
        </w:numPr>
        <w:spacing w:before="240"/>
        <w:ind w:hanging="567" w:left="850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Сведения об организациях, осуществляющих учет прав на эмиссионные ценные бумаги эмитента</w:t>
      </w:r>
    </w:p>
    <w:p w14:paraId="3B020000">
      <w:bookmarkStart w:id="45" w:name="__RefHeading___28"/>
      <w:bookmarkEnd w:id="45"/>
      <w:pPr>
        <w:pStyle w:val="Style_9"/>
        <w:numPr>
          <w:ilvl w:val="2"/>
          <w:numId w:val="11"/>
        </w:numPr>
        <w:spacing w:before="240"/>
        <w:ind w:hanging="528" w:left="1378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Сведения о регистраторе, осуществляющем ведение реестра владельцев ценных бумаг эмитента</w:t>
      </w:r>
    </w:p>
    <w:p w14:paraId="3C020000">
      <w:pPr>
        <w:ind w:firstLine="720" w:left="0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</w:rPr>
        <w:t xml:space="preserve">       </w:t>
      </w:r>
    </w:p>
    <w:p w14:paraId="3D020000">
      <w:pPr>
        <w:ind w:firstLine="720" w:left="0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</w:rPr>
        <w:t xml:space="preserve"> Регистратором общества в соответствии с заключенным договором об оказании услуг по ведению реестра владельцев ценных бумаг №2018/78-ДВР-641 является Акционерное общество «Независимая регистрационная компания Р.О.С.Т.» (</w:t>
      </w:r>
      <w:r>
        <w:rPr>
          <w:rFonts w:ascii="Times New Roman" w:hAnsi="Times New Roman"/>
          <w:color w:val="333333"/>
        </w:rPr>
        <w:t>АО «НРК - Р.О.С.Т.»)</w:t>
      </w:r>
    </w:p>
    <w:p w14:paraId="3E02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  <w:b w:val="1"/>
        </w:rPr>
        <w:t>Адрес реестродержателя в соответствии с ЕГРЮЛ</w:t>
      </w:r>
      <w:r>
        <w:rPr>
          <w:rFonts w:ascii="Times New Roman" w:hAnsi="Times New Roman"/>
        </w:rPr>
        <w:t>: 107996, г. Москва, ул. Стромынка, д.18, корп. 5 Б, пом. 9</w:t>
      </w:r>
    </w:p>
    <w:p w14:paraId="3F020000">
      <w:pPr>
        <w:ind/>
        <w:jc w:val="both"/>
        <w:rPr>
          <w:rFonts w:ascii="Times New Roman" w:hAnsi="Times New Roman"/>
          <w:color w:val="333333"/>
        </w:rPr>
      </w:pPr>
      <w:r>
        <w:rPr>
          <w:rFonts w:ascii="Times New Roman" w:hAnsi="Times New Roman"/>
          <w:b w:val="1"/>
        </w:rPr>
        <w:t>Место нахождения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 w:val="1"/>
        </w:rPr>
        <w:t>Сосновоборского филиала</w:t>
      </w:r>
      <w:r>
        <w:rPr>
          <w:rFonts w:ascii="Times New Roman" w:hAnsi="Times New Roman"/>
        </w:rPr>
        <w:t xml:space="preserve">: </w:t>
      </w:r>
      <w:r>
        <w:rPr>
          <w:rFonts w:ascii="Times New Roman" w:hAnsi="Times New Roman"/>
          <w:color w:val="333333"/>
        </w:rPr>
        <w:t>188544, Ленинградская обл., г. Сосновый Бор, ул. Петра Великого, 9, пом. 303</w:t>
      </w:r>
    </w:p>
    <w:p w14:paraId="4002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ИНН 7726030449   ОГРН 1027739216757, </w:t>
      </w:r>
    </w:p>
    <w:p w14:paraId="4102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  <w:b w:val="1"/>
        </w:rPr>
        <w:t>Контактные телефоны регистратора</w:t>
      </w:r>
      <w:r>
        <w:rPr>
          <w:rFonts w:ascii="Times New Roman" w:hAnsi="Times New Roman"/>
        </w:rPr>
        <w:t xml:space="preserve"> (общий центр информационной поддержки эмитентов): +7 (495) 780-73-65.</w:t>
      </w:r>
    </w:p>
    <w:p w14:paraId="4202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  <w:b w:val="1"/>
        </w:rPr>
        <w:t>Адрес электронной почты</w:t>
      </w:r>
      <w:r>
        <w:rPr>
          <w:rFonts w:ascii="Times New Roman" w:hAnsi="Times New Roman"/>
        </w:rPr>
        <w:t>: contact-center@rrost.ru</w:t>
      </w:r>
    </w:p>
    <w:p w14:paraId="4302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  <w:b w:val="1"/>
        </w:rPr>
        <w:t>Адрес страницы в сети Интернет</w:t>
      </w:r>
      <w:r>
        <w:rPr>
          <w:rFonts w:ascii="Times New Roman" w:hAnsi="Times New Roman"/>
        </w:rPr>
        <w:t>: http://www.rrost.com</w:t>
      </w:r>
    </w:p>
    <w:p w14:paraId="4402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  <w:b w:val="1"/>
        </w:rPr>
        <w:t>Номер, дата выдачи, срок действия лицензии</w:t>
      </w:r>
      <w:r>
        <w:rPr>
          <w:rFonts w:ascii="Times New Roman" w:hAnsi="Times New Roman"/>
        </w:rPr>
        <w:t xml:space="preserve"> на осуществление деятельности по ведению реестра владельцев ценных бумаг: Лицензия ФКЦБ России на осуществление деятельности по ведению реестра владельцев ценных бумаг № 045-13976-000001 от 03.12.2002 г. без ограничений срока действия.</w:t>
      </w:r>
    </w:p>
    <w:p w14:paraId="4502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  <w:b w:val="1"/>
        </w:rPr>
        <w:t>Наименование органа, выдавшего лицензию</w:t>
      </w:r>
      <w:r>
        <w:rPr>
          <w:rFonts w:ascii="Times New Roman" w:hAnsi="Times New Roman"/>
        </w:rPr>
        <w:t xml:space="preserve"> Центральный банк Российской Федерации</w:t>
      </w:r>
    </w:p>
    <w:p w14:paraId="4602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(БАНК РОССИИ)</w:t>
      </w:r>
    </w:p>
    <w:p w14:paraId="4702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  <w:b w:val="1"/>
        </w:rPr>
        <w:t>Дата, с которой регистратор осуществляет ведение реестра</w:t>
      </w:r>
      <w:r>
        <w:rPr>
          <w:rFonts w:ascii="Times New Roman" w:hAnsi="Times New Roman"/>
        </w:rPr>
        <w:t xml:space="preserve"> владельцев ценных бумаг публичного акционерного общества: «26» марта 2018 г.</w:t>
      </w:r>
    </w:p>
    <w:p w14:paraId="4802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Информация опубликована эмитентом на странице в сети Интернет: </w:t>
      </w:r>
      <w:r>
        <w:rPr>
          <w:rStyle w:val="Style_15_ch"/>
          <w:rFonts w:ascii="Times New Roman" w:hAnsi="Times New Roman"/>
        </w:rPr>
        <w:fldChar w:fldCharType="begin"/>
      </w:r>
      <w:r>
        <w:rPr>
          <w:rStyle w:val="Style_15_ch"/>
          <w:rFonts w:ascii="Times New Roman" w:hAnsi="Times New Roman"/>
        </w:rPr>
        <w:instrText>HYPERLINK "https://disclosure.1prime.ru/Portal/Default.aspx?emId=4714000211"</w:instrText>
      </w:r>
      <w:r>
        <w:rPr>
          <w:rStyle w:val="Style_15_ch"/>
          <w:rFonts w:ascii="Times New Roman" w:hAnsi="Times New Roman"/>
        </w:rPr>
        <w:fldChar w:fldCharType="separate"/>
      </w:r>
      <w:r>
        <w:rPr>
          <w:rStyle w:val="Style_15_ch"/>
          <w:rFonts w:ascii="Times New Roman" w:hAnsi="Times New Roman"/>
        </w:rPr>
        <w:t>https://disclosure.1prime.ru/Portal/Default.aspx?emId=4714000211</w:t>
      </w:r>
      <w:r>
        <w:rPr>
          <w:rStyle w:val="Style_15_ch"/>
          <w:rFonts w:ascii="Times New Roman" w:hAnsi="Times New Roman"/>
        </w:rPr>
        <w:fldChar w:fldCharType="end"/>
      </w:r>
      <w:r>
        <w:rPr>
          <w:rFonts w:ascii="Times New Roman" w:hAnsi="Times New Roman"/>
        </w:rPr>
        <w:t xml:space="preserve"> .</w:t>
      </w:r>
    </w:p>
    <w:p w14:paraId="49020000">
      <w:bookmarkStart w:id="46" w:name="__RefHeading___29"/>
      <w:bookmarkEnd w:id="46"/>
      <w:pPr>
        <w:pStyle w:val="Style_9"/>
        <w:numPr>
          <w:ilvl w:val="2"/>
          <w:numId w:val="11"/>
        </w:numPr>
        <w:spacing w:before="240"/>
        <w:ind w:hanging="528" w:left="1378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Сведения о депозитарии, осуществляющем централизованный учет прав на ценные бумаги эмитента</w:t>
      </w:r>
    </w:p>
    <w:p w14:paraId="4A020000">
      <w:pPr>
        <w:spacing w:before="240"/>
        <w:ind w:firstLine="567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настоящее время в обращении у эмитента нет ценных бумаг с централизованным учетом прав.</w:t>
      </w:r>
    </w:p>
    <w:p w14:paraId="4B020000">
      <w:bookmarkStart w:id="47" w:name="__RefHeading___30"/>
      <w:bookmarkEnd w:id="47"/>
      <w:pPr>
        <w:pStyle w:val="Style_9"/>
        <w:numPr>
          <w:ilvl w:val="1"/>
          <w:numId w:val="10"/>
        </w:numPr>
        <w:spacing w:before="240"/>
        <w:ind/>
        <w:jc w:val="both"/>
        <w:rPr>
          <w:rFonts w:ascii="Times New Roman" w:hAnsi="Times New Roman"/>
          <w:b w:val="1"/>
        </w:rPr>
      </w:pPr>
      <w:bookmarkStart w:id="48" w:name="P1125"/>
      <w:bookmarkEnd w:id="48"/>
      <w:r>
        <w:rPr>
          <w:rFonts w:ascii="Times New Roman" w:hAnsi="Times New Roman"/>
          <w:b w:val="1"/>
        </w:rPr>
        <w:t>Информация об аудиторе эмитента</w:t>
      </w:r>
    </w:p>
    <w:p w14:paraId="4C020000">
      <w:pPr>
        <w:widowControl w:val="0"/>
        <w:spacing w:after="40" w:before="240"/>
        <w:ind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</w:rPr>
        <w:t>Полное фирменное наименование:</w:t>
      </w:r>
      <w:r>
        <w:rPr>
          <w:rFonts w:ascii="Times New Roman" w:hAnsi="Times New Roman"/>
          <w:b w:val="1"/>
          <w:i w:val="1"/>
        </w:rPr>
        <w:t xml:space="preserve"> </w:t>
      </w:r>
      <w:r>
        <w:rPr>
          <w:rFonts w:ascii="Times New Roman" w:hAnsi="Times New Roman"/>
          <w:b w:val="1"/>
        </w:rPr>
        <w:t xml:space="preserve">Общество с ограниченной ответственностью «Центр налогового аудита" </w:t>
      </w:r>
    </w:p>
    <w:p w14:paraId="4D020000">
      <w:pPr>
        <w:widowControl w:val="0"/>
        <w:spacing w:after="40" w:before="20"/>
        <w:ind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</w:rPr>
        <w:t>Сокращенное фирменное наименование:</w:t>
      </w:r>
      <w:r>
        <w:rPr>
          <w:rFonts w:ascii="Times New Roman" w:hAnsi="Times New Roman"/>
          <w:b w:val="1"/>
          <w:i w:val="1"/>
        </w:rPr>
        <w:t xml:space="preserve"> </w:t>
      </w:r>
      <w:r>
        <w:rPr>
          <w:rFonts w:ascii="Times New Roman" w:hAnsi="Times New Roman"/>
          <w:b w:val="1"/>
        </w:rPr>
        <w:t xml:space="preserve">ООО </w:t>
      </w:r>
      <w:r>
        <w:rPr>
          <w:rFonts w:ascii="Times New Roman" w:hAnsi="Times New Roman"/>
          <w:b w:val="1"/>
          <w:i w:val="1"/>
        </w:rPr>
        <w:t>"</w:t>
      </w:r>
      <w:r>
        <w:rPr>
          <w:rFonts w:ascii="Times New Roman" w:hAnsi="Times New Roman"/>
          <w:b w:val="1"/>
        </w:rPr>
        <w:t xml:space="preserve">ЦНА" </w:t>
      </w:r>
    </w:p>
    <w:p w14:paraId="4E020000">
      <w:pPr>
        <w:widowControl w:val="0"/>
        <w:spacing w:after="40" w:before="240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Место нахождения: 192281, Санкт-Петербург, ул. Ярослава Гашека 4, корп.3, кв.36. </w:t>
      </w:r>
    </w:p>
    <w:p w14:paraId="4F020000">
      <w:pPr>
        <w:widowControl w:val="0"/>
        <w:spacing w:after="40" w:before="20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ИНН/КПП 7816445173/781601001</w:t>
      </w:r>
    </w:p>
    <w:p w14:paraId="50020000">
      <w:pPr>
        <w:widowControl w:val="0"/>
        <w:spacing w:after="40" w:before="20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ОГРН:</w:t>
      </w:r>
      <w:r>
        <w:rPr>
          <w:rFonts w:ascii="Times New Roman" w:hAnsi="Times New Roman"/>
          <w:b w:val="1"/>
          <w:i w:val="1"/>
        </w:rPr>
        <w:t xml:space="preserve"> </w:t>
      </w:r>
      <w:r>
        <w:rPr>
          <w:rFonts w:ascii="Times New Roman" w:hAnsi="Times New Roman"/>
        </w:rPr>
        <w:t>1089847256311</w:t>
      </w:r>
    </w:p>
    <w:p w14:paraId="51020000">
      <w:pPr>
        <w:widowControl w:val="0"/>
        <w:spacing w:after="40" w:before="20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Телефон:</w:t>
      </w:r>
      <w:r>
        <w:rPr>
          <w:rFonts w:ascii="Times New Roman" w:hAnsi="Times New Roman"/>
          <w:b w:val="1"/>
          <w:i w:val="1"/>
        </w:rPr>
        <w:t xml:space="preserve"> </w:t>
      </w:r>
      <w:r>
        <w:rPr>
          <w:rFonts w:ascii="Times New Roman" w:hAnsi="Times New Roman"/>
        </w:rPr>
        <w:t>+7 812 985-24-00</w:t>
      </w:r>
    </w:p>
    <w:p w14:paraId="52020000">
      <w:pPr>
        <w:widowControl w:val="0"/>
        <w:spacing w:after="40" w:before="20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Адреса электронной почты: </w:t>
      </w:r>
      <w:r>
        <w:rPr>
          <w:rStyle w:val="Style_15_ch"/>
          <w:rFonts w:ascii="Times New Roman" w:hAnsi="Times New Roman"/>
        </w:rPr>
        <w:fldChar w:fldCharType="begin"/>
      </w:r>
      <w:r>
        <w:rPr>
          <w:rStyle w:val="Style_15_ch"/>
          <w:rFonts w:ascii="Times New Roman" w:hAnsi="Times New Roman"/>
        </w:rPr>
        <w:instrText>HYPERLINK "mailto:nalogaudit@yandex.ru"</w:instrText>
      </w:r>
      <w:r>
        <w:rPr>
          <w:rStyle w:val="Style_15_ch"/>
          <w:rFonts w:ascii="Times New Roman" w:hAnsi="Times New Roman"/>
        </w:rPr>
        <w:fldChar w:fldCharType="separate"/>
      </w:r>
      <w:r>
        <w:rPr>
          <w:rStyle w:val="Style_15_ch"/>
          <w:rFonts w:ascii="Times New Roman" w:hAnsi="Times New Roman"/>
        </w:rPr>
        <w:t>nalogaudit@yandex.ru.</w:t>
      </w:r>
      <w:r>
        <w:rPr>
          <w:rStyle w:val="Style_15_ch"/>
          <w:rFonts w:ascii="Times New Roman" w:hAnsi="Times New Roman"/>
        </w:rPr>
        <w:fldChar w:fldCharType="end"/>
      </w:r>
    </w:p>
    <w:p w14:paraId="53020000">
      <w:pPr>
        <w:widowControl w:val="0"/>
        <w:spacing w:after="40" w:before="20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Данные о членстве аудитора в саморегулируемых организациях аудиторов: Согласно реестру СРО ООО "ЦНА" является аудиторской организацией, среднесписочная численность аудиторов в штате – 2 чел.</w:t>
      </w:r>
    </w:p>
    <w:p w14:paraId="54020000">
      <w:pPr>
        <w:widowControl w:val="0"/>
        <w:spacing w:after="40" w:before="20"/>
        <w:ind/>
        <w:jc w:val="both"/>
        <w:rPr>
          <w:rFonts w:ascii="Times New Roman" w:hAnsi="Times New Roman"/>
          <w:b w:val="1"/>
          <w:i w:val="1"/>
        </w:rPr>
      </w:pPr>
      <w:r>
        <w:rPr>
          <w:rFonts w:ascii="Times New Roman" w:hAnsi="Times New Roman"/>
        </w:rPr>
        <w:t xml:space="preserve">Факторов, которые могут оказать влияние на независимость аудитора (аудиторской организации) от эмитента, в том числе указывается информация о наличии существенных интересов, связывающих аудитора (лиц, занимающих должности в органах управления и органах контроля за финансово-хозяйственной деятельностью аудиторской организации) с эмитентом (лицами, занимающими должности в органах управления и органах контроля за финансово-хозяйственной деятельностью эмитента) - </w:t>
      </w:r>
      <w:r>
        <w:rPr>
          <w:rFonts w:ascii="Times New Roman" w:hAnsi="Times New Roman"/>
          <w:b w:val="1"/>
          <w:i w:val="1"/>
        </w:rPr>
        <w:t>нет</w:t>
      </w:r>
    </w:p>
    <w:p w14:paraId="55020000">
      <w:pPr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Отчетный год и (или) иной отчетный период из числа последних трех завершенных отчетных лет и текущего года, за который аудитором проводилась (будет проводиться) проверка отчетности эмитента:</w:t>
      </w:r>
    </w:p>
    <w:tbl>
      <w:tblPr>
        <w:tblStyle w:val="Style_2"/>
        <w:tblW w:type="auto" w:w="0"/>
        <w:tblInd w:type="dxa" w:w="356"/>
        <w:tblLayout w:type="fixed"/>
        <w:tblCellMar>
          <w:left w:type="dxa" w:w="72"/>
          <w:right w:type="dxa" w:w="72"/>
        </w:tblCellMar>
      </w:tblPr>
      <w:tblGrid>
        <w:gridCol w:w="2410"/>
        <w:gridCol w:w="2346"/>
      </w:tblGrid>
      <w:tr>
        <w:tc>
          <w:tcPr>
            <w:tcW w:type="dxa" w:w="2410"/>
            <w:tcBorders>
              <w:top w:color="000000" w:sz="6" w:val="double"/>
              <w:left w:color="000000" w:sz="6" w:val="doub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56020000">
            <w:pPr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Бухгалтерская (финансовая) отчетность, Год</w:t>
            </w:r>
          </w:p>
        </w:tc>
        <w:tc>
          <w:tcPr>
            <w:tcW w:type="dxa" w:w="2346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57020000">
            <w:pPr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Консолидированная финансовая отчетность, Год</w:t>
            </w:r>
          </w:p>
        </w:tc>
      </w:tr>
      <w:tr>
        <w:tc>
          <w:tcPr>
            <w:tcW w:type="dxa" w:w="2410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5802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</w:t>
            </w:r>
          </w:p>
        </w:tc>
        <w:tc>
          <w:tcPr>
            <w:tcW w:type="dxa" w:w="234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5902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c>
          <w:tcPr>
            <w:tcW w:type="dxa" w:w="2410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5A02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2022</w:t>
            </w:r>
          </w:p>
        </w:tc>
        <w:tc>
          <w:tcPr>
            <w:tcW w:type="dxa" w:w="234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5B02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c>
          <w:tcPr>
            <w:tcW w:type="dxa" w:w="2410"/>
            <w:tcBorders>
              <w:top w:color="000000" w:sz="6" w:val="single"/>
              <w:left w:color="000000" w:sz="6" w:val="double"/>
              <w:bottom w:color="000000" w:sz="6" w:val="doub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5C02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2023</w:t>
            </w:r>
          </w:p>
        </w:tc>
        <w:tc>
          <w:tcPr>
            <w:tcW w:type="dxa" w:w="2346"/>
            <w:tcBorders>
              <w:top w:color="000000" w:sz="6" w:val="single"/>
              <w:left w:color="000000" w:sz="6" w:val="single"/>
              <w:bottom w:color="000000" w:sz="6" w:val="doub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5D02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c>
          <w:tcPr>
            <w:tcW w:type="dxa" w:w="2410"/>
            <w:tcBorders>
              <w:top w:color="000000" w:sz="6" w:val="single"/>
              <w:left w:color="000000" w:sz="6" w:val="double"/>
              <w:bottom w:color="000000" w:sz="6" w:val="doub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5E02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 мес. 2024</w:t>
            </w:r>
          </w:p>
        </w:tc>
        <w:tc>
          <w:tcPr>
            <w:tcW w:type="dxa" w:w="2346"/>
            <w:tcBorders>
              <w:top w:color="000000" w:sz="6" w:val="single"/>
              <w:left w:color="000000" w:sz="6" w:val="single"/>
              <w:bottom w:color="000000" w:sz="6" w:val="doub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5F020000">
            <w:pPr>
              <w:ind/>
              <w:jc w:val="center"/>
              <w:rPr>
                <w:rFonts w:ascii="Times New Roman" w:hAnsi="Times New Roman"/>
              </w:rPr>
            </w:pPr>
          </w:p>
        </w:tc>
      </w:tr>
    </w:tbl>
    <w:p w14:paraId="60020000">
      <w:pPr>
        <w:ind/>
        <w:jc w:val="both"/>
        <w:rPr>
          <w:rFonts w:ascii="Times New Roman" w:hAnsi="Times New Roman"/>
          <w:highlight w:val="yellow"/>
        </w:rPr>
      </w:pPr>
    </w:p>
    <w:p w14:paraId="61020000">
      <w:pPr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Факторов, которые могут оказать влияние на независимость аудитора (аудиторской организации) от эмитента, в том числе указывается информация о наличии существенных интересов, связывающих аудитора с эмитентом (лицами, занимающими должности в органах управления и органах контроля за финансово-хозяйственной деятельностью эмитента</w:t>
      </w:r>
      <w:r>
        <w:rPr>
          <w:rFonts w:ascii="Times New Roman" w:hAnsi="Times New Roman"/>
          <w:b w:val="1"/>
          <w:i w:val="1"/>
        </w:rPr>
        <w:t>) - нет</w:t>
      </w:r>
    </w:p>
    <w:p w14:paraId="6202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Порядок выбора аудитора эмитента:</w:t>
      </w:r>
    </w:p>
    <w:p w14:paraId="6302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Наличие процедуры тендера, связанного с выбором аудитора</w:t>
      </w:r>
      <w:r>
        <w:rPr>
          <w:rFonts w:ascii="Times New Roman" w:hAnsi="Times New Roman"/>
          <w:b w:val="1"/>
        </w:rPr>
        <w:t>,</w:t>
      </w:r>
      <w:r>
        <w:rPr>
          <w:rFonts w:ascii="Times New Roman" w:hAnsi="Times New Roman"/>
          <w:b w:val="1"/>
          <w:i w:val="1"/>
        </w:rPr>
        <w:t xml:space="preserve"> не предусмотрено</w:t>
      </w:r>
    </w:p>
    <w:p w14:paraId="64020000">
      <w:pPr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Процедура выдвижения кандидатуры аудитора для утверждения собранием акционеров, в том числе орган управления, принимающий соответствующее решение.</w:t>
      </w:r>
      <w:r>
        <w:rPr>
          <w:rFonts w:ascii="Times New Roman" w:hAnsi="Times New Roman"/>
        </w:rPr>
        <w:br/>
      </w:r>
      <w:r>
        <w:rPr>
          <w:rFonts w:ascii="Times New Roman" w:hAnsi="Times New Roman"/>
        </w:rPr>
        <w:t>Совет директоров определяет размер оплаты услуг аудитора. Утверждение аудитора Общества относится к исключительной компетенции общего собрания акционеров.</w:t>
      </w:r>
    </w:p>
    <w:p w14:paraId="65020000">
      <w:pPr>
        <w:ind w:firstLine="720" w:left="0"/>
        <w:jc w:val="both"/>
        <w:rPr>
          <w:rFonts w:ascii="Times New Roman" w:hAnsi="Times New Roman"/>
          <w:b w:val="1"/>
          <w:i w:val="1"/>
        </w:rPr>
      </w:pPr>
      <w:r>
        <w:rPr>
          <w:rFonts w:ascii="Times New Roman" w:hAnsi="Times New Roman"/>
          <w:b w:val="1"/>
          <w:i w:val="1"/>
        </w:rPr>
        <w:t>Аудитор Общества утвержден общим собранием акционеров 28.06.2024 г. Размер оплаты услуг аудитора по аудиту годовой отчетности Общества за 2024 год установлен в сумме не более 750 000 руб.</w:t>
      </w:r>
    </w:p>
    <w:p w14:paraId="6602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Работ аудитора, в рамках специальных аудиторских заданий,</w:t>
      </w:r>
      <w:r>
        <w:rPr>
          <w:rFonts w:ascii="Times New Roman" w:hAnsi="Times New Roman"/>
          <w:b w:val="1"/>
          <w:i w:val="1"/>
        </w:rPr>
        <w:t xml:space="preserve"> не проводилось</w:t>
      </w:r>
    </w:p>
    <w:p w14:paraId="6702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Отсроченных и просроченных платежей за оказанные аудитором услуги</w:t>
      </w:r>
      <w:r>
        <w:rPr>
          <w:rFonts w:ascii="Times New Roman" w:hAnsi="Times New Roman"/>
          <w:b w:val="1"/>
          <w:i w:val="1"/>
        </w:rPr>
        <w:t xml:space="preserve"> нет</w:t>
      </w:r>
    </w:p>
    <w:p w14:paraId="68020000">
      <w:bookmarkStart w:id="49" w:name="__RefHeading___31"/>
      <w:bookmarkEnd w:id="49"/>
      <w:pPr>
        <w:widowControl w:val="0"/>
        <w:spacing w:after="120" w:before="360"/>
        <w:ind/>
        <w:jc w:val="center"/>
        <w:outlineLvl w:val="0"/>
        <w:rPr>
          <w:rFonts w:ascii="Times New Roman" w:hAnsi="Times New Roman"/>
          <w:b w:val="1"/>
          <w:color w:val="000000"/>
        </w:rPr>
      </w:pPr>
      <w:r>
        <w:rPr>
          <w:rFonts w:ascii="Times New Roman" w:hAnsi="Times New Roman"/>
          <w:b w:val="1"/>
          <w:color w:val="000000"/>
        </w:rPr>
        <w:t>Раздел 5. Финансовая отчетность, бухгалтерская (финансовая) отчетность эмитента</w:t>
      </w:r>
    </w:p>
    <w:p w14:paraId="69020000">
      <w:bookmarkStart w:id="50" w:name="__RefHeading___32"/>
      <w:bookmarkEnd w:id="50"/>
      <w:pPr>
        <w:pStyle w:val="Style_9"/>
        <w:spacing w:before="240"/>
        <w:ind w:firstLine="567" w:left="0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5.1. Консолидированная финансовая отчетность (финансовая отчетность) эмитента</w:t>
      </w:r>
    </w:p>
    <w:p w14:paraId="6A020000">
      <w:pPr>
        <w:pStyle w:val="Style_10"/>
        <w:spacing w:after="240" w:before="24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Эмитент не составляет и не раскрывают консолидированную финансовую отчетность.</w:t>
      </w:r>
    </w:p>
    <w:p w14:paraId="6B020000">
      <w:bookmarkStart w:id="51" w:name="__RefHeading___33"/>
      <w:bookmarkEnd w:id="51"/>
      <w:pPr>
        <w:pStyle w:val="Style_9"/>
        <w:spacing w:before="240"/>
        <w:ind w:firstLine="567" w:left="0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5.2.     Бухгалтерская (финансовая) отчетность</w:t>
      </w:r>
    </w:p>
    <w:p w14:paraId="6C020000">
      <w:pPr>
        <w:ind w:firstLine="720" w:left="0"/>
        <w:rPr>
          <w:rFonts w:ascii="Times New Roman" w:hAnsi="Times New Roman"/>
          <w:highlight w:val="white"/>
        </w:rPr>
      </w:pPr>
    </w:p>
    <w:p w14:paraId="6D020000">
      <w:pPr>
        <w:ind w:firstLine="720" w:left="0"/>
        <w:rPr>
          <w:rFonts w:ascii="Times New Roman" w:hAnsi="Times New Roman"/>
          <w:highlight w:val="white"/>
        </w:rPr>
      </w:pPr>
      <w:r>
        <w:rPr>
          <w:rFonts w:ascii="Times New Roman" w:hAnsi="Times New Roman"/>
        </w:rPr>
        <w:t>Бухгалтерская (финанс</w:t>
      </w:r>
      <w:r>
        <w:rPr>
          <w:rFonts w:ascii="Times New Roman" w:hAnsi="Times New Roman"/>
        </w:rPr>
        <w:t xml:space="preserve">овая) отчетность на 30.06.2024 </w:t>
      </w:r>
      <w:r>
        <w:rPr>
          <w:rFonts w:ascii="Times New Roman" w:hAnsi="Times New Roman"/>
        </w:rPr>
        <w:t>опубликована эмитентом 19.07.2024 на странице в сети Интернет</w:t>
      </w:r>
      <w:r>
        <w:rPr>
          <w:rStyle w:val="Style_16_ch"/>
          <w:rFonts w:ascii="Times New Roman" w:hAnsi="Times New Roman"/>
        </w:rPr>
        <w:fldChar w:fldCharType="begin"/>
      </w:r>
      <w:r>
        <w:rPr>
          <w:rStyle w:val="Style_16_ch"/>
          <w:rFonts w:ascii="Times New Roman" w:hAnsi="Times New Roman"/>
        </w:rPr>
        <w:instrText>HYPERLINK "http://disclosure.1prime.ru/Portal/GetDocument.aspx?emId=4714000211&amp;docId=8e661c7e7a6646689a3cdc6f4576c770"</w:instrText>
      </w:r>
      <w:r>
        <w:rPr>
          <w:rStyle w:val="Style_16_ch"/>
          <w:rFonts w:ascii="Times New Roman" w:hAnsi="Times New Roman"/>
        </w:rPr>
        <w:fldChar w:fldCharType="separate"/>
      </w:r>
      <w:r>
        <w:rPr>
          <w:rStyle w:val="Style_16_ch"/>
          <w:rFonts w:ascii="Times New Roman" w:hAnsi="Times New Roman"/>
        </w:rPr>
        <w:t>:</w:t>
      </w:r>
      <w:r>
        <w:rPr>
          <w:rStyle w:val="Style_16_ch"/>
          <w:rFonts w:ascii="Times New Roman" w:hAnsi="Times New Roman"/>
        </w:rPr>
        <w:fldChar w:fldCharType="end"/>
      </w:r>
      <w:r>
        <w:rPr>
          <w:rStyle w:val="Style_16_ch"/>
          <w:rFonts w:ascii="Times New Roman" w:hAnsi="Times New Roman"/>
        </w:rPr>
        <w:t xml:space="preserve"> </w:t>
      </w:r>
      <w:r>
        <w:rPr>
          <w:rStyle w:val="Style_16_ch"/>
          <w:rFonts w:ascii="Times New Roman" w:hAnsi="Times New Roman"/>
        </w:rPr>
        <w:fldChar w:fldCharType="begin"/>
      </w:r>
      <w:r>
        <w:rPr>
          <w:rStyle w:val="Style_16_ch"/>
          <w:rFonts w:ascii="Times New Roman" w:hAnsi="Times New Roman"/>
        </w:rPr>
        <w:instrText>HYPERLINK "http://disclosure.1prime.ru/Portal/GetDocument.aspx?emId=4714000211&amp;docId=8e661c7e7a6646689a3cdc6f4576c770"</w:instrText>
      </w:r>
      <w:r>
        <w:rPr>
          <w:rStyle w:val="Style_16_ch"/>
          <w:rFonts w:ascii="Times New Roman" w:hAnsi="Times New Roman"/>
        </w:rPr>
        <w:fldChar w:fldCharType="separate"/>
      </w:r>
      <w:r>
        <w:rPr>
          <w:rStyle w:val="Style_16_ch"/>
          <w:rFonts w:ascii="Times New Roman" w:hAnsi="Times New Roman"/>
        </w:rPr>
        <w:t>http://disclosure.1prime.ru/Portal/GetDocument.aspx?emId=4714000211&amp;docId=8e661c7e7a6646689a3cdc6f4576c770.</w:t>
      </w:r>
      <w:r>
        <w:rPr>
          <w:rStyle w:val="Style_16_ch"/>
          <w:rFonts w:ascii="Times New Roman" w:hAnsi="Times New Roman"/>
        </w:rPr>
        <w:fldChar w:fldCharType="end"/>
      </w:r>
    </w:p>
    <w:sectPr>
      <w:footerReference r:id="rId1" w:type="default"/>
      <w:pgSz w:h="16838" w:orient="portrait" w:w="11906"/>
      <w:pgMar w:bottom="567" w:footer="397" w:gutter="0" w:header="397" w:left="1701" w:right="567" w:top="851"/>
      <w:pgNumType w:start="1"/>
      <w:titlePg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footer1.xml><?xml version="1.0" encoding="utf-8"?>
<w:ft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1000000">
    <w:pPr>
      <w:pStyle w:val="Style_1"/>
      <w:ind/>
      <w:jc w:val="center"/>
    </w:pPr>
    <w:r>
      <w:fldChar w:fldCharType="begin"/>
    </w:r>
    <w:r>
      <w:instrText xml:space="preserve">PAGE </w:instrText>
    </w:r>
    <w:r>
      <w:fldChar w:fldCharType="separate"/>
    </w:r>
    <w:r>
      <w:t xml:space="preserve"> </w:t>
    </w:r>
    <w:r>
      <w:fldChar w:fldCharType="end"/>
    </w:r>
  </w:p>
  <w:p w14:paraId="02000000">
    <w:pPr>
      <w:pStyle w:val="Style_1"/>
      <w:ind w:firstLine="0" w:left="720"/>
    </w:pPr>
  </w:p>
</w:ftr>
</file>

<file path=word/numbering.xml><?xml version="1.0" encoding="utf-8"?>
<w:number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abstractNum w:abstractNumId="0">
    <w:lvl w:ilvl="0">
      <w:start w:val="1"/>
      <w:numFmt w:val="bullet"/>
      <w:lvlText w:val=""/>
      <w:lvlJc w:val="left"/>
      <w:pPr>
        <w:ind w:hanging="360" w:left="144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ind w:hanging="360" w:left="21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ind w:hanging="360" w:left="288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ind w:hanging="360" w:left="360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hanging="360" w:left="432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ind w:hanging="360" w:left="504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ind w:hanging="360" w:left="57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hanging="360" w:left="648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ind w:hanging="360" w:left="7200"/>
      </w:pPr>
      <w:rPr>
        <w:rFonts w:ascii="Wingdings" w:hAnsi="Wingdings"/>
      </w:rPr>
    </w:lvl>
  </w:abstractNum>
  <w:abstractNum w:abstractNumId="1">
    <w:lvl w:ilvl="0">
      <w:start w:val="1"/>
      <w:numFmt w:val="bullet"/>
      <w:lvlText w:val=""/>
      <w:lvlJc w:val="left"/>
      <w:pPr>
        <w:ind w:hanging="360" w:left="360"/>
      </w:pPr>
      <w:rPr>
        <w:rFonts w:ascii="Symbol" w:hAnsi="Symbol"/>
        <w:b w:val="1"/>
        <w:i w:val="1"/>
      </w:rPr>
    </w:lvl>
    <w:lvl w:ilvl="1">
      <w:start w:val="1"/>
      <w:numFmt w:val="decimal"/>
      <w:lvlText w:val="3.%2."/>
      <w:lvlJc w:val="left"/>
      <w:pPr>
        <w:ind w:hanging="360" w:left="786"/>
      </w:pPr>
      <w:rPr>
        <w:b w:val="1"/>
        <w:i w:val="0"/>
      </w:rPr>
    </w:lvl>
    <w:lvl w:ilvl="2">
      <w:start w:val="1"/>
      <w:numFmt w:val="decimal"/>
      <w:lvlText w:val="%1.%2.%3."/>
      <w:lvlJc w:val="left"/>
      <w:pPr>
        <w:ind w:hanging="720" w:left="1520"/>
      </w:pPr>
      <w:rPr>
        <w:b w:val="1"/>
        <w:i w:val="1"/>
      </w:rPr>
    </w:lvl>
    <w:lvl w:ilvl="3">
      <w:start w:val="1"/>
      <w:numFmt w:val="decimal"/>
      <w:lvlText w:val="%1.%2.%3.%4."/>
      <w:lvlJc w:val="left"/>
      <w:pPr>
        <w:ind w:hanging="720" w:left="1920"/>
      </w:pPr>
      <w:rPr>
        <w:b w:val="1"/>
        <w:i w:val="1"/>
      </w:rPr>
    </w:lvl>
    <w:lvl w:ilvl="4">
      <w:start w:val="1"/>
      <w:numFmt w:val="decimal"/>
      <w:lvlText w:val="%1.%2.%3.%4.%5."/>
      <w:lvlJc w:val="left"/>
      <w:pPr>
        <w:ind w:hanging="1080" w:left="2680"/>
      </w:pPr>
      <w:rPr>
        <w:b w:val="1"/>
        <w:i w:val="1"/>
      </w:rPr>
    </w:lvl>
    <w:lvl w:ilvl="5">
      <w:start w:val="1"/>
      <w:numFmt w:val="decimal"/>
      <w:lvlText w:val="%1.%2.%3.%4.%5.%6."/>
      <w:lvlJc w:val="left"/>
      <w:pPr>
        <w:ind w:hanging="1080" w:left="3080"/>
      </w:pPr>
      <w:rPr>
        <w:b w:val="1"/>
        <w:i w:val="1"/>
      </w:rPr>
    </w:lvl>
    <w:lvl w:ilvl="6">
      <w:start w:val="1"/>
      <w:numFmt w:val="decimal"/>
      <w:lvlText w:val="%1.%2.%3.%4.%5.%6.%7."/>
      <w:lvlJc w:val="left"/>
      <w:pPr>
        <w:ind w:hanging="1080" w:left="3480"/>
      </w:pPr>
      <w:rPr>
        <w:b w:val="1"/>
        <w:i w:val="1"/>
      </w:rPr>
    </w:lvl>
    <w:lvl w:ilvl="7">
      <w:start w:val="1"/>
      <w:numFmt w:val="decimal"/>
      <w:lvlText w:val="%1.%2.%3.%4.%5.%6.%7.%8."/>
      <w:lvlJc w:val="left"/>
      <w:pPr>
        <w:ind w:hanging="1440" w:left="4240"/>
      </w:pPr>
      <w:rPr>
        <w:b w:val="1"/>
        <w:i w:val="1"/>
      </w:rPr>
    </w:lvl>
    <w:lvl w:ilvl="8">
      <w:start w:val="1"/>
      <w:numFmt w:val="decimal"/>
      <w:lvlText w:val="%1.%2.%3.%4.%5.%6.%7.%8.%9."/>
      <w:lvlJc w:val="left"/>
      <w:pPr>
        <w:ind w:hanging="1440" w:left="4640"/>
      </w:pPr>
      <w:rPr>
        <w:b w:val="1"/>
        <w:i w:val="1"/>
      </w:rPr>
    </w:lvl>
  </w:abstractNum>
  <w:abstractNum w:abstractNumId="2">
    <w:lvl w:ilvl="0">
      <w:start w:val="1"/>
      <w:numFmt w:val="bullet"/>
      <w:lvlText w:val=""/>
      <w:lvlJc w:val="left"/>
      <w:pPr>
        <w:ind w:hanging="360" w:left="72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ind w:hanging="360" w:left="144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ind w:hanging="360" w:left="21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ind w:hanging="360" w:left="288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hanging="360" w:left="360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ind w:hanging="360" w:left="432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ind w:hanging="360" w:left="504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hanging="360" w:left="57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ind w:hanging="360" w:left="6480"/>
      </w:pPr>
      <w:rPr>
        <w:rFonts w:ascii="Wingdings" w:hAnsi="Wingdings"/>
      </w:rPr>
    </w:lvl>
  </w:abstractNum>
  <w:abstractNum w:abstractNumId="3">
    <w:lvl w:ilvl="0">
      <w:start w:val="1"/>
      <w:numFmt w:val="bullet"/>
      <w:lvlText w:val=""/>
      <w:lvlJc w:val="left"/>
      <w:pPr>
        <w:ind w:hanging="360" w:left="72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ind w:hanging="360" w:left="144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ind w:hanging="360" w:left="21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ind w:hanging="360" w:left="288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hanging="360" w:left="360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ind w:hanging="360" w:left="432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ind w:hanging="360" w:left="504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hanging="360" w:left="57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ind w:hanging="360" w:left="6480"/>
      </w:pPr>
      <w:rPr>
        <w:rFonts w:ascii="Wingdings" w:hAnsi="Wingdings"/>
      </w:rPr>
    </w:lvl>
  </w:abstractNum>
  <w:abstractNum w:abstractNumId="4">
    <w:lvl w:ilvl="0">
      <w:start w:val="1"/>
      <w:numFmt w:val="bullet"/>
      <w:lvlText w:val=""/>
      <w:lvlJc w:val="left"/>
      <w:pPr>
        <w:ind w:hanging="360" w:left="360"/>
      </w:pPr>
      <w:rPr>
        <w:rFonts w:ascii="Symbol" w:hAnsi="Symbol"/>
        <w:b w:val="1"/>
        <w:i w:val="1"/>
      </w:rPr>
    </w:lvl>
    <w:lvl w:ilvl="1">
      <w:start w:val="1"/>
      <w:numFmt w:val="decimal"/>
      <w:lvlText w:val="3.%2."/>
      <w:lvlJc w:val="left"/>
      <w:pPr>
        <w:ind w:hanging="360" w:left="786"/>
      </w:pPr>
      <w:rPr>
        <w:b w:val="1"/>
        <w:i w:val="0"/>
      </w:rPr>
    </w:lvl>
    <w:lvl w:ilvl="2">
      <w:start w:val="1"/>
      <w:numFmt w:val="decimal"/>
      <w:lvlText w:val="%1.%2.%3."/>
      <w:lvlJc w:val="left"/>
      <w:pPr>
        <w:ind w:hanging="720" w:left="1520"/>
      </w:pPr>
      <w:rPr>
        <w:b w:val="1"/>
        <w:i w:val="1"/>
      </w:rPr>
    </w:lvl>
    <w:lvl w:ilvl="3">
      <w:start w:val="1"/>
      <w:numFmt w:val="decimal"/>
      <w:lvlText w:val="%1.%2.%3.%4."/>
      <w:lvlJc w:val="left"/>
      <w:pPr>
        <w:ind w:hanging="720" w:left="1920"/>
      </w:pPr>
      <w:rPr>
        <w:b w:val="1"/>
        <w:i w:val="1"/>
      </w:rPr>
    </w:lvl>
    <w:lvl w:ilvl="4">
      <w:start w:val="1"/>
      <w:numFmt w:val="decimal"/>
      <w:lvlText w:val="%1.%2.%3.%4.%5."/>
      <w:lvlJc w:val="left"/>
      <w:pPr>
        <w:ind w:hanging="1080" w:left="2680"/>
      </w:pPr>
      <w:rPr>
        <w:b w:val="1"/>
        <w:i w:val="1"/>
      </w:rPr>
    </w:lvl>
    <w:lvl w:ilvl="5">
      <w:start w:val="1"/>
      <w:numFmt w:val="decimal"/>
      <w:lvlText w:val="%1.%2.%3.%4.%5.%6."/>
      <w:lvlJc w:val="left"/>
      <w:pPr>
        <w:ind w:hanging="1080" w:left="3080"/>
      </w:pPr>
      <w:rPr>
        <w:b w:val="1"/>
        <w:i w:val="1"/>
      </w:rPr>
    </w:lvl>
    <w:lvl w:ilvl="6">
      <w:start w:val="1"/>
      <w:numFmt w:val="decimal"/>
      <w:lvlText w:val="%1.%2.%3.%4.%5.%6.%7."/>
      <w:lvlJc w:val="left"/>
      <w:pPr>
        <w:ind w:hanging="1080" w:left="3480"/>
      </w:pPr>
      <w:rPr>
        <w:b w:val="1"/>
        <w:i w:val="1"/>
      </w:rPr>
    </w:lvl>
    <w:lvl w:ilvl="7">
      <w:start w:val="1"/>
      <w:numFmt w:val="decimal"/>
      <w:lvlText w:val="%1.%2.%3.%4.%5.%6.%7.%8."/>
      <w:lvlJc w:val="left"/>
      <w:pPr>
        <w:ind w:hanging="1440" w:left="4240"/>
      </w:pPr>
      <w:rPr>
        <w:b w:val="1"/>
        <w:i w:val="1"/>
      </w:rPr>
    </w:lvl>
    <w:lvl w:ilvl="8">
      <w:start w:val="1"/>
      <w:numFmt w:val="decimal"/>
      <w:lvlText w:val="%1.%2.%3.%4.%5.%6.%7.%8.%9."/>
      <w:lvlJc w:val="left"/>
      <w:pPr>
        <w:ind w:hanging="1440" w:left="4640"/>
      </w:pPr>
      <w:rPr>
        <w:b w:val="1"/>
        <w:i w:val="1"/>
      </w:rPr>
    </w:lvl>
  </w:abstractNum>
  <w:abstractNum w:abstractNumId="5">
    <w:lvl w:ilvl="0">
      <w:start w:val="1"/>
      <w:numFmt w:val="decimal"/>
      <w:lvlText w:val="%1."/>
      <w:lvlJc w:val="left"/>
      <w:pPr>
        <w:ind w:hanging="360" w:left="360"/>
      </w:pPr>
      <w:rPr>
        <w:b w:val="1"/>
        <w:i w:val="1"/>
      </w:rPr>
    </w:lvl>
    <w:lvl w:ilvl="1">
      <w:start w:val="1"/>
      <w:numFmt w:val="decimal"/>
      <w:lvlText w:val="2.%2."/>
      <w:lvlJc w:val="left"/>
      <w:pPr>
        <w:ind w:hanging="360" w:left="786"/>
      </w:pPr>
      <w:rPr>
        <w:b w:val="1"/>
        <w:i w:val="0"/>
      </w:rPr>
    </w:lvl>
    <w:lvl w:ilvl="2">
      <w:start w:val="1"/>
      <w:numFmt w:val="decimal"/>
      <w:lvlText w:val="%1.%2.%3."/>
      <w:lvlJc w:val="left"/>
      <w:pPr>
        <w:ind w:hanging="720" w:left="1520"/>
      </w:pPr>
      <w:rPr>
        <w:b w:val="1"/>
        <w:i w:val="1"/>
      </w:rPr>
    </w:lvl>
    <w:lvl w:ilvl="3">
      <w:start w:val="1"/>
      <w:numFmt w:val="decimal"/>
      <w:lvlText w:val="%1.%2.%3.%4."/>
      <w:lvlJc w:val="left"/>
      <w:pPr>
        <w:ind w:hanging="720" w:left="1920"/>
      </w:pPr>
      <w:rPr>
        <w:b w:val="1"/>
        <w:i w:val="1"/>
      </w:rPr>
    </w:lvl>
    <w:lvl w:ilvl="4">
      <w:start w:val="1"/>
      <w:numFmt w:val="decimal"/>
      <w:lvlText w:val="%1.%2.%3.%4.%5."/>
      <w:lvlJc w:val="left"/>
      <w:pPr>
        <w:ind w:hanging="1080" w:left="2680"/>
      </w:pPr>
      <w:rPr>
        <w:b w:val="1"/>
        <w:i w:val="1"/>
      </w:rPr>
    </w:lvl>
    <w:lvl w:ilvl="5">
      <w:start w:val="1"/>
      <w:numFmt w:val="decimal"/>
      <w:lvlText w:val="%1.%2.%3.%4.%5.%6."/>
      <w:lvlJc w:val="left"/>
      <w:pPr>
        <w:ind w:hanging="1080" w:left="3080"/>
      </w:pPr>
      <w:rPr>
        <w:b w:val="1"/>
        <w:i w:val="1"/>
      </w:rPr>
    </w:lvl>
    <w:lvl w:ilvl="6">
      <w:start w:val="1"/>
      <w:numFmt w:val="decimal"/>
      <w:lvlText w:val="%1.%2.%3.%4.%5.%6.%7."/>
      <w:lvlJc w:val="left"/>
      <w:pPr>
        <w:ind w:hanging="1080" w:left="3480"/>
      </w:pPr>
      <w:rPr>
        <w:b w:val="1"/>
        <w:i w:val="1"/>
      </w:rPr>
    </w:lvl>
    <w:lvl w:ilvl="7">
      <w:start w:val="1"/>
      <w:numFmt w:val="decimal"/>
      <w:lvlText w:val="%1.%2.%3.%4.%5.%6.%7.%8."/>
      <w:lvlJc w:val="left"/>
      <w:pPr>
        <w:ind w:hanging="1440" w:left="4240"/>
      </w:pPr>
      <w:rPr>
        <w:b w:val="1"/>
        <w:i w:val="1"/>
      </w:rPr>
    </w:lvl>
    <w:lvl w:ilvl="8">
      <w:start w:val="1"/>
      <w:numFmt w:val="decimal"/>
      <w:lvlText w:val="%1.%2.%3.%4.%5.%6.%7.%8.%9."/>
      <w:lvlJc w:val="left"/>
      <w:pPr>
        <w:ind w:hanging="1440" w:left="4640"/>
      </w:pPr>
      <w:rPr>
        <w:b w:val="1"/>
        <w:i w:val="1"/>
      </w:rPr>
    </w:lvl>
  </w:abstractNum>
  <w:abstractNum w:abstractNumId="6">
    <w:lvl w:ilvl="0">
      <w:start w:val="1"/>
      <w:numFmt w:val="decimal"/>
      <w:lvlText w:val="%1."/>
      <w:lvlJc w:val="left"/>
      <w:pPr>
        <w:ind w:hanging="360" w:left="720"/>
      </w:pPr>
    </w:lvl>
    <w:lvl w:ilvl="1">
      <w:start w:val="1"/>
      <w:numFmt w:val="lowerLetter"/>
      <w:lvlText w:val="%2."/>
      <w:lvlJc w:val="left"/>
      <w:pPr>
        <w:ind w:hanging="360" w:left="1440"/>
      </w:pPr>
    </w:lvl>
    <w:lvl w:ilvl="2">
      <w:start w:val="1"/>
      <w:numFmt w:val="lowerRoman"/>
      <w:lvlText w:val="%3."/>
      <w:lvlJc w:val="right"/>
      <w:pPr>
        <w:ind w:hanging="360" w:left="2160"/>
      </w:pPr>
    </w:lvl>
    <w:lvl w:ilvl="3">
      <w:start w:val="1"/>
      <w:numFmt w:val="decimal"/>
      <w:lvlText w:val="%4."/>
      <w:lvlJc w:val="left"/>
      <w:pPr>
        <w:ind w:hanging="360" w:left="2880"/>
      </w:pPr>
    </w:lvl>
    <w:lvl w:ilvl="4">
      <w:start w:val="1"/>
      <w:numFmt w:val="lowerLetter"/>
      <w:lvlText w:val="%5."/>
      <w:lvlJc w:val="left"/>
      <w:pPr>
        <w:ind w:hanging="360" w:left="3600"/>
      </w:pPr>
    </w:lvl>
    <w:lvl w:ilvl="5">
      <w:start w:val="1"/>
      <w:numFmt w:val="lowerRoman"/>
      <w:lvlText w:val="%6."/>
      <w:lvlJc w:val="right"/>
      <w:pPr>
        <w:ind w:hanging="360" w:left="4320"/>
      </w:pPr>
    </w:lvl>
    <w:lvl w:ilvl="6">
      <w:start w:val="1"/>
      <w:numFmt w:val="decimal"/>
      <w:lvlText w:val="%7."/>
      <w:lvlJc w:val="left"/>
      <w:pPr>
        <w:ind w:hanging="360" w:left="5040"/>
      </w:pPr>
    </w:lvl>
    <w:lvl w:ilvl="7">
      <w:start w:val="1"/>
      <w:numFmt w:val="lowerLetter"/>
      <w:lvlText w:val="%8."/>
      <w:lvlJc w:val="left"/>
      <w:pPr>
        <w:ind w:hanging="360" w:left="5760"/>
      </w:pPr>
    </w:lvl>
    <w:lvl w:ilvl="8">
      <w:start w:val="1"/>
      <w:numFmt w:val="lowerRoman"/>
      <w:lvlText w:val="%9."/>
      <w:lvlJc w:val="right"/>
      <w:pPr>
        <w:ind w:hanging="360" w:left="6480"/>
      </w:pPr>
    </w:lvl>
  </w:abstractNum>
  <w:abstractNum w:abstractNumId="7">
    <w:lvl w:ilvl="0">
      <w:start w:val="4"/>
      <w:numFmt w:val="decimal"/>
      <w:lvlText w:val="%1."/>
      <w:lvlJc w:val="left"/>
      <w:pPr>
        <w:ind w:hanging="360" w:left="360"/>
      </w:pPr>
      <w:rPr>
        <w:b w:val="1"/>
        <w:i w:val="1"/>
      </w:rPr>
    </w:lvl>
    <w:lvl w:ilvl="1">
      <w:start w:val="1"/>
      <w:numFmt w:val="decimal"/>
      <w:lvlText w:val="3.%2."/>
      <w:lvlJc w:val="left"/>
      <w:pPr>
        <w:ind w:hanging="360" w:left="786"/>
      </w:pPr>
      <w:rPr>
        <w:b w:val="1"/>
        <w:i w:val="0"/>
      </w:rPr>
    </w:lvl>
    <w:lvl w:ilvl="2">
      <w:start w:val="1"/>
      <w:numFmt w:val="decimal"/>
      <w:lvlText w:val="%1.%2.%3."/>
      <w:lvlJc w:val="left"/>
      <w:pPr>
        <w:ind w:hanging="720" w:left="1520"/>
      </w:pPr>
      <w:rPr>
        <w:b w:val="1"/>
        <w:i w:val="1"/>
      </w:rPr>
    </w:lvl>
    <w:lvl w:ilvl="3">
      <w:start w:val="1"/>
      <w:numFmt w:val="decimal"/>
      <w:lvlText w:val="%1.%2.%3.%4."/>
      <w:lvlJc w:val="left"/>
      <w:pPr>
        <w:ind w:hanging="720" w:left="1920"/>
      </w:pPr>
      <w:rPr>
        <w:b w:val="1"/>
        <w:i w:val="1"/>
      </w:rPr>
    </w:lvl>
    <w:lvl w:ilvl="4">
      <w:start w:val="1"/>
      <w:numFmt w:val="decimal"/>
      <w:lvlText w:val="%1.%2.%3.%4.%5."/>
      <w:lvlJc w:val="left"/>
      <w:pPr>
        <w:ind w:hanging="1080" w:left="2680"/>
      </w:pPr>
      <w:rPr>
        <w:b w:val="1"/>
        <w:i w:val="1"/>
      </w:rPr>
    </w:lvl>
    <w:lvl w:ilvl="5">
      <w:start w:val="1"/>
      <w:numFmt w:val="decimal"/>
      <w:lvlText w:val="%1.%2.%3.%4.%5.%6."/>
      <w:lvlJc w:val="left"/>
      <w:pPr>
        <w:ind w:hanging="1080" w:left="3080"/>
      </w:pPr>
      <w:rPr>
        <w:b w:val="1"/>
        <w:i w:val="1"/>
      </w:rPr>
    </w:lvl>
    <w:lvl w:ilvl="6">
      <w:start w:val="1"/>
      <w:numFmt w:val="decimal"/>
      <w:lvlText w:val="%1.%2.%3.%4.%5.%6.%7."/>
      <w:lvlJc w:val="left"/>
      <w:pPr>
        <w:ind w:hanging="1080" w:left="3480"/>
      </w:pPr>
      <w:rPr>
        <w:b w:val="1"/>
        <w:i w:val="1"/>
      </w:rPr>
    </w:lvl>
    <w:lvl w:ilvl="7">
      <w:start w:val="1"/>
      <w:numFmt w:val="decimal"/>
      <w:lvlText w:val="%1.%2.%3.%4.%5.%6.%7.%8."/>
      <w:lvlJc w:val="left"/>
      <w:pPr>
        <w:ind w:hanging="1440" w:left="4240"/>
      </w:pPr>
      <w:rPr>
        <w:b w:val="1"/>
        <w:i w:val="1"/>
      </w:rPr>
    </w:lvl>
    <w:lvl w:ilvl="8">
      <w:start w:val="1"/>
      <w:numFmt w:val="decimal"/>
      <w:lvlText w:val="%1.%2.%3.%4.%5.%6.%7.%8.%9."/>
      <w:lvlJc w:val="left"/>
      <w:pPr>
        <w:ind w:hanging="1440" w:left="4640"/>
      </w:pPr>
      <w:rPr>
        <w:b w:val="1"/>
        <w:i w:val="1"/>
      </w:rPr>
    </w:lvl>
  </w:abstractNum>
  <w:abstractNum w:abstractNumId="8">
    <w:lvl w:ilvl="0">
      <w:start w:val="1"/>
      <w:numFmt w:val="decimal"/>
      <w:lvlText w:val="%1)"/>
      <w:lvlJc w:val="left"/>
      <w:pPr>
        <w:ind w:hanging="360" w:left="560"/>
      </w:pPr>
      <w:rPr>
        <w:b w:val="0"/>
      </w:rPr>
    </w:lvl>
    <w:lvl w:ilvl="1">
      <w:start w:val="1"/>
      <w:numFmt w:val="lowerLetter"/>
      <w:lvlText w:val="%2."/>
      <w:lvlJc w:val="left"/>
      <w:pPr>
        <w:ind w:hanging="360" w:left="1440"/>
      </w:pPr>
    </w:lvl>
    <w:lvl w:ilvl="2">
      <w:start w:val="1"/>
      <w:numFmt w:val="lowerRoman"/>
      <w:lvlText w:val="%3."/>
      <w:lvlJc w:val="right"/>
      <w:pPr>
        <w:ind w:hanging="180" w:left="2160"/>
      </w:pPr>
    </w:lvl>
    <w:lvl w:ilvl="3">
      <w:start w:val="1"/>
      <w:numFmt w:val="decimal"/>
      <w:lvlText w:val="%4."/>
      <w:lvlJc w:val="left"/>
      <w:pPr>
        <w:ind w:hanging="360" w:left="2880"/>
      </w:pPr>
    </w:lvl>
    <w:lvl w:ilvl="4">
      <w:start w:val="1"/>
      <w:numFmt w:val="lowerLetter"/>
      <w:lvlText w:val="%5."/>
      <w:lvlJc w:val="left"/>
      <w:pPr>
        <w:ind w:hanging="360" w:left="3600"/>
      </w:pPr>
    </w:lvl>
    <w:lvl w:ilvl="5">
      <w:start w:val="1"/>
      <w:numFmt w:val="lowerRoman"/>
      <w:lvlText w:val="%6."/>
      <w:lvlJc w:val="right"/>
      <w:pPr>
        <w:ind w:hanging="180" w:left="4320"/>
      </w:pPr>
    </w:lvl>
    <w:lvl w:ilvl="6">
      <w:start w:val="1"/>
      <w:numFmt w:val="decimal"/>
      <w:lvlText w:val="%7."/>
      <w:lvlJc w:val="left"/>
      <w:pPr>
        <w:ind w:hanging="360" w:left="5040"/>
      </w:pPr>
    </w:lvl>
    <w:lvl w:ilvl="7">
      <w:start w:val="1"/>
      <w:numFmt w:val="lowerLetter"/>
      <w:lvlText w:val="%8."/>
      <w:lvlJc w:val="left"/>
      <w:pPr>
        <w:ind w:hanging="360" w:left="5760"/>
      </w:pPr>
    </w:lvl>
    <w:lvl w:ilvl="8">
      <w:start w:val="1"/>
      <w:numFmt w:val="lowerRoman"/>
      <w:lvlText w:val="%9."/>
      <w:lvlJc w:val="right"/>
      <w:pPr>
        <w:ind w:hanging="180" w:left="6480"/>
      </w:pPr>
    </w:lvl>
  </w:abstractNum>
  <w:abstractNum w:abstractNumId="9">
    <w:lvl w:ilvl="0">
      <w:start w:val="4"/>
      <w:numFmt w:val="decimal"/>
      <w:lvlText w:val="%1."/>
      <w:lvlJc w:val="left"/>
      <w:pPr>
        <w:ind w:hanging="360" w:left="360"/>
      </w:pPr>
      <w:rPr>
        <w:b w:val="1"/>
        <w:i w:val="1"/>
      </w:rPr>
    </w:lvl>
    <w:lvl w:ilvl="1">
      <w:start w:val="1"/>
      <w:numFmt w:val="decimal"/>
      <w:lvlText w:val="%1.%2."/>
      <w:lvlJc w:val="left"/>
      <w:pPr>
        <w:ind w:hanging="360" w:left="644"/>
      </w:pPr>
      <w:rPr>
        <w:b w:val="1"/>
        <w:i w:val="0"/>
      </w:rPr>
    </w:lvl>
    <w:lvl w:ilvl="2">
      <w:start w:val="1"/>
      <w:numFmt w:val="decimal"/>
      <w:lvlText w:val="%1.%2.%3."/>
      <w:lvlJc w:val="left"/>
      <w:pPr>
        <w:ind w:hanging="720" w:left="1520"/>
      </w:pPr>
      <w:rPr>
        <w:b w:val="1"/>
        <w:i w:val="1"/>
      </w:rPr>
    </w:lvl>
    <w:lvl w:ilvl="3">
      <w:start w:val="1"/>
      <w:numFmt w:val="decimal"/>
      <w:lvlText w:val="%1.%2.%3.%4."/>
      <w:lvlJc w:val="left"/>
      <w:pPr>
        <w:ind w:hanging="720" w:left="1920"/>
      </w:pPr>
      <w:rPr>
        <w:b w:val="1"/>
        <w:i w:val="1"/>
      </w:rPr>
    </w:lvl>
    <w:lvl w:ilvl="4">
      <w:start w:val="1"/>
      <w:numFmt w:val="decimal"/>
      <w:lvlText w:val="%1.%2.%3.%4.%5."/>
      <w:lvlJc w:val="left"/>
      <w:pPr>
        <w:ind w:hanging="1080" w:left="2680"/>
      </w:pPr>
      <w:rPr>
        <w:b w:val="1"/>
        <w:i w:val="1"/>
      </w:rPr>
    </w:lvl>
    <w:lvl w:ilvl="5">
      <w:start w:val="1"/>
      <w:numFmt w:val="decimal"/>
      <w:lvlText w:val="%1.%2.%3.%4.%5.%6."/>
      <w:lvlJc w:val="left"/>
      <w:pPr>
        <w:ind w:hanging="1080" w:left="3080"/>
      </w:pPr>
      <w:rPr>
        <w:b w:val="1"/>
        <w:i w:val="1"/>
      </w:rPr>
    </w:lvl>
    <w:lvl w:ilvl="6">
      <w:start w:val="1"/>
      <w:numFmt w:val="decimal"/>
      <w:lvlText w:val="%1.%2.%3.%4.%5.%6.%7."/>
      <w:lvlJc w:val="left"/>
      <w:pPr>
        <w:ind w:hanging="1080" w:left="3480"/>
      </w:pPr>
      <w:rPr>
        <w:b w:val="1"/>
        <w:i w:val="1"/>
      </w:rPr>
    </w:lvl>
    <w:lvl w:ilvl="7">
      <w:start w:val="1"/>
      <w:numFmt w:val="decimal"/>
      <w:lvlText w:val="%1.%2.%3.%4.%5.%6.%7.%8."/>
      <w:lvlJc w:val="left"/>
      <w:pPr>
        <w:ind w:hanging="1440" w:left="4240"/>
      </w:pPr>
      <w:rPr>
        <w:b w:val="1"/>
        <w:i w:val="1"/>
      </w:rPr>
    </w:lvl>
    <w:lvl w:ilvl="8">
      <w:start w:val="1"/>
      <w:numFmt w:val="decimal"/>
      <w:lvlText w:val="%1.%2.%3.%4.%5.%6.%7.%8.%9."/>
      <w:lvlJc w:val="left"/>
      <w:pPr>
        <w:ind w:hanging="1440" w:left="4640"/>
      </w:pPr>
      <w:rPr>
        <w:b w:val="1"/>
        <w:i w:val="1"/>
      </w:rPr>
    </w:lvl>
  </w:abstractNum>
  <w:abstractNum w:abstractNumId="10">
    <w:lvl w:ilvl="0">
      <w:start w:val="4"/>
      <w:numFmt w:val="decimal"/>
      <w:lvlText w:val="%1."/>
      <w:lvlJc w:val="left"/>
      <w:pPr>
        <w:ind w:hanging="360" w:left="360"/>
      </w:pPr>
      <w:rPr>
        <w:b w:val="1"/>
        <w:i w:val="1"/>
      </w:rPr>
    </w:lvl>
    <w:lvl w:ilvl="1">
      <w:start w:val="5"/>
      <w:numFmt w:val="decimal"/>
      <w:lvlText w:val="%1.%2."/>
      <w:lvlJc w:val="left"/>
      <w:pPr>
        <w:ind w:hanging="360" w:left="760"/>
      </w:pPr>
      <w:rPr>
        <w:b w:val="1"/>
        <w:i w:val="1"/>
      </w:rPr>
    </w:lvl>
    <w:lvl w:ilvl="2">
      <w:start w:val="1"/>
      <w:numFmt w:val="decimal"/>
      <w:lvlText w:val="%1.%2.%3."/>
      <w:lvlJc w:val="left"/>
      <w:pPr>
        <w:ind w:hanging="720" w:left="1520"/>
      </w:pPr>
      <w:rPr>
        <w:b w:val="1"/>
        <w:i w:val="0"/>
        <w:sz w:val="22"/>
      </w:rPr>
    </w:lvl>
    <w:lvl w:ilvl="3">
      <w:start w:val="1"/>
      <w:numFmt w:val="decimal"/>
      <w:lvlText w:val="%1.%2.%3.%4."/>
      <w:lvlJc w:val="left"/>
      <w:pPr>
        <w:ind w:hanging="720" w:left="1920"/>
      </w:pPr>
      <w:rPr>
        <w:b w:val="1"/>
        <w:i w:val="1"/>
      </w:rPr>
    </w:lvl>
    <w:lvl w:ilvl="4">
      <w:start w:val="1"/>
      <w:numFmt w:val="decimal"/>
      <w:lvlText w:val="%1.%2.%3.%4.%5."/>
      <w:lvlJc w:val="left"/>
      <w:pPr>
        <w:ind w:hanging="1080" w:left="2680"/>
      </w:pPr>
      <w:rPr>
        <w:b w:val="1"/>
        <w:i w:val="1"/>
      </w:rPr>
    </w:lvl>
    <w:lvl w:ilvl="5">
      <w:start w:val="1"/>
      <w:numFmt w:val="decimal"/>
      <w:lvlText w:val="%1.%2.%3.%4.%5.%6."/>
      <w:lvlJc w:val="left"/>
      <w:pPr>
        <w:ind w:hanging="1080" w:left="3080"/>
      </w:pPr>
      <w:rPr>
        <w:b w:val="1"/>
        <w:i w:val="1"/>
      </w:rPr>
    </w:lvl>
    <w:lvl w:ilvl="6">
      <w:start w:val="1"/>
      <w:numFmt w:val="decimal"/>
      <w:lvlText w:val="%1.%2.%3.%4.%5.%6.%7."/>
      <w:lvlJc w:val="left"/>
      <w:pPr>
        <w:ind w:hanging="1080" w:left="3480"/>
      </w:pPr>
      <w:rPr>
        <w:b w:val="1"/>
        <w:i w:val="1"/>
      </w:rPr>
    </w:lvl>
    <w:lvl w:ilvl="7">
      <w:start w:val="1"/>
      <w:numFmt w:val="decimal"/>
      <w:lvlText w:val="%1.%2.%3.%4.%5.%6.%7.%8."/>
      <w:lvlJc w:val="left"/>
      <w:pPr>
        <w:ind w:hanging="1440" w:left="4240"/>
      </w:pPr>
      <w:rPr>
        <w:b w:val="1"/>
        <w:i w:val="1"/>
      </w:rPr>
    </w:lvl>
    <w:lvl w:ilvl="8">
      <w:start w:val="1"/>
      <w:numFmt w:val="decimal"/>
      <w:lvlText w:val="%1.%2.%3.%4.%5.%6.%7.%8.%9."/>
      <w:lvlJc w:val="left"/>
      <w:pPr>
        <w:ind w:hanging="1440" w:left="4640"/>
      </w:pPr>
      <w:rPr>
        <w:b w:val="1"/>
        <w:i w:val="1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</w:numbering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20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="Calibri" w:hAnsi="Calibri"/>
        <w:color w:val="000000"/>
        <w:spacing w:val="0"/>
        <w:sz w:val="20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5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0" w:uiPriority="9" w:unhideWhenUsed="0"/>
    <w:lsdException w:name="heading 7" w:qFormat="1" w:semiHidden="0" w:uiPriority="9" w:unhideWhenUsed="0"/>
    <w:lsdException w:name="heading 8" w:qFormat="1" w:semiHidden="0" w:uiPriority="9" w:unhideWhenUsed="0"/>
    <w:lsdException w:name="heading 9" w:qFormat="1" w:semiHidden="0" w:uiPriority="9" w:unhideWhenUsed="0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End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4" w:type="paragraph">
    <w:name w:val="Normal"/>
    <w:link w:val="Style_4_ch"/>
    <w:uiPriority w:val="0"/>
    <w:qFormat/>
    <w:rPr>
      <w:sz w:val="24"/>
    </w:rPr>
  </w:style>
  <w:style w:default="1" w:styleId="Style_4_ch" w:type="character">
    <w:name w:val="Normal"/>
    <w:link w:val="Style_4"/>
    <w:rPr>
      <w:sz w:val="24"/>
    </w:rPr>
  </w:style>
  <w:style w:styleId="Style_17" w:type="paragraph">
    <w:name w:val="Основной шрифт абзаца1"/>
    <w:link w:val="Style_17_ch"/>
  </w:style>
  <w:style w:styleId="Style_17_ch" w:type="character">
    <w:name w:val="Основной шрифт абзаца1"/>
    <w:link w:val="Style_17"/>
  </w:style>
  <w:style w:styleId="Style_15" w:type="paragraph">
    <w:name w:val="Гиперссылка1"/>
    <w:basedOn w:val="Style_18"/>
    <w:link w:val="Style_15_ch"/>
    <w:rPr>
      <w:color w:val="0563C1"/>
      <w:u w:val="single"/>
    </w:rPr>
  </w:style>
  <w:style w:styleId="Style_15_ch" w:type="character">
    <w:name w:val="Гиперссылка1"/>
    <w:basedOn w:val="Style_18_ch"/>
    <w:link w:val="Style_15"/>
    <w:rPr>
      <w:color w:val="0563C1"/>
      <w:u w:val="single"/>
    </w:rPr>
  </w:style>
  <w:style w:styleId="Style_7" w:type="paragraph">
    <w:name w:val="toc 2"/>
    <w:basedOn w:val="Style_4"/>
    <w:next w:val="Style_4"/>
    <w:link w:val="Style_7_ch"/>
    <w:uiPriority w:val="39"/>
    <w:pPr>
      <w:ind w:firstLine="0" w:left="200"/>
    </w:pPr>
    <w:rPr>
      <w:rFonts w:ascii="Times New Roman" w:hAnsi="Times New Roman"/>
    </w:rPr>
  </w:style>
  <w:style w:styleId="Style_7_ch" w:type="character">
    <w:name w:val="toc 2"/>
    <w:basedOn w:val="Style_4_ch"/>
    <w:link w:val="Style_7"/>
    <w:rPr>
      <w:rFonts w:ascii="Times New Roman" w:hAnsi="Times New Roman"/>
    </w:rPr>
  </w:style>
  <w:style w:styleId="Style_12" w:type="paragraph">
    <w:name w:val="List Paragraph"/>
    <w:basedOn w:val="Style_4"/>
    <w:link w:val="Style_12_ch"/>
    <w:pPr>
      <w:ind w:firstLine="0" w:left="720"/>
      <w:contextualSpacing w:val="1"/>
    </w:pPr>
  </w:style>
  <w:style w:styleId="Style_12_ch" w:type="character">
    <w:name w:val="List Paragraph"/>
    <w:basedOn w:val="Style_4_ch"/>
    <w:link w:val="Style_12"/>
  </w:style>
  <w:style w:styleId="Style_5" w:type="paragraph">
    <w:name w:val="TOC Heading"/>
    <w:basedOn w:val="Style_19"/>
    <w:next w:val="Style_4"/>
    <w:link w:val="Style_5_ch"/>
    <w:pPr>
      <w:ind/>
      <w:outlineLvl w:val="8"/>
    </w:pPr>
  </w:style>
  <w:style w:styleId="Style_5_ch" w:type="character">
    <w:name w:val="TOC Heading"/>
    <w:basedOn w:val="Style_19_ch"/>
    <w:link w:val="Style_5"/>
  </w:style>
  <w:style w:styleId="Style_20" w:type="paragraph">
    <w:name w:val="toc 4"/>
    <w:next w:val="Style_4"/>
    <w:link w:val="Style_20_ch"/>
    <w:uiPriority w:val="39"/>
    <w:pPr>
      <w:ind w:firstLine="0" w:left="600"/>
    </w:pPr>
    <w:rPr>
      <w:rFonts w:ascii="XO Thames" w:hAnsi="XO Thames"/>
      <w:sz w:val="28"/>
    </w:rPr>
  </w:style>
  <w:style w:styleId="Style_20_ch" w:type="character">
    <w:name w:val="toc 4"/>
    <w:link w:val="Style_20"/>
    <w:rPr>
      <w:rFonts w:ascii="XO Thames" w:hAnsi="XO Thames"/>
      <w:sz w:val="28"/>
    </w:rPr>
  </w:style>
  <w:style w:styleId="Style_21" w:type="paragraph">
    <w:name w:val="heading 7"/>
    <w:basedOn w:val="Style_4"/>
    <w:next w:val="Style_4"/>
    <w:link w:val="Style_21_ch"/>
    <w:uiPriority w:val="9"/>
    <w:qFormat/>
    <w:pPr>
      <w:spacing w:after="60" w:before="240"/>
      <w:ind/>
      <w:outlineLvl w:val="6"/>
    </w:pPr>
  </w:style>
  <w:style w:styleId="Style_21_ch" w:type="character">
    <w:name w:val="heading 7"/>
    <w:basedOn w:val="Style_4_ch"/>
    <w:link w:val="Style_21"/>
  </w:style>
  <w:style w:styleId="Style_22" w:type="paragraph">
    <w:name w:val="Название книги1"/>
    <w:basedOn w:val="Style_18"/>
    <w:link w:val="Style_22_ch"/>
    <w:rPr>
      <w:rFonts w:ascii="Cambria" w:hAnsi="Cambria"/>
      <w:b w:val="1"/>
      <w:i w:val="1"/>
      <w:sz w:val="24"/>
    </w:rPr>
  </w:style>
  <w:style w:styleId="Style_22_ch" w:type="character">
    <w:name w:val="Название книги1"/>
    <w:basedOn w:val="Style_18_ch"/>
    <w:link w:val="Style_22"/>
    <w:rPr>
      <w:rFonts w:ascii="Cambria" w:hAnsi="Cambria"/>
      <w:b w:val="1"/>
      <w:i w:val="1"/>
      <w:sz w:val="24"/>
    </w:rPr>
  </w:style>
  <w:style w:styleId="Style_23" w:type="paragraph">
    <w:name w:val="toc 6"/>
    <w:next w:val="Style_4"/>
    <w:link w:val="Style_23_ch"/>
    <w:uiPriority w:val="39"/>
    <w:pPr>
      <w:ind w:firstLine="0" w:left="1000"/>
    </w:pPr>
    <w:rPr>
      <w:rFonts w:ascii="XO Thames" w:hAnsi="XO Thames"/>
      <w:sz w:val="28"/>
    </w:rPr>
  </w:style>
  <w:style w:styleId="Style_23_ch" w:type="character">
    <w:name w:val="toc 6"/>
    <w:link w:val="Style_23"/>
    <w:rPr>
      <w:rFonts w:ascii="XO Thames" w:hAnsi="XO Thames"/>
      <w:sz w:val="28"/>
    </w:rPr>
  </w:style>
  <w:style w:styleId="Style_24" w:type="paragraph">
    <w:name w:val="toc 7"/>
    <w:next w:val="Style_4"/>
    <w:link w:val="Style_24_ch"/>
    <w:uiPriority w:val="39"/>
    <w:pPr>
      <w:ind w:firstLine="0" w:left="1200"/>
    </w:pPr>
    <w:rPr>
      <w:rFonts w:ascii="XO Thames" w:hAnsi="XO Thames"/>
      <w:sz w:val="28"/>
    </w:rPr>
  </w:style>
  <w:style w:styleId="Style_24_ch" w:type="character">
    <w:name w:val="toc 7"/>
    <w:link w:val="Style_24"/>
    <w:rPr>
      <w:rFonts w:ascii="XO Thames" w:hAnsi="XO Thames"/>
      <w:sz w:val="28"/>
    </w:rPr>
  </w:style>
  <w:style w:styleId="Style_25" w:type="paragraph">
    <w:name w:val="Endnote"/>
    <w:basedOn w:val="Style_4"/>
    <w:link w:val="Style_25_ch"/>
  </w:style>
  <w:style w:styleId="Style_25_ch" w:type="character">
    <w:name w:val="Endnote"/>
    <w:basedOn w:val="Style_4_ch"/>
    <w:link w:val="Style_25"/>
  </w:style>
  <w:style w:styleId="Style_26" w:type="paragraph">
    <w:name w:val="heading 3"/>
    <w:basedOn w:val="Style_4"/>
    <w:next w:val="Style_4"/>
    <w:link w:val="Style_26_ch"/>
    <w:uiPriority w:val="9"/>
    <w:qFormat/>
    <w:pPr>
      <w:keepNext w:val="1"/>
      <w:spacing w:after="60" w:before="240"/>
      <w:ind/>
      <w:outlineLvl w:val="2"/>
    </w:pPr>
    <w:rPr>
      <w:rFonts w:ascii="Cambria" w:hAnsi="Cambria"/>
      <w:b w:val="1"/>
      <w:sz w:val="26"/>
    </w:rPr>
  </w:style>
  <w:style w:styleId="Style_26_ch" w:type="character">
    <w:name w:val="heading 3"/>
    <w:basedOn w:val="Style_4_ch"/>
    <w:link w:val="Style_26"/>
    <w:rPr>
      <w:rFonts w:ascii="Cambria" w:hAnsi="Cambria"/>
      <w:b w:val="1"/>
      <w:sz w:val="26"/>
    </w:rPr>
  </w:style>
  <w:style w:styleId="Style_27" w:type="paragraph">
    <w:name w:val="Default"/>
    <w:link w:val="Style_27_ch"/>
    <w:rPr>
      <w:sz w:val="24"/>
    </w:rPr>
  </w:style>
  <w:style w:styleId="Style_27_ch" w:type="character">
    <w:name w:val="Default"/>
    <w:link w:val="Style_27"/>
    <w:rPr>
      <w:sz w:val="24"/>
    </w:rPr>
  </w:style>
  <w:style w:styleId="Style_28" w:type="paragraph">
    <w:name w:val="Гиперссылка2"/>
    <w:link w:val="Style_28_ch"/>
    <w:rPr>
      <w:color w:val="0000FF"/>
      <w:u w:val="single"/>
    </w:rPr>
  </w:style>
  <w:style w:styleId="Style_28_ch" w:type="character">
    <w:name w:val="Гиперссылка2"/>
    <w:link w:val="Style_28"/>
    <w:rPr>
      <w:color w:val="0000FF"/>
      <w:u w:val="single"/>
    </w:rPr>
  </w:style>
  <w:style w:styleId="Style_29" w:type="paragraph">
    <w:name w:val="Quote"/>
    <w:basedOn w:val="Style_4"/>
    <w:next w:val="Style_4"/>
    <w:link w:val="Style_29_ch"/>
    <w:rPr>
      <w:i w:val="1"/>
    </w:rPr>
  </w:style>
  <w:style w:styleId="Style_29_ch" w:type="character">
    <w:name w:val="Quote"/>
    <w:basedOn w:val="Style_4_ch"/>
    <w:link w:val="Style_29"/>
    <w:rPr>
      <w:i w:val="1"/>
    </w:rPr>
  </w:style>
  <w:style w:styleId="Style_30" w:type="paragraph">
    <w:name w:val="Обычный1"/>
    <w:link w:val="Style_30_ch"/>
    <w:rPr>
      <w:sz w:val="24"/>
    </w:rPr>
  </w:style>
  <w:style w:styleId="Style_30_ch" w:type="character">
    <w:name w:val="Обычный1"/>
    <w:link w:val="Style_30"/>
    <w:rPr>
      <w:sz w:val="24"/>
    </w:rPr>
  </w:style>
  <w:style w:styleId="Style_31" w:type="paragraph">
    <w:name w:val="heading 9"/>
    <w:basedOn w:val="Style_4"/>
    <w:next w:val="Style_4"/>
    <w:link w:val="Style_31_ch"/>
    <w:uiPriority w:val="9"/>
    <w:qFormat/>
    <w:pPr>
      <w:spacing w:after="60" w:before="240"/>
      <w:ind/>
      <w:outlineLvl w:val="8"/>
    </w:pPr>
    <w:rPr>
      <w:rFonts w:ascii="Cambria" w:hAnsi="Cambria"/>
      <w:sz w:val="22"/>
    </w:rPr>
  </w:style>
  <w:style w:styleId="Style_31_ch" w:type="character">
    <w:name w:val="heading 9"/>
    <w:basedOn w:val="Style_4_ch"/>
    <w:link w:val="Style_31"/>
    <w:rPr>
      <w:rFonts w:ascii="Cambria" w:hAnsi="Cambria"/>
      <w:sz w:val="22"/>
    </w:rPr>
  </w:style>
  <w:style w:styleId="Style_8" w:type="paragraph">
    <w:name w:val="Sub Heading"/>
    <w:link w:val="Style_8_ch"/>
    <w:pPr>
      <w:widowControl w:val="0"/>
      <w:spacing w:after="40" w:before="240"/>
      <w:ind/>
    </w:pPr>
    <w:rPr>
      <w:sz w:val="22"/>
    </w:rPr>
  </w:style>
  <w:style w:styleId="Style_8_ch" w:type="character">
    <w:name w:val="Sub Heading"/>
    <w:link w:val="Style_8"/>
    <w:rPr>
      <w:sz w:val="22"/>
    </w:rPr>
  </w:style>
  <w:style w:styleId="Style_32" w:type="paragraph">
    <w:name w:val="Знак сноски1"/>
    <w:basedOn w:val="Style_18"/>
    <w:link w:val="Style_32_ch"/>
    <w:rPr>
      <w:vertAlign w:val="superscript"/>
    </w:rPr>
  </w:style>
  <w:style w:styleId="Style_32_ch" w:type="character">
    <w:name w:val="Знак сноски1"/>
    <w:basedOn w:val="Style_18_ch"/>
    <w:link w:val="Style_32"/>
    <w:rPr>
      <w:vertAlign w:val="superscript"/>
    </w:rPr>
  </w:style>
  <w:style w:styleId="Style_10" w:type="paragraph">
    <w:name w:val="ConsPlusNormal"/>
    <w:link w:val="Style_10_ch"/>
    <w:pPr>
      <w:widowControl w:val="0"/>
      <w:ind/>
    </w:pPr>
    <w:rPr>
      <w:sz w:val="22"/>
    </w:rPr>
  </w:style>
  <w:style w:styleId="Style_10_ch" w:type="character">
    <w:name w:val="ConsPlusNormal"/>
    <w:link w:val="Style_10"/>
    <w:rPr>
      <w:sz w:val="22"/>
    </w:rPr>
  </w:style>
  <w:style w:styleId="Style_11" w:type="paragraph">
    <w:name w:val="Normal (Web)"/>
    <w:basedOn w:val="Style_4"/>
    <w:link w:val="Style_11_ch"/>
    <w:pPr>
      <w:spacing w:afterAutospacing="on" w:beforeAutospacing="on"/>
      <w:ind/>
    </w:pPr>
  </w:style>
  <w:style w:styleId="Style_11_ch" w:type="character">
    <w:name w:val="Normal (Web)"/>
    <w:basedOn w:val="Style_4_ch"/>
    <w:link w:val="Style_11"/>
  </w:style>
  <w:style w:styleId="Style_33" w:type="paragraph">
    <w:name w:val="Выделение1"/>
    <w:basedOn w:val="Style_18"/>
    <w:link w:val="Style_33_ch"/>
    <w:rPr>
      <w:b w:val="1"/>
      <w:i w:val="1"/>
    </w:rPr>
  </w:style>
  <w:style w:styleId="Style_33_ch" w:type="character">
    <w:name w:val="Выделение1"/>
    <w:basedOn w:val="Style_18_ch"/>
    <w:link w:val="Style_33"/>
    <w:rPr>
      <w:b w:val="1"/>
      <w:i w:val="1"/>
    </w:rPr>
  </w:style>
  <w:style w:styleId="Style_34" w:type="paragraph">
    <w:name w:val="Знак концевой сноски1"/>
    <w:basedOn w:val="Style_18"/>
    <w:link w:val="Style_34_ch"/>
    <w:rPr>
      <w:vertAlign w:val="superscript"/>
    </w:rPr>
  </w:style>
  <w:style w:styleId="Style_34_ch" w:type="character">
    <w:name w:val="Знак концевой сноски1"/>
    <w:basedOn w:val="Style_18_ch"/>
    <w:link w:val="Style_34"/>
    <w:rPr>
      <w:vertAlign w:val="superscript"/>
    </w:rPr>
  </w:style>
  <w:style w:styleId="Style_35" w:type="paragraph">
    <w:name w:val="Слабая ссылка1"/>
    <w:basedOn w:val="Style_18"/>
    <w:link w:val="Style_35_ch"/>
    <w:rPr>
      <w:sz w:val="24"/>
      <w:u w:val="single"/>
    </w:rPr>
  </w:style>
  <w:style w:styleId="Style_35_ch" w:type="character">
    <w:name w:val="Слабая ссылка1"/>
    <w:basedOn w:val="Style_18_ch"/>
    <w:link w:val="Style_35"/>
    <w:rPr>
      <w:sz w:val="24"/>
      <w:u w:val="single"/>
    </w:rPr>
  </w:style>
  <w:style w:styleId="Style_13" w:type="paragraph">
    <w:name w:val="Основной текст50"/>
    <w:basedOn w:val="Style_4"/>
    <w:link w:val="Style_13_ch"/>
    <w:pPr>
      <w:spacing w:before="360" w:line="446" w:lineRule="exact"/>
      <w:ind w:hanging="580" w:left="580"/>
      <w:jc w:val="right"/>
    </w:pPr>
    <w:rPr>
      <w:rFonts w:ascii="Times New Roman" w:hAnsi="Times New Roman"/>
      <w:sz w:val="23"/>
    </w:rPr>
  </w:style>
  <w:style w:styleId="Style_13_ch" w:type="character">
    <w:name w:val="Основной текст50"/>
    <w:basedOn w:val="Style_4_ch"/>
    <w:link w:val="Style_13"/>
    <w:rPr>
      <w:rFonts w:ascii="Times New Roman" w:hAnsi="Times New Roman"/>
      <w:sz w:val="23"/>
    </w:rPr>
  </w:style>
  <w:style w:styleId="Style_36" w:type="paragraph">
    <w:name w:val="Строгий1"/>
    <w:basedOn w:val="Style_18"/>
    <w:link w:val="Style_36_ch"/>
    <w:rPr>
      <w:b w:val="1"/>
    </w:rPr>
  </w:style>
  <w:style w:styleId="Style_36_ch" w:type="character">
    <w:name w:val="Строгий1"/>
    <w:basedOn w:val="Style_18_ch"/>
    <w:link w:val="Style_36"/>
    <w:rPr>
      <w:b w:val="1"/>
    </w:rPr>
  </w:style>
  <w:style w:styleId="Style_37" w:type="paragraph">
    <w:name w:val="toc 3"/>
    <w:basedOn w:val="Style_4"/>
    <w:next w:val="Style_4"/>
    <w:link w:val="Style_37_ch"/>
    <w:uiPriority w:val="39"/>
    <w:pPr>
      <w:spacing w:after="100" w:line="264" w:lineRule="auto"/>
      <w:ind w:firstLine="0" w:left="440"/>
    </w:pPr>
    <w:rPr>
      <w:rFonts w:ascii="Times New Roman" w:hAnsi="Times New Roman"/>
      <w:sz w:val="22"/>
    </w:rPr>
  </w:style>
  <w:style w:styleId="Style_37_ch" w:type="character">
    <w:name w:val="toc 3"/>
    <w:basedOn w:val="Style_4_ch"/>
    <w:link w:val="Style_37"/>
    <w:rPr>
      <w:rFonts w:ascii="Times New Roman" w:hAnsi="Times New Roman"/>
      <w:sz w:val="22"/>
    </w:rPr>
  </w:style>
  <w:style w:styleId="Style_38" w:type="paragraph">
    <w:name w:val="Default Paragraph Font"/>
    <w:link w:val="Style_38_ch"/>
  </w:style>
  <w:style w:styleId="Style_38_ch" w:type="character">
    <w:name w:val="Default Paragraph Font"/>
    <w:link w:val="Style_38"/>
  </w:style>
  <w:style w:styleId="Style_39" w:type="paragraph">
    <w:name w:val="Body Text"/>
    <w:basedOn w:val="Style_4"/>
    <w:link w:val="Style_39_ch"/>
    <w:pPr>
      <w:widowControl w:val="0"/>
      <w:ind w:firstLine="4" w:left="117"/>
    </w:pPr>
    <w:rPr>
      <w:sz w:val="18"/>
    </w:rPr>
  </w:style>
  <w:style w:styleId="Style_39_ch" w:type="character">
    <w:name w:val="Body Text"/>
    <w:basedOn w:val="Style_4_ch"/>
    <w:link w:val="Style_39"/>
    <w:rPr>
      <w:sz w:val="18"/>
    </w:rPr>
  </w:style>
  <w:style w:styleId="Style_40" w:type="paragraph">
    <w:name w:val="header"/>
    <w:basedOn w:val="Style_4"/>
    <w:link w:val="Style_40_ch"/>
    <w:pPr>
      <w:tabs>
        <w:tab w:leader="none" w:pos="4153" w:val="center"/>
        <w:tab w:leader="none" w:pos="8306" w:val="right"/>
      </w:tabs>
      <w:ind/>
    </w:pPr>
  </w:style>
  <w:style w:styleId="Style_40_ch" w:type="character">
    <w:name w:val="header"/>
    <w:basedOn w:val="Style_4_ch"/>
    <w:link w:val="Style_40"/>
  </w:style>
  <w:style w:styleId="Style_41" w:type="paragraph">
    <w:name w:val="ConsNonformat"/>
    <w:link w:val="Style_41_ch"/>
    <w:pPr>
      <w:widowControl w:val="0"/>
      <w:ind/>
    </w:pPr>
    <w:rPr>
      <w:rFonts w:ascii="Courier New" w:hAnsi="Courier New"/>
      <w:sz w:val="22"/>
    </w:rPr>
  </w:style>
  <w:style w:styleId="Style_41_ch" w:type="character">
    <w:name w:val="ConsNonformat"/>
    <w:link w:val="Style_41"/>
    <w:rPr>
      <w:rFonts w:ascii="Courier New" w:hAnsi="Courier New"/>
      <w:sz w:val="22"/>
    </w:rPr>
  </w:style>
  <w:style w:styleId="Style_42" w:type="paragraph">
    <w:name w:val="Обычный1"/>
    <w:link w:val="Style_42_ch"/>
    <w:rPr>
      <w:sz w:val="24"/>
    </w:rPr>
  </w:style>
  <w:style w:styleId="Style_42_ch" w:type="character">
    <w:name w:val="Обычный1"/>
    <w:link w:val="Style_42"/>
    <w:rPr>
      <w:sz w:val="24"/>
    </w:rPr>
  </w:style>
  <w:style w:styleId="Style_43" w:type="paragraph">
    <w:name w:val="heading 5"/>
    <w:basedOn w:val="Style_4"/>
    <w:next w:val="Style_4"/>
    <w:link w:val="Style_43_ch"/>
    <w:uiPriority w:val="9"/>
    <w:qFormat/>
    <w:pPr>
      <w:spacing w:after="60" w:before="240"/>
      <w:ind/>
      <w:outlineLvl w:val="4"/>
    </w:pPr>
    <w:rPr>
      <w:b w:val="1"/>
      <w:i w:val="1"/>
      <w:sz w:val="26"/>
    </w:rPr>
  </w:style>
  <w:style w:styleId="Style_43_ch" w:type="character">
    <w:name w:val="heading 5"/>
    <w:basedOn w:val="Style_4_ch"/>
    <w:link w:val="Style_43"/>
    <w:rPr>
      <w:b w:val="1"/>
      <w:i w:val="1"/>
      <w:sz w:val="26"/>
    </w:rPr>
  </w:style>
  <w:style w:styleId="Style_44" w:type="paragraph">
    <w:name w:val="Обычный1"/>
    <w:link w:val="Style_44_ch"/>
    <w:rPr>
      <w:sz w:val="24"/>
    </w:rPr>
  </w:style>
  <w:style w:styleId="Style_44_ch" w:type="character">
    <w:name w:val="Обычный1"/>
    <w:link w:val="Style_44"/>
    <w:rPr>
      <w:sz w:val="24"/>
    </w:rPr>
  </w:style>
  <w:style w:styleId="Style_1" w:type="paragraph">
    <w:name w:val="footer"/>
    <w:basedOn w:val="Style_4"/>
    <w:link w:val="Style_1_ch"/>
    <w:pPr>
      <w:tabs>
        <w:tab w:leader="none" w:pos="4153" w:val="center"/>
        <w:tab w:leader="none" w:pos="8306" w:val="right"/>
      </w:tabs>
      <w:ind/>
    </w:pPr>
  </w:style>
  <w:style w:styleId="Style_1_ch" w:type="character">
    <w:name w:val="footer"/>
    <w:basedOn w:val="Style_4_ch"/>
    <w:link w:val="Style_1"/>
  </w:style>
  <w:style w:styleId="Style_45" w:type="paragraph">
    <w:name w:val="No Spacing"/>
    <w:basedOn w:val="Style_4"/>
    <w:link w:val="Style_45_ch"/>
  </w:style>
  <w:style w:styleId="Style_45_ch" w:type="character">
    <w:name w:val="No Spacing"/>
    <w:basedOn w:val="Style_4_ch"/>
    <w:link w:val="Style_45"/>
  </w:style>
  <w:style w:styleId="Style_46" w:type="paragraph">
    <w:name w:val="Сильная ссылка1"/>
    <w:basedOn w:val="Style_18"/>
    <w:link w:val="Style_46_ch"/>
    <w:rPr>
      <w:b w:val="1"/>
      <w:sz w:val="24"/>
      <w:u w:val="single"/>
    </w:rPr>
  </w:style>
  <w:style w:styleId="Style_46_ch" w:type="character">
    <w:name w:val="Сильная ссылка1"/>
    <w:basedOn w:val="Style_18_ch"/>
    <w:link w:val="Style_46"/>
    <w:rPr>
      <w:b w:val="1"/>
      <w:sz w:val="24"/>
      <w:u w:val="single"/>
    </w:rPr>
  </w:style>
  <w:style w:styleId="Style_47" w:type="paragraph">
    <w:name w:val="Сильное выделение1"/>
    <w:basedOn w:val="Style_18"/>
    <w:link w:val="Style_47_ch"/>
    <w:rPr>
      <w:b w:val="1"/>
      <w:i w:val="1"/>
      <w:sz w:val="24"/>
      <w:u w:val="single"/>
    </w:rPr>
  </w:style>
  <w:style w:styleId="Style_47_ch" w:type="character">
    <w:name w:val="Сильное выделение1"/>
    <w:basedOn w:val="Style_18_ch"/>
    <w:link w:val="Style_47"/>
    <w:rPr>
      <w:b w:val="1"/>
      <w:i w:val="1"/>
      <w:sz w:val="24"/>
      <w:u w:val="single"/>
    </w:rPr>
  </w:style>
  <w:style w:styleId="Style_19" w:type="paragraph">
    <w:name w:val="heading 1"/>
    <w:basedOn w:val="Style_4"/>
    <w:next w:val="Style_4"/>
    <w:link w:val="Style_19_ch"/>
    <w:uiPriority w:val="9"/>
    <w:qFormat/>
    <w:pPr>
      <w:keepNext w:val="1"/>
      <w:spacing w:after="60" w:before="240"/>
      <w:ind/>
      <w:outlineLvl w:val="0"/>
    </w:pPr>
    <w:rPr>
      <w:rFonts w:ascii="Cambria" w:hAnsi="Cambria"/>
      <w:b w:val="1"/>
      <w:sz w:val="32"/>
    </w:rPr>
  </w:style>
  <w:style w:styleId="Style_19_ch" w:type="character">
    <w:name w:val="heading 1"/>
    <w:basedOn w:val="Style_4_ch"/>
    <w:link w:val="Style_19"/>
    <w:rPr>
      <w:rFonts w:ascii="Cambria" w:hAnsi="Cambria"/>
      <w:b w:val="1"/>
      <w:sz w:val="32"/>
    </w:rPr>
  </w:style>
  <w:style w:styleId="Style_3" w:type="paragraph">
    <w:name w:val="Hyperlink"/>
    <w:link w:val="Style_3_ch"/>
    <w:rPr>
      <w:color w:val="0000FF"/>
      <w:u w:val="single"/>
    </w:rPr>
  </w:style>
  <w:style w:styleId="Style_3_ch" w:type="character">
    <w:name w:val="Hyperlink"/>
    <w:link w:val="Style_3"/>
    <w:rPr>
      <w:color w:val="0000FF"/>
      <w:u w:val="single"/>
    </w:rPr>
  </w:style>
  <w:style w:styleId="Style_48" w:type="paragraph">
    <w:name w:val="Footnote"/>
    <w:basedOn w:val="Style_4"/>
    <w:link w:val="Style_48_ch"/>
  </w:style>
  <w:style w:styleId="Style_48_ch" w:type="character">
    <w:name w:val="Footnote"/>
    <w:basedOn w:val="Style_4_ch"/>
    <w:link w:val="Style_48"/>
  </w:style>
  <w:style w:styleId="Style_49" w:type="paragraph">
    <w:name w:val="heading 8"/>
    <w:basedOn w:val="Style_4"/>
    <w:next w:val="Style_4"/>
    <w:link w:val="Style_49_ch"/>
    <w:uiPriority w:val="9"/>
    <w:qFormat/>
    <w:pPr>
      <w:spacing w:after="60" w:before="240"/>
      <w:ind/>
      <w:outlineLvl w:val="7"/>
    </w:pPr>
    <w:rPr>
      <w:i w:val="1"/>
    </w:rPr>
  </w:style>
  <w:style w:styleId="Style_49_ch" w:type="character">
    <w:name w:val="heading 8"/>
    <w:basedOn w:val="Style_4_ch"/>
    <w:link w:val="Style_49"/>
    <w:rPr>
      <w:i w:val="1"/>
    </w:rPr>
  </w:style>
  <w:style w:styleId="Style_50" w:type="paragraph">
    <w:name w:val="Balloon Text"/>
    <w:basedOn w:val="Style_4"/>
    <w:link w:val="Style_50_ch"/>
    <w:rPr>
      <w:rFonts w:ascii="Segoe UI" w:hAnsi="Segoe UI"/>
      <w:sz w:val="18"/>
    </w:rPr>
  </w:style>
  <w:style w:styleId="Style_50_ch" w:type="character">
    <w:name w:val="Balloon Text"/>
    <w:basedOn w:val="Style_4_ch"/>
    <w:link w:val="Style_50"/>
    <w:rPr>
      <w:rFonts w:ascii="Segoe UI" w:hAnsi="Segoe UI"/>
      <w:sz w:val="18"/>
    </w:rPr>
  </w:style>
  <w:style w:styleId="Style_6" w:type="paragraph">
    <w:name w:val="toc 1"/>
    <w:basedOn w:val="Style_4"/>
    <w:next w:val="Style_4"/>
    <w:link w:val="Style_6_ch"/>
    <w:uiPriority w:val="39"/>
    <w:rPr>
      <w:rFonts w:ascii="Times New Roman" w:hAnsi="Times New Roman"/>
    </w:rPr>
  </w:style>
  <w:style w:styleId="Style_6_ch" w:type="character">
    <w:name w:val="toc 1"/>
    <w:basedOn w:val="Style_4_ch"/>
    <w:link w:val="Style_6"/>
    <w:rPr>
      <w:rFonts w:ascii="Times New Roman" w:hAnsi="Times New Roman"/>
    </w:rPr>
  </w:style>
  <w:style w:styleId="Style_51" w:type="paragraph">
    <w:name w:val="Header and Footer"/>
    <w:link w:val="Style_51_ch"/>
    <w:pPr>
      <w:ind/>
      <w:jc w:val="both"/>
    </w:pPr>
    <w:rPr>
      <w:rFonts w:ascii="XO Thames" w:hAnsi="XO Thames"/>
      <w:sz w:val="28"/>
    </w:rPr>
  </w:style>
  <w:style w:styleId="Style_51_ch" w:type="character">
    <w:name w:val="Header and Footer"/>
    <w:link w:val="Style_51"/>
    <w:rPr>
      <w:rFonts w:ascii="XO Thames" w:hAnsi="XO Thames"/>
      <w:sz w:val="28"/>
    </w:rPr>
  </w:style>
  <w:style w:styleId="Style_52" w:type="paragraph">
    <w:name w:val="toc 9"/>
    <w:next w:val="Style_4"/>
    <w:link w:val="Style_52_ch"/>
    <w:uiPriority w:val="39"/>
    <w:pPr>
      <w:ind w:firstLine="0" w:left="1600"/>
    </w:pPr>
    <w:rPr>
      <w:rFonts w:ascii="XO Thames" w:hAnsi="XO Thames"/>
      <w:sz w:val="28"/>
    </w:rPr>
  </w:style>
  <w:style w:styleId="Style_52_ch" w:type="character">
    <w:name w:val="toc 9"/>
    <w:link w:val="Style_52"/>
    <w:rPr>
      <w:rFonts w:ascii="XO Thames" w:hAnsi="XO Thames"/>
      <w:sz w:val="28"/>
    </w:rPr>
  </w:style>
  <w:style w:styleId="Style_53" w:type="paragraph">
    <w:name w:val="Основной шрифт абзаца1"/>
    <w:link w:val="Style_53_ch"/>
  </w:style>
  <w:style w:styleId="Style_53_ch" w:type="character">
    <w:name w:val="Основной шрифт абзаца1"/>
    <w:link w:val="Style_53"/>
  </w:style>
  <w:style w:styleId="Style_54" w:type="paragraph">
    <w:name w:val="ConsNormal"/>
    <w:link w:val="Style_54_ch"/>
    <w:pPr>
      <w:ind w:firstLine="539" w:left="0" w:right="19771"/>
    </w:pPr>
    <w:rPr>
      <w:rFonts w:ascii="Courier New" w:hAnsi="Courier New"/>
      <w:sz w:val="22"/>
    </w:rPr>
  </w:style>
  <w:style w:styleId="Style_54_ch" w:type="character">
    <w:name w:val="ConsNormal"/>
    <w:link w:val="Style_54"/>
    <w:rPr>
      <w:rFonts w:ascii="Courier New" w:hAnsi="Courier New"/>
      <w:sz w:val="22"/>
    </w:rPr>
  </w:style>
  <w:style w:styleId="Style_55" w:type="paragraph">
    <w:name w:val="toc 8"/>
    <w:next w:val="Style_4"/>
    <w:link w:val="Style_55_ch"/>
    <w:uiPriority w:val="39"/>
    <w:pPr>
      <w:ind w:firstLine="0" w:left="1400"/>
    </w:pPr>
    <w:rPr>
      <w:rFonts w:ascii="XO Thames" w:hAnsi="XO Thames"/>
      <w:sz w:val="28"/>
    </w:rPr>
  </w:style>
  <w:style w:styleId="Style_55_ch" w:type="character">
    <w:name w:val="toc 8"/>
    <w:link w:val="Style_55"/>
    <w:rPr>
      <w:rFonts w:ascii="XO Thames" w:hAnsi="XO Thames"/>
      <w:sz w:val="28"/>
    </w:rPr>
  </w:style>
  <w:style w:styleId="Style_56" w:type="paragraph">
    <w:name w:val="Основной шрифт абзаца1"/>
    <w:link w:val="Style_56_ch"/>
  </w:style>
  <w:style w:styleId="Style_56_ch" w:type="character">
    <w:name w:val="Основной шрифт абзаца1"/>
    <w:link w:val="Style_56"/>
  </w:style>
  <w:style w:styleId="Style_57" w:type="paragraph">
    <w:name w:val="Обычный1"/>
    <w:link w:val="Style_57_ch"/>
    <w:rPr>
      <w:sz w:val="24"/>
    </w:rPr>
  </w:style>
  <w:style w:styleId="Style_57_ch" w:type="character">
    <w:name w:val="Обычный1"/>
    <w:link w:val="Style_57"/>
    <w:rPr>
      <w:sz w:val="24"/>
    </w:rPr>
  </w:style>
  <w:style w:styleId="Style_58" w:type="paragraph">
    <w:name w:val="toc 5"/>
    <w:next w:val="Style_4"/>
    <w:link w:val="Style_58_ch"/>
    <w:uiPriority w:val="39"/>
    <w:pPr>
      <w:ind w:firstLine="0" w:left="800"/>
    </w:pPr>
    <w:rPr>
      <w:rFonts w:ascii="XO Thames" w:hAnsi="XO Thames"/>
      <w:sz w:val="28"/>
    </w:rPr>
  </w:style>
  <w:style w:styleId="Style_58_ch" w:type="character">
    <w:name w:val="toc 5"/>
    <w:link w:val="Style_58"/>
    <w:rPr>
      <w:rFonts w:ascii="XO Thames" w:hAnsi="XO Thames"/>
      <w:sz w:val="28"/>
    </w:rPr>
  </w:style>
  <w:style w:styleId="Style_18" w:type="paragraph">
    <w:name w:val="Основной шрифт абзаца1"/>
    <w:link w:val="Style_18_ch"/>
  </w:style>
  <w:style w:styleId="Style_18_ch" w:type="character">
    <w:name w:val="Основной шрифт абзаца1"/>
    <w:link w:val="Style_18"/>
  </w:style>
  <w:style w:styleId="Style_59" w:type="paragraph">
    <w:name w:val="Гиперссылка2"/>
    <w:link w:val="Style_59_ch"/>
    <w:rPr>
      <w:color w:val="0000FF"/>
      <w:u w:val="single"/>
    </w:rPr>
  </w:style>
  <w:style w:styleId="Style_59_ch" w:type="character">
    <w:name w:val="Гиперссылка2"/>
    <w:link w:val="Style_59"/>
    <w:rPr>
      <w:color w:val="0000FF"/>
      <w:u w:val="single"/>
    </w:rPr>
  </w:style>
  <w:style w:styleId="Style_9" w:type="paragraph">
    <w:name w:val="Subtitle"/>
    <w:basedOn w:val="Style_4"/>
    <w:next w:val="Style_4"/>
    <w:link w:val="Style_9_ch"/>
    <w:uiPriority w:val="11"/>
    <w:qFormat/>
    <w:pPr>
      <w:spacing w:after="60"/>
      <w:ind/>
      <w:jc w:val="center"/>
      <w:outlineLvl w:val="1"/>
    </w:pPr>
    <w:rPr>
      <w:rFonts w:ascii="Cambria" w:hAnsi="Cambria"/>
    </w:rPr>
  </w:style>
  <w:style w:styleId="Style_9_ch" w:type="character">
    <w:name w:val="Subtitle"/>
    <w:basedOn w:val="Style_4_ch"/>
    <w:link w:val="Style_9"/>
    <w:rPr>
      <w:rFonts w:ascii="Cambria" w:hAnsi="Cambria"/>
    </w:rPr>
  </w:style>
  <w:style w:styleId="Style_60" w:type="paragraph">
    <w:name w:val="Слабое выделение1"/>
    <w:basedOn w:val="Style_18"/>
    <w:link w:val="Style_60_ch"/>
    <w:rPr>
      <w:i w:val="1"/>
      <w:color w:val="5A5A5A"/>
    </w:rPr>
  </w:style>
  <w:style w:styleId="Style_60_ch" w:type="character">
    <w:name w:val="Слабое выделение1"/>
    <w:basedOn w:val="Style_18_ch"/>
    <w:link w:val="Style_60"/>
    <w:rPr>
      <w:i w:val="1"/>
      <w:color w:val="5A5A5A"/>
    </w:rPr>
  </w:style>
  <w:style w:styleId="Style_61" w:type="paragraph">
    <w:name w:val="Title"/>
    <w:basedOn w:val="Style_4"/>
    <w:next w:val="Style_4"/>
    <w:link w:val="Style_61_ch"/>
    <w:uiPriority w:val="10"/>
    <w:qFormat/>
    <w:pPr>
      <w:spacing w:after="60" w:before="240"/>
      <w:ind/>
      <w:jc w:val="center"/>
      <w:outlineLvl w:val="0"/>
    </w:pPr>
    <w:rPr>
      <w:rFonts w:ascii="Cambria" w:hAnsi="Cambria"/>
      <w:b w:val="1"/>
      <w:sz w:val="32"/>
    </w:rPr>
  </w:style>
  <w:style w:styleId="Style_61_ch" w:type="character">
    <w:name w:val="Title"/>
    <w:basedOn w:val="Style_4_ch"/>
    <w:link w:val="Style_61"/>
    <w:rPr>
      <w:rFonts w:ascii="Cambria" w:hAnsi="Cambria"/>
      <w:b w:val="1"/>
      <w:sz w:val="32"/>
    </w:rPr>
  </w:style>
  <w:style w:styleId="Style_62" w:type="paragraph">
    <w:name w:val="heading 4"/>
    <w:basedOn w:val="Style_4"/>
    <w:next w:val="Style_4"/>
    <w:link w:val="Style_62_ch"/>
    <w:uiPriority w:val="9"/>
    <w:qFormat/>
    <w:pPr>
      <w:keepNext w:val="1"/>
      <w:spacing w:after="60" w:before="240"/>
      <w:ind/>
      <w:outlineLvl w:val="3"/>
    </w:pPr>
    <w:rPr>
      <w:b w:val="1"/>
      <w:sz w:val="28"/>
    </w:rPr>
  </w:style>
  <w:style w:styleId="Style_62_ch" w:type="character">
    <w:name w:val="heading 4"/>
    <w:basedOn w:val="Style_4_ch"/>
    <w:link w:val="Style_62"/>
    <w:rPr>
      <w:b w:val="1"/>
      <w:sz w:val="28"/>
    </w:rPr>
  </w:style>
  <w:style w:styleId="Style_63" w:type="paragraph">
    <w:name w:val="Intense Quote"/>
    <w:basedOn w:val="Style_4"/>
    <w:next w:val="Style_4"/>
    <w:link w:val="Style_63_ch"/>
    <w:pPr>
      <w:ind w:firstLine="0" w:left="720" w:right="720"/>
    </w:pPr>
    <w:rPr>
      <w:b w:val="1"/>
      <w:i w:val="1"/>
    </w:rPr>
  </w:style>
  <w:style w:styleId="Style_63_ch" w:type="character">
    <w:name w:val="Intense Quote"/>
    <w:basedOn w:val="Style_4_ch"/>
    <w:link w:val="Style_63"/>
    <w:rPr>
      <w:b w:val="1"/>
      <w:i w:val="1"/>
    </w:rPr>
  </w:style>
  <w:style w:styleId="Style_64" w:type="paragraph">
    <w:name w:val="heading 2"/>
    <w:basedOn w:val="Style_4"/>
    <w:next w:val="Style_4"/>
    <w:link w:val="Style_64_ch"/>
    <w:uiPriority w:val="9"/>
    <w:qFormat/>
    <w:pPr>
      <w:keepNext w:val="1"/>
      <w:spacing w:after="60" w:before="240"/>
      <w:ind/>
      <w:outlineLvl w:val="1"/>
    </w:pPr>
    <w:rPr>
      <w:rFonts w:ascii="Cambria" w:hAnsi="Cambria"/>
      <w:b w:val="1"/>
      <w:i w:val="1"/>
      <w:sz w:val="28"/>
    </w:rPr>
  </w:style>
  <w:style w:styleId="Style_64_ch" w:type="character">
    <w:name w:val="heading 2"/>
    <w:basedOn w:val="Style_4_ch"/>
    <w:link w:val="Style_64"/>
    <w:rPr>
      <w:rFonts w:ascii="Cambria" w:hAnsi="Cambria"/>
      <w:b w:val="1"/>
      <w:i w:val="1"/>
      <w:sz w:val="28"/>
    </w:rPr>
  </w:style>
  <w:style w:styleId="Style_16" w:type="paragraph">
    <w:name w:val="Гиперссылка1"/>
    <w:link w:val="Style_16_ch"/>
    <w:rPr>
      <w:color w:val="0000FF"/>
      <w:u w:val="single"/>
    </w:rPr>
  </w:style>
  <w:style w:styleId="Style_16_ch" w:type="character">
    <w:name w:val="Гиперссылка1"/>
    <w:link w:val="Style_16"/>
    <w:rPr>
      <w:color w:val="0000FF"/>
      <w:u w:val="single"/>
    </w:rPr>
  </w:style>
  <w:style w:styleId="Style_65" w:type="paragraph">
    <w:name w:val="heading 6"/>
    <w:basedOn w:val="Style_4"/>
    <w:next w:val="Style_4"/>
    <w:link w:val="Style_65_ch"/>
    <w:uiPriority w:val="9"/>
    <w:qFormat/>
    <w:pPr>
      <w:spacing w:after="60" w:before="240"/>
      <w:ind/>
      <w:outlineLvl w:val="5"/>
    </w:pPr>
    <w:rPr>
      <w:b w:val="1"/>
      <w:sz w:val="22"/>
    </w:rPr>
  </w:style>
  <w:style w:styleId="Style_65_ch" w:type="character">
    <w:name w:val="heading 6"/>
    <w:basedOn w:val="Style_4_ch"/>
    <w:link w:val="Style_65"/>
    <w:rPr>
      <w:b w:val="1"/>
      <w:sz w:val="22"/>
    </w:rPr>
  </w:style>
  <w:style w:styleId="Style_14" w:type="table">
    <w:name w:val="Table Grid"/>
    <w:basedOn w:val="Style_2"/>
    <w:tblPr>
      <w:tblBorders>
        <w:top w:color="000000" w:sz="4" w:val="single"/>
        <w:left w:color="000000" w:sz="4" w:val="single"/>
        <w:bottom w:color="000000" w:sz="4" w:val="single"/>
        <w:right w:color="000000" w:sz="4" w:val="single"/>
        <w:insideH w:color="000000" w:sz="4" w:val="single"/>
        <w:insideV w:color="000000" w:sz="4" w:val="single"/>
      </w:tblBorders>
    </w:tblPr>
  </w:style>
  <w:style w:default="1" w:styleId="Style_2" w:type="table">
    <w:name w:val="Normal Table"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6" Target="webSettings.xml" Type="http://schemas.openxmlformats.org/officeDocument/2006/relationships/webSettings"/>
  <Relationship Id="rId1" Target="footer1.xml" Type="http://schemas.openxmlformats.org/officeDocument/2006/relationships/footer"/>
  <Relationship Id="rId2" Target="fontTable.xml" Type="http://schemas.openxmlformats.org/officeDocument/2006/relationships/fontTable"/>
  <Relationship Id="rId3" Target="settings.xml" Type="http://schemas.openxmlformats.org/officeDocument/2006/relationships/settings"/>
  <Relationship Id="rId8" Target="numbering.xml" Type="http://schemas.openxmlformats.org/officeDocument/2006/relationships/numbering"/>
  <Relationship Id="rId4" Target="styles.xml" Type="http://schemas.openxmlformats.org/officeDocument/2006/relationships/styles"/>
  <Relationship Id="rId7" Target="theme/theme1.xml" Type="http://schemas.openxmlformats.org/officeDocument/2006/relationships/theme"/>
  <Relationship Id="rId5" Target="stylesWithEffects.xml" Type="http://schemas.microsoft.com/office/2007/relationships/stylesWithEffects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</a:gradFill>
      </a:fillStyleLst>
      <a:lnStyleLst>
        <a:ln w="6350">
          <a:solidFill>
            <a:schemeClr val="phClr"/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MyOffice-CoreFramework-Windows/31-1191.804.9045.819.1@01270b6a23d25f32067dc36f8846da406ea65219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2024-11-22T10:28:35Z</dcterms:modified>
</cp:coreProperties>
</file>