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7000000">
      <w:pPr>
        <w:spacing w:after="240"/>
        <w:ind w:firstLine="0" w:left="5897"/>
      </w:pPr>
      <w:r>
        <w:t>Приложение 3</w:t>
      </w:r>
      <w:r>
        <w:br/>
      </w:r>
      <w:r>
        <w:t>к Положению Банка России</w:t>
      </w:r>
      <w:r>
        <w:br/>
      </w:r>
      <w:r>
        <w:t>от 27 марта 2020 года № 714-П</w:t>
      </w:r>
      <w:r>
        <w:br/>
      </w:r>
      <w:r>
        <w:t>«О раскрытии информации эмитентами эмиссионных ценных бумаг»</w:t>
      </w:r>
    </w:p>
    <w:p w14:paraId="08000000">
      <w:pPr>
        <w:spacing w:before="1320"/>
        <w:ind w:firstLine="283" w:left="-283"/>
        <w:jc w:val="center"/>
        <w:rPr>
          <w:b w:val="1"/>
          <w:sz w:val="34"/>
        </w:rPr>
      </w:pPr>
      <w:r>
        <w:rPr>
          <w:b w:val="1"/>
          <w:sz w:val="34"/>
        </w:rPr>
        <w:t xml:space="preserve">ОТЧЕТ ЭМИТЕНТА </w:t>
      </w:r>
      <w:r>
        <w:rPr>
          <w:b w:val="1"/>
          <w:sz w:val="34"/>
        </w:rPr>
        <w:br/>
      </w:r>
      <w:r>
        <w:rPr>
          <w:b w:val="1"/>
          <w:sz w:val="34"/>
        </w:rPr>
        <w:t>ЭМИССИОННЫХ ЦЕННЫХ БУМАГ</w:t>
      </w:r>
    </w:p>
    <w:p w14:paraId="09000000">
      <w:r>
        <w:rPr>
          <w:b w:val="1"/>
          <w:i w:val="1"/>
        </w:rPr>
        <w:t>Публичное акционерное общество «Северное управление строительства»</w:t>
      </w:r>
    </w:p>
    <w:p w14:paraId="0A000000">
      <w:pPr>
        <w:spacing w:after="360"/>
        <w:ind/>
        <w:jc w:val="center"/>
      </w:pPr>
      <w:r>
        <w:t>(полное фирменное наименование (для коммерческой организации)</w:t>
      </w: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325"/>
        <w:gridCol w:w="3686"/>
      </w:tblGrid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B000000">
            <w:pPr>
              <w:rPr>
                <w:b w:val="1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>ОД ЭМИТЕНТА:</w:t>
            </w:r>
          </w:p>
        </w:tc>
        <w:tc>
          <w:tcPr>
            <w:tcW w:type="dxa" w:w="36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C000000">
            <w:pPr>
              <w:ind/>
              <w:jc w:val="center"/>
              <w:rPr>
                <w:sz w:val="24"/>
              </w:rPr>
            </w:pPr>
            <w:r>
              <w:rPr>
                <w:b w:val="1"/>
                <w:sz w:val="24"/>
              </w:rPr>
              <w:t>04739-D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D000000">
            <w:pPr>
              <w:ind/>
              <w:jc w:val="center"/>
            </w:pPr>
            <w:r>
              <w:t>(уникальный код эмитента)</w:t>
            </w:r>
          </w:p>
        </w:tc>
      </w:tr>
    </w:tbl>
    <w:p w14:paraId="0E000000">
      <w:pPr>
        <w:ind w:firstLine="0" w:left="2520"/>
      </w:pP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425"/>
        <w:gridCol w:w="3686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368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ind/>
              <w:jc w:val="center"/>
              <w:rPr>
                <w:sz w:val="25"/>
              </w:rPr>
            </w:pPr>
            <w:r>
              <w:rPr>
                <w:sz w:val="25"/>
              </w:rPr>
              <w:t>12 месяцев 2023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1000000">
            <w:pPr>
              <w:ind/>
              <w:jc w:val="center"/>
              <w:rPr>
                <w:sz w:val="20"/>
              </w:rPr>
            </w:pPr>
            <w:r>
              <w:rPr>
                <w:sz w:val="20"/>
              </w:rPr>
              <w:t xml:space="preserve">(отчетный период, за который </w:t>
            </w:r>
            <w:r>
              <w:rPr>
                <w:sz w:val="20"/>
              </w:rPr>
              <w:br/>
            </w:r>
            <w:r>
              <w:rPr>
                <w:sz w:val="20"/>
              </w:rPr>
              <w:t>составлен отчет эмитента)</w:t>
            </w:r>
          </w:p>
        </w:tc>
      </w:tr>
    </w:tbl>
    <w:p w14:paraId="12000000">
      <w:pPr>
        <w:spacing w:after="360" w:before="360"/>
        <w:ind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Информация, содержащаяся в настоящем отчете эмитента,</w:t>
      </w:r>
      <w:r>
        <w:rPr>
          <w:rFonts w:ascii="Times New Roman" w:hAnsi="Times New Roman"/>
          <w:sz w:val="27"/>
        </w:rPr>
        <w:br/>
      </w:r>
      <w:r>
        <w:rPr>
          <w:rFonts w:ascii="Times New Roman" w:hAnsi="Times New Roman"/>
          <w:sz w:val="27"/>
        </w:rPr>
        <w:t>подлежит раскрытию в соответствии с законодательством Российской</w:t>
      </w:r>
      <w:r>
        <w:rPr>
          <w:rFonts w:ascii="Times New Roman" w:hAnsi="Times New Roman"/>
          <w:sz w:val="27"/>
        </w:rPr>
        <w:br/>
      </w:r>
      <w:r>
        <w:rPr>
          <w:rFonts w:ascii="Times New Roman" w:hAnsi="Times New Roman"/>
          <w:sz w:val="27"/>
        </w:rPr>
        <w:t>Федерации о ценных бумагах.</w:t>
      </w:r>
    </w:p>
    <w:tbl>
      <w:tblPr>
        <w:tblStyle w:val="Style_2"/>
        <w:tblW w:type="auto" w:w="0"/>
        <w:tblInd w:type="dxa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3119"/>
        <w:gridCol w:w="6067"/>
        <w:gridCol w:w="227"/>
      </w:tblGrid>
      <w:tr>
        <w:tc>
          <w:tcPr>
            <w:tcW w:type="dxa" w:w="311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3000000">
            <w:pPr>
              <w:pageBreakBefore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6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7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8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9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C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D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(последнее при наличии)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2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3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00"/>
        </w:trP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4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5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6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70"/>
        </w:trPr>
        <w:tc>
          <w:tcPr>
            <w:tcW w:type="dxa" w:w="3119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7000000">
            <w:pPr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8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227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9000000">
            <w:pPr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A000000">
      <w:pPr>
        <w:rPr>
          <w:rFonts w:ascii="Times New Roman" w:hAnsi="Times New Roman"/>
        </w:rPr>
      </w:pPr>
    </w:p>
    <w:tbl>
      <w:tblPr>
        <w:tblStyle w:val="Style_2"/>
        <w:tblW w:type="auto" w:w="0"/>
        <w:tblInd w:type="dxa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892"/>
        <w:gridCol w:w="200"/>
        <w:gridCol w:w="6067"/>
        <w:gridCol w:w="227"/>
        <w:gridCol w:w="76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0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disclosure.1prime.ru/Portal/</w:t>
            </w:r>
            <w:r>
              <w:rPr>
                <w:rFonts w:ascii="Times New Roman" w:hAnsi="Times New Roman"/>
              </w:rPr>
              <w:t>Default.aspx?emId</w:t>
            </w:r>
            <w:r>
              <w:rPr>
                <w:rFonts w:ascii="Times New Roman" w:hAnsi="Times New Roman"/>
              </w:rPr>
              <w:t>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76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490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6570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F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30000000">
      <w:pPr>
        <w:rPr>
          <w:rFonts w:ascii="Times New Roman" w:hAnsi="Times New Roman"/>
        </w:rPr>
      </w:pPr>
    </w:p>
    <w:tbl>
      <w:tblPr>
        <w:tblStyle w:val="Style_2"/>
        <w:tblW w:type="auto" w:w="0"/>
        <w:tblInd w:type="dxa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113"/>
      </w:tblGrid>
      <w:tr>
        <w:trPr>
          <w:trHeight w:hRule="atLeast" w:val="433"/>
        </w:trPr>
        <w:tc>
          <w:tcPr>
            <w:tcW w:type="dxa" w:w="16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ind w:firstLine="0"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3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4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5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6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 xml:space="preserve">Д.Ю. Волгин </w:t>
            </w:r>
          </w:p>
        </w:tc>
        <w:tc>
          <w:tcPr>
            <w:tcW w:type="dxa" w:w="113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7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16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8000000">
            <w:pPr>
              <w:ind w:firstLine="0"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9000000">
            <w:pPr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или иного уполномоченного им лица, название, дата и номер документа, на основании которого указанному лицу предоставлено право подписывать отчет эмитента </w:t>
            </w:r>
            <w:r>
              <w:rPr>
                <w:rFonts w:ascii="Times New Roman" w:hAnsi="Times New Roman"/>
                <w:spacing w:val="-4"/>
                <w:sz w:val="20"/>
              </w:rPr>
              <w:br/>
            </w:r>
            <w:r>
              <w:rPr>
                <w:rFonts w:ascii="Times New Roman" w:hAnsi="Times New Roman"/>
                <w:spacing w:val="-4"/>
                <w:sz w:val="20"/>
              </w:rPr>
              <w:t>от имени эмитента)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A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B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C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D000000">
            <w:pPr>
              <w:ind/>
              <w:jc w:val="center"/>
              <w:rPr>
                <w:rFonts w:ascii="Times New Roman" w:hAnsi="Times New Roman"/>
                <w:spacing w:val="-4"/>
                <w:sz w:val="22"/>
              </w:rPr>
            </w:pPr>
            <w:r>
              <w:rPr>
                <w:rFonts w:ascii="Times New Roman" w:hAnsi="Times New Roman"/>
                <w:spacing w:val="-4"/>
                <w:sz w:val="22"/>
              </w:rPr>
              <w:t>(И.О. Фамилия)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E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c>
          <w:tcPr>
            <w:tcW w:type="dxa" w:w="311"/>
            <w:gridSpan w:val="2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ind w:firstLine="0"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r>
              <w:t>22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1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2000000">
            <w:r>
              <w:t>ноября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3000000">
            <w:pPr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4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</w:p>
        </w:tc>
        <w:tc>
          <w:tcPr>
            <w:tcW w:type="dxa" w:w="6039"/>
            <w:gridSpan w:val="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5000000">
            <w:pPr>
              <w:ind w:firstLine="0"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</w:tbl>
    <w:p w14:paraId="46000000">
      <w:pPr>
        <w:ind/>
        <w:jc w:val="center"/>
        <w:outlineLvl w:val="8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 xml:space="preserve">Пояснения </w:t>
      </w:r>
    </w:p>
    <w:p w14:paraId="47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Настоящий документ публикуется Публичным акционерным обществом «Северное управление строительства (далее – «Эмитент») в порядке изменения (корректировки) информации, содержащейся в ранее опубликованном отчете Эмитента за 12 месяцев 2023 года (далее – «Отчет»). </w:t>
      </w:r>
      <w:r>
        <w:rPr>
          <w:rFonts w:ascii="Times New Roman" w:hAnsi="Times New Roman"/>
          <w:b w:val="0"/>
          <w:sz w:val="28"/>
        </w:rPr>
        <w:tab/>
      </w:r>
      <w:r>
        <w:rPr>
          <w:rFonts w:ascii="Times New Roman" w:hAnsi="Times New Roman"/>
          <w:b w:val="0"/>
          <w:sz w:val="28"/>
        </w:rPr>
        <w:t>Изменения (корректировка) осуществляются на основании Предписания Банка России от 31 октября 2024 года № Т2-50-3/33451.</w:t>
      </w:r>
    </w:p>
    <w:p w14:paraId="48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 </w:t>
      </w:r>
      <w:r>
        <w:rPr>
          <w:rFonts w:ascii="Times New Roman" w:hAnsi="Times New Roman"/>
          <w:b w:val="0"/>
          <w:sz w:val="28"/>
        </w:rPr>
        <w:t xml:space="preserve">Ссылка на ранее опубликованный Отчет, информация в котором изменяется (корректируется):   </w:t>
      </w:r>
    </w:p>
    <w:p w14:paraId="49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Style w:val="Style_3_ch"/>
          <w:rFonts w:ascii="Times New Roman" w:hAnsi="Times New Roman"/>
          <w:b w:val="0"/>
          <w:sz w:val="28"/>
        </w:rPr>
        <w:fldChar w:fldCharType="begin"/>
      </w:r>
      <w:r>
        <w:rPr>
          <w:rStyle w:val="Style_3_ch"/>
          <w:rFonts w:ascii="Times New Roman" w:hAnsi="Times New Roman"/>
          <w:b w:val="0"/>
          <w:sz w:val="28"/>
        </w:rPr>
        <w:instrText>HYPERLINK "http://disclosure.1prime.ru/Portal/GetDocument.aspx?emId=4714000211&amp;docId=08662d3a50e64d779cbc37037fcb8f08"</w:instrText>
      </w:r>
      <w:r>
        <w:rPr>
          <w:rStyle w:val="Style_3_ch"/>
          <w:rFonts w:ascii="Times New Roman" w:hAnsi="Times New Roman"/>
          <w:b w:val="0"/>
          <w:sz w:val="28"/>
        </w:rPr>
        <w:fldChar w:fldCharType="separate"/>
      </w:r>
      <w:r>
        <w:rPr>
          <w:rStyle w:val="Style_3_ch"/>
          <w:rFonts w:ascii="Times New Roman" w:hAnsi="Times New Roman"/>
          <w:b w:val="0"/>
          <w:sz w:val="28"/>
        </w:rPr>
        <w:t>h</w:t>
      </w:r>
      <w:r>
        <w:rPr>
          <w:rStyle w:val="Style_3_ch"/>
          <w:rFonts w:ascii="Times New Roman" w:hAnsi="Times New Roman"/>
          <w:b w:val="0"/>
          <w:sz w:val="28"/>
        </w:rPr>
        <w:t>ttp://disclosure.1prime.ru/Portal/GetDocument.aspx?emId=4714000211&amp;docId=08662d3a50e64d779cbc37037fcb8f08</w:t>
      </w:r>
      <w:r>
        <w:rPr>
          <w:rStyle w:val="Style_3_ch"/>
          <w:rFonts w:ascii="Times New Roman" w:hAnsi="Times New Roman"/>
          <w:b w:val="0"/>
          <w:sz w:val="28"/>
        </w:rPr>
        <w:fldChar w:fldCharType="end"/>
      </w:r>
      <w:r>
        <w:rPr>
          <w:rFonts w:ascii="Times New Roman" w:hAnsi="Times New Roman"/>
          <w:b w:val="0"/>
          <w:sz w:val="28"/>
        </w:rPr>
        <w:t xml:space="preserve">, </w:t>
      </w:r>
      <w:r>
        <w:rPr>
          <w:rFonts w:ascii="Times New Roman" w:hAnsi="Times New Roman"/>
          <w:b w:val="1"/>
          <w:sz w:val="28"/>
        </w:rPr>
        <w:t xml:space="preserve"> </w:t>
      </w:r>
    </w:p>
    <w:p w14:paraId="4A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 Изменения (корректировка) осуществляются в связи с необходимостью устранения выявленных и отмеченных в предписании нарушений в Отчете эмитента за 12 месяцев 2023 г. в, в том числе включения в Отчет недостающей информации, в соответствии с  требованиям Положения Банка России от 27 марта 2020 года № 714-П «О раскрытии информации эмитентами эмиссионных ценных бумаг» (далее – «Положение № 714-П»). </w:t>
      </w:r>
    </w:p>
    <w:p w14:paraId="4B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Краткое описание внесенных изменений: во введении Отчета: </w:t>
      </w:r>
    </w:p>
    <w:p w14:paraId="4C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</w:rPr>
        <w:t xml:space="preserve">1. Исправлена нумерация в </w:t>
      </w: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Оглавлении</w:t>
      </w: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</w:rPr>
        <w:t xml:space="preserve"> Отчета эмитента, добавлены пункты 1.3-1.9 в разделе 1 и «введение», исправлены номера соответствующих страниц,  Техническая ошибка.</w:t>
      </w:r>
    </w:p>
    <w:p w14:paraId="4D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2. В разделе </w:t>
      </w:r>
      <w:r>
        <w:rPr>
          <w:rFonts w:ascii="Times New Roman" w:hAnsi="Times New Roman"/>
          <w:b w:val="1"/>
          <w:i w:val="0"/>
          <w:color w:val="000000"/>
          <w:sz w:val="28"/>
        </w:rPr>
        <w:t>«Введение»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 абзац 1-2 добавлены основания возникновения у эмитента обязанности осуществлять раскрытие информации в форме отчета эмитента.</w:t>
      </w:r>
    </w:p>
    <w:p w14:paraId="4E000000">
      <w:pPr>
        <w:ind w:firstLine="0" w:left="283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3.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Раздел 1:</w:t>
      </w:r>
    </w:p>
    <w:p w14:paraId="4F000000">
      <w:pPr>
        <w:ind w:firstLine="426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п.1.1. добавлено краткое описание финансово-хозяйственной деятельности , операционных сегментов и географии осуществления финансово-хозяйственной деятельности эмитента, а также об отсутствии </w:t>
      </w:r>
      <w:r>
        <w:rPr>
          <w:rFonts w:ascii="Times New Roman" w:hAnsi="Times New Roman"/>
          <w:b w:val="0"/>
          <w:i w:val="0"/>
          <w:color w:val="000000"/>
          <w:sz w:val="28"/>
        </w:rPr>
        <w:t>о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граничений , связанных с участием в уставном капитале  эмитента. </w:t>
      </w:r>
    </w:p>
    <w:p w14:paraId="50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     п.1.2.       </w:t>
      </w:r>
      <w:r>
        <w:rPr>
          <w:rFonts w:ascii="Times New Roman" w:hAnsi="Times New Roman"/>
          <w:b w:val="0"/>
          <w:i w:val="0"/>
          <w:color w:val="000000"/>
          <w:sz w:val="28"/>
        </w:rPr>
        <w:t>д</w:t>
      </w:r>
      <w:r>
        <w:rPr>
          <w:rFonts w:ascii="Times New Roman" w:hAnsi="Times New Roman"/>
          <w:b w:val="0"/>
          <w:i w:val="0"/>
          <w:color w:val="000000"/>
          <w:sz w:val="28"/>
        </w:rPr>
        <w:t>обавлены сведения о положении эмитента в отрасли .</w:t>
      </w:r>
    </w:p>
    <w:p w14:paraId="51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</w:rPr>
        <w:t xml:space="preserve"> в п.1.3.  добавлен описательный анализ динамики изменений приведенных показателей операционной деятельности эмитента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. </w:t>
      </w:r>
    </w:p>
    <w:p w14:paraId="52000000">
      <w:pPr>
        <w:ind w:firstLine="425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п. 1.5, 1.6- откорректированы наименования пунктов. Техническая ошибка.</w:t>
      </w:r>
    </w:p>
    <w:p w14:paraId="53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4.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Раздел 2 :</w:t>
      </w:r>
    </w:p>
    <w:p w14:paraId="54000000">
      <w:pPr>
        <w:ind w:firstLine="284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F3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п.2.1. </w:t>
      </w:r>
      <w:r>
        <w:rPr>
          <w:rFonts w:ascii="Times New Roman" w:hAnsi="Times New Roman"/>
          <w:b w:val="0"/>
          <w:i w:val="0"/>
          <w:color w:val="000000"/>
          <w:sz w:val="28"/>
        </w:rPr>
        <w:t>дополнен недостающими сведениями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информация о лицах, входящих в состав органов управления эмитента :</w:t>
      </w:r>
    </w:p>
    <w:p w14:paraId="55000000">
      <w:pPr>
        <w:numPr>
          <w:numId w:val="1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 квалификации и специальности Яценко Е.А., Трофимовой И.Л., Улокиной Е.В. ,</w:t>
      </w:r>
    </w:p>
    <w:p w14:paraId="56000000">
      <w:pPr>
        <w:numPr>
          <w:numId w:val="2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 периодах , в течении которого Глазырин А.В., Трофимова И.Л., Улокина Е.В. и Николаева Е.В. занимают свои должности,</w:t>
      </w:r>
    </w:p>
    <w:p w14:paraId="57000000">
      <w:pPr>
        <w:numPr>
          <w:numId w:val="3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о всех должностях, которые единоличный исполнительный орган эмитентаи– Волгин Д.Ю., занимает и занимал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в органах управления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эмитента и в </w:t>
      </w:r>
      <w:r>
        <w:rPr>
          <w:rFonts w:ascii="Times New Roman" w:hAnsi="Times New Roman"/>
          <w:b w:val="0"/>
          <w:i w:val="0"/>
          <w:color w:val="000000"/>
          <w:sz w:val="28"/>
        </w:rPr>
        <w:t>других организаций за последние 3 года,</w:t>
      </w:r>
    </w:p>
    <w:p w14:paraId="58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– о количестве акций эмитента, которые могут быть приобретены каждым лицом из совета директоров и единоличного исп.органа  в результате конвертации- 0;</w:t>
      </w:r>
    </w:p>
    <w:p w14:paraId="59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-о доле участия лиц, входящих  в состав совета директоров эмитента в уставном капитале подконтрольных эмитенту организаций-0;</w:t>
      </w:r>
    </w:p>
    <w:p w14:paraId="5A000000">
      <w:pPr>
        <w:numPr>
          <w:numId w:val="4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 совершении лицами, входящими в состав совета директоров сделок по приобретению или отчуждению акций эмитента - не совершались,</w:t>
      </w:r>
    </w:p>
    <w:p w14:paraId="5B000000">
      <w:pPr>
        <w:numPr>
          <w:numId w:val="5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об участии в работе комитетов совета директоров – </w:t>
      </w:r>
      <w:r>
        <w:rPr>
          <w:rFonts w:ascii="Times New Roman" w:hAnsi="Times New Roman"/>
          <w:b w:val="0"/>
          <w:i w:val="1"/>
          <w:color w:val="000000"/>
          <w:sz w:val="28"/>
        </w:rPr>
        <w:t>комитетов не создавалось</w:t>
      </w:r>
      <w:r>
        <w:rPr>
          <w:rFonts w:ascii="Times New Roman" w:hAnsi="Times New Roman"/>
          <w:b w:val="0"/>
          <w:i w:val="1"/>
          <w:color w:val="000000"/>
          <w:sz w:val="28"/>
        </w:rPr>
        <w:t>,</w:t>
      </w:r>
    </w:p>
    <w:p w14:paraId="5C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п.2.2  </w:t>
      </w:r>
      <w:r>
        <w:rPr>
          <w:rFonts w:ascii="Times New Roman" w:hAnsi="Times New Roman"/>
          <w:b w:val="0"/>
          <w:i w:val="0"/>
          <w:color w:val="000000"/>
          <w:sz w:val="28"/>
        </w:rPr>
        <w:t>добавлено о наличии политики в области вознаграждения органов управления эмитента;</w:t>
      </w:r>
    </w:p>
    <w:p w14:paraId="5D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п.2.3. добавлено описание организации в эмитенте управления рисками, контроля за финансово-хозяйственной деятельностью; </w:t>
      </w:r>
    </w:p>
    <w:p w14:paraId="5E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п.2.4. добавлены сведения о квалификации членов ревизионной комиссии и ответственного за  внутренний аудит,  а также об отсутствии  долей их участия в уставном капитале;</w:t>
      </w:r>
    </w:p>
    <w:p w14:paraId="5F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п.п.2.1,2.3-2.5  указана информация об отсутствии изменений за период с 31.12.2023 и датой раскрытия финансовой отчетности.</w:t>
      </w:r>
    </w:p>
    <w:p w14:paraId="60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5. </w:t>
      </w:r>
      <w:r>
        <w:rPr>
          <w:rFonts w:ascii="Times New Roman" w:hAnsi="Times New Roman"/>
          <w:b w:val="1"/>
          <w:i w:val="0"/>
          <w:color w:val="000000"/>
          <w:sz w:val="28"/>
        </w:rPr>
        <w:t>Раздел 3 :</w:t>
      </w:r>
    </w:p>
    <w:p w14:paraId="61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п.3.1. добавлена информация об отсутствии акций, приобретенных и (или) выкупленных эмитентом, и (или) поступивших в его распоряжение на 31.12.2023 г; </w:t>
      </w:r>
    </w:p>
    <w:p w14:paraId="62000000">
      <w:pPr>
        <w:ind w:firstLine="283" w:left="283" w:right="171"/>
        <w:jc w:val="both"/>
        <w:rPr>
          <w:rFonts w:ascii="Times New Roman" w:hAnsi="Times New Roman"/>
          <w:b w:val="0"/>
          <w:i w:val="1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п.3.2.  </w:t>
      </w:r>
      <w:r>
        <w:rPr>
          <w:rFonts w:ascii="Times New Roman" w:hAnsi="Times New Roman"/>
          <w:b w:val="0"/>
          <w:i w:val="0"/>
          <w:color w:val="000000"/>
          <w:sz w:val="28"/>
        </w:rPr>
        <w:t>и</w:t>
      </w:r>
      <w:r>
        <w:rPr>
          <w:rFonts w:ascii="Times New Roman" w:hAnsi="Times New Roman"/>
          <w:b w:val="0"/>
          <w:i w:val="0"/>
          <w:color w:val="000000"/>
          <w:sz w:val="28"/>
        </w:rPr>
        <w:t>нфор</w:t>
      </w:r>
      <w:r>
        <w:rPr>
          <w:rFonts w:ascii="Times New Roman" w:hAnsi="Times New Roman"/>
          <w:b w:val="0"/>
          <w:i w:val="0"/>
          <w:color w:val="000000"/>
          <w:sz w:val="28"/>
        </w:rPr>
        <w:t>мация  об акционерах эмитентов, владеющих не менее чем 5 % его уставного капитала</w:t>
      </w:r>
      <w:r>
        <w:rPr>
          <w:rFonts w:ascii="Times New Roman" w:hAnsi="Times New Roman"/>
          <w:b w:val="0"/>
          <w:i w:val="0"/>
          <w:color w:val="000000"/>
          <w:sz w:val="28"/>
        </w:rPr>
        <w:t>, откорректирована.</w:t>
      </w:r>
      <w:r>
        <w:rPr>
          <w:rFonts w:ascii="Times New Roman" w:hAnsi="Times New Roman"/>
          <w:b w:val="0"/>
          <w:i w:val="1"/>
          <w:color w:val="000000"/>
          <w:sz w:val="28"/>
        </w:rPr>
        <w:t xml:space="preserve"> </w:t>
      </w:r>
      <w:r>
        <w:rPr>
          <w:rFonts w:ascii="Times New Roman" w:hAnsi="Times New Roman"/>
          <w:b w:val="0"/>
          <w:i w:val="1"/>
          <w:color w:val="000000"/>
          <w:sz w:val="28"/>
        </w:rPr>
        <w:t>О</w:t>
      </w:r>
      <w:r>
        <w:rPr>
          <w:rFonts w:ascii="Times New Roman" w:hAnsi="Times New Roman"/>
          <w:b w:val="0"/>
          <w:i w:val="1"/>
          <w:color w:val="000000"/>
          <w:sz w:val="28"/>
        </w:rPr>
        <w:t>шибка из-за неверной интерпритации запрашиваемой информации.</w:t>
      </w:r>
    </w:p>
    <w:p w14:paraId="63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п.3.3.  внесены сведения об отсутствии доли уставного капитал эмитента , находящейся в государственной собственности.</w:t>
      </w:r>
    </w:p>
    <w:p w14:paraId="64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п.п.3.1-3.3 указана информация об отсутствии изменений за период с 31.12.2023 и датой раскрытия финансовой отчетности.</w:t>
      </w:r>
    </w:p>
    <w:p w14:paraId="65000000">
      <w:pPr>
        <w:ind w:hanging="425" w:left="709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olor w:val="F3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>6.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Раздел 4 :</w:t>
      </w:r>
    </w:p>
    <w:p w14:paraId="66000000">
      <w:pPr>
        <w:ind w:firstLine="0" w:left="709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Откорректировано наименование п.4.2. Техническая ошибка.</w:t>
      </w:r>
    </w:p>
    <w:p w14:paraId="67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</w:t>
      </w:r>
      <w:r>
        <w:rPr>
          <w:rFonts w:ascii="Times New Roman" w:hAnsi="Times New Roman"/>
          <w:b w:val="0"/>
          <w:i w:val="0"/>
          <w:color w:val="000000"/>
          <w:sz w:val="28"/>
        </w:rPr>
        <w:t>В п.4.6 добавлены виды отчетности, в отношении которых аудитором проводилась (будет проводится) проверка отчетности эмитента, об отсутствии оказания эмитенту  сопутствующих услуг.,</w:t>
      </w:r>
    </w:p>
    <w:p w14:paraId="68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п.п.</w:t>
      </w:r>
      <w:r>
        <w:rPr>
          <w:rFonts w:ascii="Times New Roman" w:hAnsi="Times New Roman"/>
          <w:b w:val="0"/>
          <w:i w:val="0"/>
          <w:color w:val="000000"/>
          <w:sz w:val="28"/>
        </w:rPr>
        <w:t>4.1, 4.3, 4.5, 4.6 указана информация об отсутствии изменений за период с 31.12.2023 и датой раскрытия финансовой отчетности.</w:t>
      </w:r>
    </w:p>
    <w:p w14:paraId="69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В соответствии с абзацем 1 пункта 1.16 и п.12.4 Положения № 714-П  полный текст документа, содержащего измененную (скорректированную)  информацию опубликован на странице в сети Интернет :</w:t>
      </w:r>
    </w:p>
    <w:tbl>
      <w:tblPr>
        <w:tblStyle w:val="Style_2"/>
        <w:tblW w:type="auto" w:w="0"/>
        <w:tblInd w:type="dxa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7881"/>
      </w:tblGrid>
      <w:tr>
        <w:tc>
          <w:tcPr>
            <w:tcW w:type="dxa" w:w="7881"/>
            <w:tcBorders>
              <w:top w:color="000000" w:sz="4" w:val="nil"/>
              <w:left w:color="000000" w:sz="4" w:val="nil"/>
              <w:bottom w:color="000000" w:sz="4" w:val="nil"/>
              <w:right w:color="000000" w:sz="4" w:val="nil"/>
              <w:tl2br w:color="000000" w:sz="4" w:val="nil"/>
              <w:tr2bl w:color="000000"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6A000000">
            <w:pPr>
              <w:ind/>
              <w:jc w:val="left"/>
              <w:rPr>
                <w:rFonts w:ascii="Times New Roman" w:hAnsi="Times New Roman"/>
                <w:b w:val="0"/>
                <w:sz w:val="28"/>
              </w:rPr>
            </w:pPr>
            <w:r>
              <w:rPr>
                <w:rFonts w:ascii="Times New Roman" w:hAnsi="Times New Roman"/>
                <w:b w:val="0"/>
                <w:sz w:val="28"/>
              </w:rPr>
              <w:t>disclosure.1prime.ru/Portal/Default.aspx?emId=4714000211</w:t>
            </w:r>
          </w:p>
        </w:tc>
      </w:tr>
    </w:tbl>
    <w:p w14:paraId="6B000000">
      <w:pPr>
        <w:pStyle w:val="Style_4"/>
      </w:pPr>
    </w:p>
    <w:p w14:paraId="6C000000">
      <w:pPr>
        <w:pStyle w:val="Style_4"/>
      </w:pPr>
    </w:p>
    <w:p w14:paraId="6D000000">
      <w:pPr>
        <w:pStyle w:val="Style_4"/>
      </w:pPr>
      <w:r>
        <w:rPr>
          <w:rFonts w:ascii="Times New Roman" w:hAnsi="Times New Roman"/>
          <w:b w:val="0"/>
          <w:sz w:val="28"/>
        </w:rPr>
        <w:t>Полный текст отчета  читать в следующей редакции:</w:t>
      </w:r>
    </w:p>
    <w:p w14:paraId="6E000000"/>
    <w:p w14:paraId="6F000000"/>
    <w:p w14:paraId="70000000"/>
    <w:p w14:paraId="71000000"/>
    <w:p w14:paraId="72000000">
      <w:pPr>
        <w:pStyle w:val="Style_5"/>
        <w:ind/>
        <w:jc w:val="center"/>
      </w:pPr>
      <w:r>
        <w:t>Оглавление</w:t>
      </w:r>
    </w:p>
    <w:p w14:paraId="73000000">
      <w:pPr>
        <w:rPr>
          <w:rFonts w:ascii="Times New Roman" w:hAnsi="Times New Roman"/>
        </w:rPr>
      </w:pPr>
      <w:r>
        <w:t>В</w:t>
      </w:r>
      <w:r>
        <w:rPr>
          <w:rFonts w:ascii="Times New Roman" w:hAnsi="Times New Roman"/>
        </w:rPr>
        <w:t>ведение                                                                                                                                           6</w:t>
      </w:r>
    </w:p>
    <w:p>
      <w:pPr>
        <w:pStyle w:val="Style_6"/>
        <w:tabs>
          <w:tab w:leader="dot" w:pos="9496" w:val="right"/>
        </w:tabs>
        <w:ind/>
      </w:pPr>
      <w:r>
        <w:fldChar w:fldCharType="begin"/>
      </w:r>
      <w:r>
        <w:instrText xml:space="preserve">TOC \h \z \u \o "1-3"</w:instrText>
      </w:r>
      <w:r>
        <w:fldChar w:fldCharType="separate"/>
      </w:r>
      <w:r>
        <w:fldChar w:fldCharType="begin"/>
      </w:r>
      <w:r>
        <w:instrText>HYPERLINK \l "__RefHeading___109"</w:instrText>
      </w:r>
      <w:r>
        <w:fldChar w:fldCharType="separate"/>
      </w:r>
      <w:r>
        <w:t>Раздел I. Управленческий отчет эмитента</w:t>
      </w:r>
      <w:r>
        <w:tab/>
      </w:r>
      <w:r>
        <w:fldChar w:fldCharType="begin"/>
      </w:r>
      <w:r>
        <w:instrText>PAGEREF __RefHeading___109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75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"__RefHeading___110"</w:instrText>
      </w:r>
      <w:r>
        <w:fldChar w:fldCharType="separate"/>
      </w:r>
      <w:r>
        <w:t>1.1. Общие сведения об эмитенте и его деятельности</w:t>
      </w:r>
      <w:r>
        <w:tab/>
      </w:r>
      <w:r>
        <w:fldChar w:fldCharType="begin"/>
      </w:r>
      <w:r>
        <w:instrText>PAGEREF __RefHeading___110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76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"__RefHeading___111"</w:instrText>
      </w:r>
      <w:r>
        <w:fldChar w:fldCharType="separate"/>
      </w:r>
      <w:r>
        <w:t>1.2.  Сведения о положении эмитента в отрасли</w:t>
      </w:r>
      <w:r>
        <w:tab/>
      </w:r>
      <w:r>
        <w:fldChar w:fldCharType="begin"/>
      </w:r>
      <w:r>
        <w:instrText>PAGEREF __RefHeading___111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77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"__RefHeading___112"</w:instrText>
      </w:r>
      <w:r>
        <w:fldChar w:fldCharType="separate"/>
      </w:r>
      <w:r>
        <w:t>1.3. Основные операционные и финансовые показатели, характеризующие деятельность эмитента.</w:t>
      </w:r>
      <w:r>
        <w:tab/>
      </w:r>
      <w:r>
        <w:fldChar w:fldCharType="begin"/>
      </w:r>
      <w:r>
        <w:instrText>PAGEREF __RefHeading___112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78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"__RefHeading___113"</w:instrText>
      </w:r>
      <w:r>
        <w:fldChar w:fldCharType="separate"/>
      </w:r>
      <w:r>
        <w:t>1.4. Основные финансовые показатели ПАО «СУС»</w:t>
      </w:r>
      <w:r>
        <w:tab/>
      </w:r>
      <w:r>
        <w:fldChar w:fldCharType="begin"/>
      </w:r>
      <w:r>
        <w:instrText>PAGEREF __RefHeading___113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9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"__RefHeading___114"</w:instrText>
      </w:r>
      <w:r>
        <w:fldChar w:fldCharType="separate"/>
      </w:r>
      <w:r>
        <w:t>1.5.  Сведения об основных поставщиках эмитента</w:t>
      </w:r>
      <w:r>
        <w:tab/>
      </w:r>
      <w:r>
        <w:fldChar w:fldCharType="begin"/>
      </w:r>
      <w:r>
        <w:instrText>PAGEREF __RefHeading___114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A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"__RefHeading___115"</w:instrText>
      </w:r>
      <w:r>
        <w:fldChar w:fldCharType="separate"/>
      </w:r>
      <w:r>
        <w:t>1.6.  Сведения об основных дебиторах эмитента</w:t>
      </w:r>
      <w:r>
        <w:tab/>
      </w:r>
      <w:r>
        <w:fldChar w:fldCharType="begin"/>
      </w:r>
      <w:r>
        <w:instrText>PAGEREF __RefHeading___115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B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"__RefHeading___116"</w:instrText>
      </w:r>
      <w:r>
        <w:fldChar w:fldCharType="separate"/>
      </w:r>
      <w:r>
        <w:t>1.7.  Сведения об обязательствах эмитента</w:t>
      </w:r>
      <w:r>
        <w:tab/>
      </w:r>
      <w:r>
        <w:fldChar w:fldCharType="begin"/>
      </w:r>
      <w:r>
        <w:instrText>PAGEREF __RefHeading___116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C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"__RefHeading___117"</w:instrText>
      </w:r>
      <w:r>
        <w:fldChar w:fldCharType="separate"/>
      </w:r>
      <w:r>
        <w:t>1.8.  Сведения о перспективах развития эмитента</w:t>
      </w:r>
      <w:r>
        <w:tab/>
      </w:r>
      <w:r>
        <w:fldChar w:fldCharType="begin"/>
      </w:r>
      <w:r>
        <w:instrText>PAGEREF __RefHeading___117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D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"__RefHeading___118"</w:instrText>
      </w:r>
      <w:r>
        <w:fldChar w:fldCharType="separate"/>
      </w:r>
      <w:r>
        <w:t>1.9. Сведения о рисках, связанных с деятельностью эмитента</w:t>
      </w:r>
      <w:r>
        <w:tab/>
      </w:r>
      <w:r>
        <w:fldChar w:fldCharType="begin"/>
      </w:r>
      <w:r>
        <w:instrText>PAGEREF __RefHeading___118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E000000">
      <w:pPr>
        <w:pStyle w:val="Style_6"/>
        <w:tabs>
          <w:tab w:leader="dot" w:pos="9496" w:val="right"/>
        </w:tabs>
        <w:ind/>
      </w:pPr>
      <w:r>
        <w:fldChar w:fldCharType="begin"/>
      </w:r>
      <w:r>
        <w:instrText>HYPERLINK \l "__RefHeading___119"</w:instrText>
      </w:r>
      <w:r>
        <w:fldChar w:fldCharType="separate"/>
      </w:r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tab/>
      </w:r>
      <w:r>
        <w:fldChar w:fldCharType="begin"/>
      </w:r>
      <w:r>
        <w:instrText>PAGEREF __RefHeading___119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F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"__RefHeading___120"</w:instrText>
      </w:r>
      <w:r>
        <w:fldChar w:fldCharType="separate"/>
      </w:r>
      <w:r>
        <w:t>2.1.    Информация о лицах, входящих в состав органов управления эмитента</w:t>
      </w:r>
      <w:r>
        <w:tab/>
      </w:r>
      <w:r>
        <w:fldChar w:fldCharType="begin"/>
      </w:r>
      <w:r>
        <w:instrText>PAGEREF __RefHeading___120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80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"__RefHeading___121"</w:instrText>
      </w:r>
      <w:r>
        <w:fldChar w:fldCharType="separate"/>
      </w:r>
      <w:r>
        <w:t>2.2.   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tab/>
      </w:r>
      <w:r>
        <w:fldChar w:fldCharType="begin"/>
      </w:r>
      <w:r>
        <w:instrText>PAGEREF __RefHeading___121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81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"__RefHeading___122"</w:instrText>
      </w:r>
      <w:r>
        <w:fldChar w:fldCharType="separate"/>
      </w:r>
      <w:r>
        <w:t>2.3.   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tab/>
      </w:r>
      <w:r>
        <w:fldChar w:fldCharType="begin"/>
      </w:r>
      <w:r>
        <w:instrText>PAGEREF __RefHeading___122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82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"__RefHeading___123"</w:instrText>
      </w:r>
      <w:r>
        <w:fldChar w:fldCharType="separate"/>
      </w:r>
      <w:r>
        <w:t>2.4.   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tab/>
      </w:r>
      <w:r>
        <w:fldChar w:fldCharType="begin"/>
      </w:r>
      <w:r>
        <w:instrText>PAGEREF __RefHeading___123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83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"__RefHeading___124"</w:instrText>
      </w:r>
      <w:r>
        <w:fldChar w:fldCharType="separate"/>
      </w:r>
      <w:r>
        <w:t>2.5.   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tab/>
      </w:r>
      <w:r>
        <w:fldChar w:fldCharType="begin"/>
      </w:r>
      <w:r>
        <w:instrText>PAGEREF __RefHeading___124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84000000">
      <w:pPr>
        <w:pStyle w:val="Style_6"/>
        <w:tabs>
          <w:tab w:leader="dot" w:pos="9496" w:val="right"/>
        </w:tabs>
        <w:ind/>
      </w:pPr>
      <w:r>
        <w:fldChar w:fldCharType="begin"/>
      </w:r>
      <w:r>
        <w:instrText>HYPERLINK \l "__RefHeading___125"</w:instrText>
      </w:r>
      <w:r>
        <w:fldChar w:fldCharType="separate"/>
      </w:r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tab/>
      </w:r>
      <w:r>
        <w:fldChar w:fldCharType="begin"/>
      </w:r>
      <w:r>
        <w:instrText>PAGEREF __RefHeading___125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85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"__RefHeading___126"</w:instrText>
      </w:r>
      <w:r>
        <w:fldChar w:fldCharType="separate"/>
      </w:r>
      <w:r>
        <w:t>3.1.    Сведения об общем количестве акционеров эмитента</w:t>
      </w:r>
      <w:r>
        <w:tab/>
      </w:r>
      <w:r>
        <w:fldChar w:fldCharType="begin"/>
      </w:r>
      <w:r>
        <w:instrText>PAGEREF __RefHeading___126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86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"__RefHeading___127"</w:instrText>
      </w:r>
      <w:r>
        <w:fldChar w:fldCharType="separate"/>
      </w:r>
      <w:r>
        <w:t>3.2.   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  <w:r>
        <w:tab/>
      </w:r>
      <w:r>
        <w:fldChar w:fldCharType="begin"/>
      </w:r>
      <w:r>
        <w:instrText>PAGEREF __RefHeading___127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87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"__RefHeading___128"</w:instrText>
      </w:r>
      <w:r>
        <w:fldChar w:fldCharType="separate"/>
      </w:r>
      <w:r>
        <w:t>3.3.   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(«золотой акции»)</w:t>
      </w:r>
      <w:r>
        <w:tab/>
      </w:r>
      <w:r>
        <w:fldChar w:fldCharType="begin"/>
      </w:r>
      <w:r>
        <w:instrText>PAGEREF __RefHeading___128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88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"__RefHeading___129"</w:instrText>
      </w:r>
      <w:r>
        <w:fldChar w:fldCharType="separate"/>
      </w:r>
      <w:r>
        <w:t>3.4.    Сделки эмитента, в совершении которых имелась заинтересованность</w:t>
      </w:r>
      <w:r>
        <w:tab/>
      </w:r>
      <w:r>
        <w:fldChar w:fldCharType="begin"/>
      </w:r>
      <w:r>
        <w:instrText>PAGEREF __RefHeading___129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89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"__RefHeading___130"</w:instrText>
      </w:r>
      <w:r>
        <w:fldChar w:fldCharType="separate"/>
      </w:r>
      <w:r>
        <w:t>3.5.    Крупные сделки эмитента</w:t>
      </w:r>
      <w:r>
        <w:tab/>
      </w:r>
      <w:r>
        <w:fldChar w:fldCharType="begin"/>
      </w:r>
      <w:r>
        <w:instrText>PAGEREF __RefHeading___130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8A000000">
      <w:pPr>
        <w:pStyle w:val="Style_6"/>
        <w:tabs>
          <w:tab w:leader="dot" w:pos="9496" w:val="right"/>
        </w:tabs>
        <w:ind/>
      </w:pPr>
      <w:r>
        <w:fldChar w:fldCharType="begin"/>
      </w:r>
      <w:r>
        <w:instrText>HYPERLINK \l "__RefHeading___131"</w:instrText>
      </w:r>
      <w:r>
        <w:fldChar w:fldCharType="separate"/>
      </w:r>
      <w:r>
        <w:t>Раздел 4. Дополнительные сведения об эмитенте и о размещенных им ценных бумагах</w:t>
      </w:r>
      <w:r>
        <w:tab/>
      </w:r>
      <w:r>
        <w:fldChar w:fldCharType="begin"/>
      </w:r>
      <w:r>
        <w:instrText>PAGEREF __RefHeading___131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8B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"__RefHeading___132"</w:instrText>
      </w:r>
      <w:r>
        <w:fldChar w:fldCharType="separate"/>
      </w:r>
      <w:r>
        <w:t>4.1.    Подконтрольные эмитенту организации, имеющие для него существенное значение</w:t>
      </w:r>
      <w:r>
        <w:tab/>
      </w:r>
      <w:r>
        <w:fldChar w:fldCharType="begin"/>
      </w:r>
      <w:r>
        <w:instrText>PAGEREF __RefHeading___132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8C000000">
      <w:pPr>
        <w:pStyle w:val="Style_6"/>
        <w:tabs>
          <w:tab w:leader="dot" w:pos="9496" w:val="right"/>
        </w:tabs>
        <w:ind/>
      </w:pPr>
      <w:r>
        <w:fldChar w:fldCharType="begin"/>
      </w:r>
      <w:r>
        <w:instrText>HYPERLINK \l "__RefHeading___133"</w:instrText>
      </w:r>
      <w:r>
        <w:fldChar w:fldCharType="separate"/>
      </w:r>
      <w:r>
        <w:t>деятельность автомобильного грузового транспорта (49.41)</w:t>
      </w:r>
      <w:r>
        <w:tab/>
      </w:r>
      <w:r>
        <w:fldChar w:fldCharType="begin"/>
      </w:r>
      <w:r>
        <w:instrText>PAGEREF __RefHeading___133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8D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"__RefHeading___134"</w:instrText>
      </w:r>
      <w:r>
        <w:fldChar w:fldCharType="separate"/>
      </w:r>
      <w:r>
        <w:t>4.2.    Дополнительные сведения,, раскрываемые эмитентами зеленых облигаций, социальных облигаций, облигаций устойчивого развития, адаптационных облигаций</w:t>
      </w:r>
      <w:r>
        <w:tab/>
      </w:r>
      <w:r>
        <w:fldChar w:fldCharType="begin"/>
      </w:r>
      <w:r>
        <w:instrText>PAGEREF __RefHeading___134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8E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"__RefHeading___135"</w:instrText>
      </w:r>
      <w:r>
        <w:fldChar w:fldCharType="separate"/>
      </w:r>
      <w:r>
        <w:t>Эмитент не идентифицирует выпуск облигаций.</w:t>
      </w:r>
      <w:r>
        <w:tab/>
      </w:r>
      <w:r>
        <w:fldChar w:fldCharType="begin"/>
      </w:r>
      <w:r>
        <w:instrText>PAGEREF __RefHeading___135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8F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"__RefHeading___136"</w:instrText>
      </w:r>
      <w:r>
        <w:fldChar w:fldCharType="separate"/>
      </w:r>
      <w:r>
        <w:t>4.3.   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tab/>
      </w:r>
      <w:r>
        <w:fldChar w:fldCharType="begin"/>
      </w:r>
      <w:r>
        <w:instrText>PAGEREF __RefHeading___136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90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"__RefHeading___137"</w:instrText>
      </w:r>
      <w:r>
        <w:fldChar w:fldCharType="separate"/>
      </w:r>
      <w:r>
        <w:t>4.4.    Сведения об объявленных и выплаченных дивидендах по акциям эмитента</w:t>
      </w:r>
      <w:r>
        <w:tab/>
      </w:r>
      <w:r>
        <w:fldChar w:fldCharType="begin"/>
      </w:r>
      <w:r>
        <w:instrText>PAGEREF __RefHeading___137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91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"__RefHeading___138"</w:instrText>
      </w:r>
      <w:r>
        <w:fldChar w:fldCharType="separate"/>
      </w:r>
      <w:r>
        <w:t>4.5.    Сведения об организациях, осуществляющих учет прав на эмиссионные ценные бумаги эмитента</w:t>
      </w:r>
      <w:r>
        <w:tab/>
      </w:r>
      <w:r>
        <w:fldChar w:fldCharType="begin"/>
      </w:r>
      <w:r>
        <w:instrText>PAGEREF __RefHeading___138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92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"__RefHeading___139"</w:instrText>
      </w:r>
      <w:r>
        <w:fldChar w:fldCharType="separate"/>
      </w:r>
      <w:r>
        <w:t>4.5.1.    Сведения о регистраторе, осуществляющем ведение реестра владельцев ценных бумаг эмитента</w:t>
      </w:r>
      <w:r>
        <w:tab/>
      </w:r>
      <w:r>
        <w:fldChar w:fldCharType="begin"/>
      </w:r>
      <w:r>
        <w:instrText>PAGEREF __RefHeading___139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93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"__RefHeading___140"</w:instrText>
      </w:r>
      <w:r>
        <w:fldChar w:fldCharType="separate"/>
      </w:r>
      <w:r>
        <w:t>4.5.2.    Сведения о депозитарии, осуществляющем централизованный учет прав на ценные бумаги эмитента</w:t>
      </w:r>
      <w:r>
        <w:tab/>
      </w:r>
      <w:r>
        <w:fldChar w:fldCharType="begin"/>
      </w:r>
      <w:r>
        <w:instrText>PAGEREF __RefHeading___140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 w14:paraId="94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"__RefHeading___141"</w:instrText>
      </w:r>
      <w:r>
        <w:fldChar w:fldCharType="separate"/>
      </w:r>
      <w:r>
        <w:t>4.6.    Информация об аудиторе эмитента</w:t>
      </w:r>
      <w:r>
        <w:tab/>
      </w:r>
      <w:r>
        <w:fldChar w:fldCharType="begin"/>
      </w:r>
      <w:r>
        <w:instrText>PAGEREF __RefHeading___141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 w14:paraId="95000000">
      <w:pPr>
        <w:pStyle w:val="Style_6"/>
        <w:tabs>
          <w:tab w:leader="dot" w:pos="9496" w:val="right"/>
        </w:tabs>
        <w:ind/>
      </w:pPr>
      <w:r>
        <w:fldChar w:fldCharType="begin"/>
      </w:r>
      <w:r>
        <w:instrText>HYPERLINK \l "__RefHeading___142"</w:instrText>
      </w:r>
      <w:r>
        <w:fldChar w:fldCharType="separate"/>
      </w:r>
      <w:r>
        <w:t>Раздел 5. Финансовая отчетность, бухгалтерская (финансовая) отчетность эмитента</w:t>
      </w:r>
      <w:r>
        <w:tab/>
      </w:r>
      <w:r>
        <w:fldChar w:fldCharType="begin"/>
      </w:r>
      <w:r>
        <w:instrText>PAGEREF __RefHeading___142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96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"__RefHeading___143"</w:instrText>
      </w:r>
      <w:r>
        <w:fldChar w:fldCharType="separate"/>
      </w:r>
      <w:r>
        <w:t>5.11.    Финансовая отчетность эмитента</w:t>
      </w:r>
      <w:r>
        <w:tab/>
      </w:r>
      <w:r>
        <w:fldChar w:fldCharType="begin"/>
      </w:r>
      <w:r>
        <w:instrText>PAGEREF __RefHeading___143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97000000">
      <w:pPr>
        <w:pStyle w:val="Style_7"/>
        <w:tabs>
          <w:tab w:leader="dot" w:pos="9496" w:val="right"/>
        </w:tabs>
        <w:ind/>
      </w:pPr>
      <w:r>
        <w:fldChar w:fldCharType="begin"/>
      </w:r>
      <w:r>
        <w:instrText>HYPERLINK \l "__RefHeading___144"</w:instrText>
      </w:r>
      <w:r>
        <w:fldChar w:fldCharType="separate"/>
      </w:r>
      <w:r>
        <w:t>5.12.    Бухгалтерская (финансовая) отчетность</w:t>
      </w:r>
      <w:r>
        <w:tab/>
      </w:r>
      <w:r>
        <w:fldChar w:fldCharType="begin"/>
      </w:r>
      <w:r>
        <w:instrText>PAGEREF __RefHeading___144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>
      <w:r>
        <w:fldChar w:fldCharType="end"/>
      </w:r>
    </w:p>
    <w:p w14:paraId="99000000">
      <w:pPr>
        <w:rPr>
          <w:b w:val="1"/>
        </w:rPr>
      </w:pPr>
    </w:p>
    <w:p w14:paraId="9A000000">
      <w:pPr>
        <w:rPr>
          <w:b w:val="1"/>
        </w:rPr>
      </w:pPr>
    </w:p>
    <w:p w14:paraId="9B000000">
      <w:pPr>
        <w:rPr>
          <w:b w:val="1"/>
        </w:rPr>
      </w:pPr>
    </w:p>
    <w:p w14:paraId="9C000000">
      <w:pPr>
        <w:rPr>
          <w:b w:val="1"/>
        </w:rPr>
      </w:pPr>
    </w:p>
    <w:p w14:paraId="9D000000">
      <w:pPr>
        <w:rPr>
          <w:b w:val="1"/>
        </w:rPr>
      </w:pPr>
    </w:p>
    <w:p w14:paraId="9E000000">
      <w:pPr>
        <w:rPr>
          <w:b w:val="1"/>
        </w:rPr>
      </w:pPr>
    </w:p>
    <w:p w14:paraId="9F000000">
      <w:pPr>
        <w:rPr>
          <w:b w:val="1"/>
        </w:rPr>
      </w:pPr>
    </w:p>
    <w:p w14:paraId="A0000000">
      <w:pPr>
        <w:rPr>
          <w:b w:val="1"/>
        </w:rPr>
      </w:pPr>
    </w:p>
    <w:p w14:paraId="A1000000">
      <w:pPr>
        <w:rPr>
          <w:b w:val="1"/>
        </w:rPr>
      </w:pPr>
    </w:p>
    <w:p w14:paraId="A2000000">
      <w:pPr>
        <w:rPr>
          <w:b w:val="1"/>
        </w:rPr>
      </w:pPr>
    </w:p>
    <w:p w14:paraId="A3000000">
      <w:pPr>
        <w:rPr>
          <w:b w:val="1"/>
        </w:rPr>
      </w:pPr>
    </w:p>
    <w:p w14:paraId="A4000000">
      <w:pPr>
        <w:rPr>
          <w:b w:val="1"/>
        </w:rPr>
      </w:pPr>
    </w:p>
    <w:p w14:paraId="A5000000">
      <w:pPr>
        <w:rPr>
          <w:b w:val="1"/>
        </w:rPr>
      </w:pPr>
    </w:p>
    <w:p w14:paraId="A6000000">
      <w:pPr>
        <w:rPr>
          <w:b w:val="1"/>
        </w:rPr>
      </w:pPr>
    </w:p>
    <w:p w14:paraId="A7000000">
      <w:pPr>
        <w:rPr>
          <w:b w:val="1"/>
        </w:rPr>
      </w:pPr>
    </w:p>
    <w:p w14:paraId="A8000000">
      <w:pPr>
        <w:rPr>
          <w:b w:val="1"/>
        </w:rPr>
      </w:pPr>
    </w:p>
    <w:p w14:paraId="A9000000">
      <w:pPr>
        <w:rPr>
          <w:b w:val="1"/>
        </w:rPr>
      </w:pPr>
    </w:p>
    <w:p w14:paraId="AA000000">
      <w:pPr>
        <w:rPr>
          <w:b w:val="1"/>
        </w:rPr>
      </w:pPr>
    </w:p>
    <w:p w14:paraId="AB000000">
      <w:pPr>
        <w:rPr>
          <w:b w:val="1"/>
        </w:rPr>
      </w:pPr>
    </w:p>
    <w:p w14:paraId="AC000000">
      <w:pPr>
        <w:rPr>
          <w:b w:val="1"/>
        </w:rPr>
      </w:pPr>
    </w:p>
    <w:p w14:paraId="AD000000">
      <w:pPr>
        <w:rPr>
          <w:b w:val="1"/>
        </w:rPr>
      </w:pPr>
    </w:p>
    <w:p w14:paraId="AE000000">
      <w:pPr>
        <w:rPr>
          <w:b w:val="1"/>
        </w:rPr>
      </w:pPr>
    </w:p>
    <w:p w14:paraId="AF000000">
      <w:pPr>
        <w:rPr>
          <w:b w:val="1"/>
        </w:rPr>
      </w:pPr>
    </w:p>
    <w:p w14:paraId="B0000000">
      <w:pPr>
        <w:rPr>
          <w:b w:val="1"/>
        </w:rPr>
      </w:pPr>
    </w:p>
    <w:p w14:paraId="B1000000">
      <w:pPr>
        <w:rPr>
          <w:b w:val="1"/>
        </w:rPr>
      </w:pPr>
    </w:p>
    <w:p w14:paraId="B2000000">
      <w:pPr>
        <w:rPr>
          <w:b w:val="1"/>
        </w:rPr>
      </w:pPr>
    </w:p>
    <w:p w14:paraId="B3000000">
      <w:pPr>
        <w:rPr>
          <w:b w:val="1"/>
        </w:rPr>
      </w:pPr>
    </w:p>
    <w:p w14:paraId="B4000000">
      <w:pPr>
        <w:rPr>
          <w:b w:val="1"/>
        </w:rPr>
      </w:pPr>
    </w:p>
    <w:p w14:paraId="B5000000">
      <w:pPr>
        <w:rPr>
          <w:b w:val="1"/>
        </w:rPr>
      </w:pPr>
    </w:p>
    <w:p w14:paraId="B6000000">
      <w:pPr>
        <w:rPr>
          <w:b w:val="1"/>
        </w:rPr>
      </w:pPr>
    </w:p>
    <w:p w14:paraId="B7000000">
      <w:pPr>
        <w:rPr>
          <w:b w:val="1"/>
        </w:rPr>
      </w:pPr>
    </w:p>
    <w:p w14:paraId="B8000000">
      <w:pPr>
        <w:ind/>
        <w:jc w:val="center"/>
        <w:rPr>
          <w:rFonts w:ascii="Times New Roman" w:hAnsi="Times New Roman"/>
          <w:b w:val="1"/>
        </w:rPr>
      </w:pPr>
      <w:r>
        <w:rPr>
          <w:b w:val="1"/>
          <w:sz w:val="28"/>
        </w:rPr>
        <w:br w:type="page"/>
      </w:r>
    </w:p>
    <w:p w14:paraId="B9000000">
      <w:pPr>
        <w:pStyle w:val="Style_8"/>
        <w:spacing w:before="240"/>
        <w:ind/>
        <w:jc w:val="both"/>
        <w:rPr>
          <w:rFonts w:ascii="Times New Roman" w:hAnsi="Times New Roman"/>
          <w:b w:val="1"/>
          <w:sz w:val="22"/>
        </w:rPr>
      </w:pPr>
    </w:p>
    <w:p w14:paraId="BA000000"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</w:p>
    <w:p w14:paraId="BB000000">
      <w:pPr>
        <w:ind/>
        <w:jc w:val="center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Введение</w:t>
      </w:r>
    </w:p>
    <w:p w14:paraId="BC000000">
      <w:pPr>
        <w:pStyle w:val="Style_9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Информация, содержащаяся в отчете Публичного акционерного общества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Северное управление строительства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 (далее– Общество, эмитент), подлежит раскрытию на основании пункта 1 статьи 92 Федерального закона от 26.12.1995 г. №208-ФЗ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Об акционерных обществах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 (далее– Закон №208-ФЗ) и подпункта 1  пункта 4 статьи 30 Федерального закона от 22.04.1996 №39-ФЗ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О рынке ценных бумаг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(далее -Закон №39-ФЗ). </w:t>
      </w:r>
    </w:p>
    <w:p w14:paraId="BD000000">
      <w:pPr>
        <w:pStyle w:val="Style_9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Основаниями возникновения у Общества обязанности осуществлять раскрытие информации в форме отчета эмитента являются - регистрация плана приватизации, зарегистрированного в качестве проспекта эмиссии ценных бумаг, а также то, что Общество является публичным.</w:t>
      </w:r>
    </w:p>
    <w:p w14:paraId="BE000000">
      <w:pPr>
        <w:widowControl w:val="0"/>
        <w:spacing w:after="40" w:before="20"/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лиц.</w:t>
      </w:r>
    </w:p>
    <w:p w14:paraId="BF000000">
      <w:pPr>
        <w:pStyle w:val="Style_9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 (эмитента и лица, предоставляющего (предоставившего) обеспечение по облигациям эмитента),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деятельности, а также об основных рисках, связанных с его (их) деятельностью.</w:t>
      </w:r>
    </w:p>
    <w:p w14:paraId="C0000000">
      <w:pPr>
        <w:pStyle w:val="Style_9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(их) планов, вероятности наступления определенных событий и совершения определенных действий.</w:t>
      </w:r>
    </w:p>
    <w:p w14:paraId="C1000000">
      <w:pPr>
        <w:pStyle w:val="Style_9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14:paraId="C2000000">
      <w:bookmarkStart w:id="1" w:name="__RefHeading___109"/>
      <w:bookmarkEnd w:id="1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b w:val="1"/>
          <w:sz w:val="28"/>
        </w:rPr>
        <w:br w:type="page"/>
      </w:r>
      <w:r>
        <w:rPr>
          <w:rFonts w:ascii="Times New Roman" w:hAnsi="Times New Roman"/>
          <w:b w:val="1"/>
        </w:rPr>
        <w:t>Раздел I. Управленческий отчет эмитента</w:t>
      </w:r>
    </w:p>
    <w:p w14:paraId="C3000000">
      <w:bookmarkStart w:id="2" w:name="__RefHeading___110"/>
      <w:bookmarkEnd w:id="2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bookmarkStart w:id="3" w:name="P108"/>
      <w:bookmarkEnd w:id="3"/>
      <w:r>
        <w:rPr>
          <w:rFonts w:ascii="Times New Roman" w:hAnsi="Times New Roman"/>
          <w:b w:val="1"/>
        </w:rPr>
        <w:t>1.1. Общие сведения об эмитенте и его деятельности</w:t>
      </w:r>
    </w:p>
    <w:p w14:paraId="C4000000">
      <w:pPr>
        <w:spacing w:before="240"/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Полное фирменное наименование</w:t>
      </w:r>
      <w:r>
        <w:rPr>
          <w:rFonts w:ascii="Times New Roman" w:hAnsi="Times New Roman"/>
        </w:rPr>
        <w:t xml:space="preserve">: Публичное акционерное общество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,</w:t>
      </w:r>
    </w:p>
    <w:p w14:paraId="C5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Сокращенное фирменное наименование</w:t>
      </w:r>
      <w:r>
        <w:rPr>
          <w:rFonts w:ascii="Times New Roman" w:hAnsi="Times New Roman"/>
        </w:rPr>
        <w:t xml:space="preserve">: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,</w:t>
      </w:r>
    </w:p>
    <w:p w14:paraId="C6000000">
      <w:pPr>
        <w:ind w:firstLine="426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Сведения о способе и дате создания эмитента</w:t>
      </w:r>
      <w:r>
        <w:rPr>
          <w:rFonts w:ascii="Times New Roman" w:hAnsi="Times New Roman"/>
        </w:rPr>
        <w:t xml:space="preserve">: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было создано в результате приватизации путем преобразования Северного управления строительства в акционерное общество, в соответствии с Указом Президента РФ от 1 июля 1992 г. № 721,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Плана приватизации предприятий и организаций ядерно-энергетического комплекса на 1992 г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. Постановлением главы администрации г. Сосновый Бор от 19.11.1992 г. № 717 принято решение о перерегистрации государственного предприятия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строительство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в связи с реорганизацией в акционерное общество. </w:t>
      </w:r>
    </w:p>
    <w:p w14:paraId="C700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Изменения наименования эмитента</w:t>
      </w:r>
      <w:r>
        <w:rPr>
          <w:rFonts w:ascii="Times New Roman" w:hAnsi="Times New Roman"/>
        </w:rPr>
        <w:t xml:space="preserve"> в течении трех последних лет, предшествующих дате окончания отчетного периода, не было.</w:t>
      </w:r>
    </w:p>
    <w:p w14:paraId="C8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Основной государственный регистрационный номер</w:t>
      </w:r>
      <w:r>
        <w:rPr>
          <w:rFonts w:ascii="Times New Roman" w:hAnsi="Times New Roman"/>
        </w:rPr>
        <w:t xml:space="preserve"> (ОГРН) 1024701762535.</w:t>
      </w:r>
    </w:p>
    <w:p w14:paraId="C9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Идентификационный номер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налогоплательщика</w:t>
      </w:r>
      <w:r>
        <w:rPr>
          <w:rFonts w:ascii="Times New Roman" w:hAnsi="Times New Roman"/>
        </w:rPr>
        <w:t xml:space="preserve"> (ИНН) 4714000211.</w:t>
      </w:r>
    </w:p>
    <w:p w14:paraId="CA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Место нахождения</w:t>
      </w:r>
      <w:r>
        <w:rPr>
          <w:rFonts w:ascii="Times New Roman" w:hAnsi="Times New Roman"/>
        </w:rPr>
        <w:t>: 188540 Россия, Ленинградская область, г. Сосновый Бор, ул. Ленинградская, д. 7,</w:t>
      </w:r>
    </w:p>
    <w:p w14:paraId="CB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Телефон:</w:t>
      </w:r>
      <w:r>
        <w:rPr>
          <w:rFonts w:ascii="Times New Roman" w:hAnsi="Times New Roman"/>
        </w:rPr>
        <w:t xml:space="preserve"> (81369) 2-24-56,</w:t>
      </w:r>
    </w:p>
    <w:p w14:paraId="CC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Адрес электронной почты</w:t>
      </w:r>
      <w:r>
        <w:rPr>
          <w:rFonts w:ascii="Times New Roman" w:hAnsi="Times New Roman"/>
        </w:rPr>
        <w:t xml:space="preserve">: office_sus@titan2.ru, </w:t>
      </w:r>
    </w:p>
    <w:p w14:paraId="CD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 xml:space="preserve">Адрес страницы в сети интернет для осуществления функции по раскрытию </w:t>
      </w:r>
      <w:r>
        <w:rPr>
          <w:rFonts w:ascii="Times New Roman" w:hAnsi="Times New Roman"/>
        </w:rPr>
        <w:t xml:space="preserve">существенных фактов в соответствии с Федеральным законом от 22.04.1996 г. № 39-ФЗ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О рынке ценных бумаг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: http://disclosure.1prime.ru/Portal/Default.aspx?emId=4714000211,</w:t>
      </w:r>
    </w:p>
    <w:p w14:paraId="CE000000">
      <w:pPr>
        <w:spacing w:before="240"/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По вопросам получения доступа к информации для акционеров можно обращаться:</w:t>
      </w:r>
    </w:p>
    <w:p w14:paraId="CF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Адрес (адреса): 188540 Россия, Ленинградская область, г. Сосновый Бор, ул. Ленинградская 7</w:t>
      </w:r>
    </w:p>
    <w:p w14:paraId="D0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Контактные телефоны: (81369) 2-24-15</w:t>
      </w:r>
    </w:p>
    <w:p w14:paraId="D1000000">
      <w:pPr>
        <w:ind w:firstLine="426" w:left="0"/>
        <w:rPr>
          <w:rFonts w:ascii="Times New Roman" w:hAnsi="Times New Roman"/>
        </w:rPr>
      </w:pPr>
    </w:p>
    <w:p w14:paraId="D2000000">
      <w:pPr>
        <w:widowControl w:val="0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осуществляет свою</w:t>
      </w: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</w:rPr>
        <w:t>финансово-экономическую деятельность в области промышленного строительства.</w:t>
      </w:r>
    </w:p>
    <w:p w14:paraId="D3000000">
      <w:pPr>
        <w:widowControl w:val="0"/>
        <w:ind w:firstLine="720" w:left="0"/>
        <w:jc w:val="both"/>
        <w:rPr>
          <w:rFonts w:ascii="Times New Roman" w:hAnsi="Times New Roman"/>
          <w:color w:val="252525"/>
          <w:spacing w:val="3"/>
        </w:rPr>
      </w:pPr>
      <w:r>
        <w:rPr>
          <w:rFonts w:ascii="Times New Roman" w:hAnsi="Times New Roman"/>
          <w:color w:val="252525"/>
          <w:spacing w:val="3"/>
        </w:rPr>
        <w:t>Отличительными особенностями промышленного строительства от жилищного или социального являются: гораздо более длительный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влияние на окружающую среду и другие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14:paraId="D4000000">
      <w:pPr>
        <w:widowControl w:val="0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252525"/>
          <w:spacing w:val="3"/>
        </w:rPr>
        <w:t>Основным направлением деятельности ПАО СУС является строительство АЭС и иных объектов атомной отрасли.</w:t>
      </w:r>
    </w:p>
    <w:p w14:paraId="D5000000">
      <w:pPr>
        <w:ind w:firstLine="426" w:left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</w:t>
      </w:r>
    </w:p>
    <w:p w14:paraId="D6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ПАО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СУС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 осуществляет свою деятельность на территории нескольких субъектов Российской Федерации. Обособленные подразделения открыты в Красноярском крае, Калининградской, Томской и Курской, Смоленской, Новосибирской областях. </w:t>
      </w:r>
    </w:p>
    <w:p w14:paraId="D7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В 2023 году география обслуживания эмитента расширилась, появились международные направление. По заключённым договорам предоставляются услуги в </w:t>
      </w:r>
      <w:r>
        <w:rPr>
          <w:rFonts w:ascii="Times New Roman" w:hAnsi="Times New Roman"/>
          <w:sz w:val="24"/>
        </w:rPr>
        <w:t xml:space="preserve">Турецкой Республике и Арабской Республике Египет. </w:t>
      </w:r>
    </w:p>
    <w:p w14:paraId="D8000000">
      <w:pPr>
        <w:widowControl w:val="0"/>
        <w:ind w:firstLine="720" w:left="0"/>
        <w:jc w:val="both"/>
        <w:rPr>
          <w:rFonts w:ascii="Times New Roman" w:hAnsi="Times New Roman"/>
        </w:rPr>
      </w:pPr>
    </w:p>
    <w:p w14:paraId="D9000000">
      <w:pPr>
        <w:ind w:firstLine="426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Эмитент в 2023 году не осуществлял деятельность по использованию ядерных материалов и радиоактивных веществ при проведении работ по использованию атомной энергии в оборонных целях. Эмитент не относится к хозяйственным обществам, имеющим стратегическое значение для обеспечения обороны станы и безопасности государства (пп.2 </w:t>
      </w:r>
      <w:r>
        <w:rPr>
          <w:rFonts w:ascii="Times New Roman" w:hAnsi="Times New Roman"/>
        </w:rPr>
        <w:t xml:space="preserve">п.1 ст.3 Федерального закона от 29.04.2008 №57-ФЗ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О порядке осуществления иностранных инвестиций в хозяйственные общества, имеющие стратегическое значение для обеспечения обороны страны и безопасности государства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.</w:t>
      </w:r>
    </w:p>
    <w:p w14:paraId="DA00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Акционерное общество иных ограничений, связанных с участием в уставном капитале эмитента, </w:t>
      </w:r>
      <w:r>
        <w:rPr>
          <w:rFonts w:ascii="Times New Roman" w:hAnsi="Times New Roman"/>
        </w:rPr>
        <w:t>установленных  его</w:t>
      </w:r>
      <w:r>
        <w:rPr>
          <w:rFonts w:ascii="Times New Roman" w:hAnsi="Times New Roman"/>
        </w:rPr>
        <w:t xml:space="preserve"> уставом не имеет.</w:t>
      </w:r>
    </w:p>
    <w:p w14:paraId="DB000000">
      <w:bookmarkStart w:id="4" w:name="__RefHeading___111"/>
      <w:bookmarkEnd w:id="4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1.2. </w:t>
      </w:r>
      <w:bookmarkStart w:id="5" w:name="P118"/>
      <w:bookmarkEnd w:id="5"/>
      <w:r>
        <w:rPr>
          <w:rFonts w:ascii="Times New Roman" w:hAnsi="Times New Roman"/>
          <w:b w:val="1"/>
        </w:rPr>
        <w:t xml:space="preserve"> Сведения о положении эмитента в отрасли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  <w:gridCol w:w="552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C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Коды ОКВЭД</w:t>
            </w:r>
          </w:p>
        </w:tc>
        <w:tc>
          <w:tcPr>
            <w:tcW w:type="dxa" w:w="552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D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E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41.2</w:t>
            </w:r>
          </w:p>
        </w:tc>
        <w:tc>
          <w:tcPr>
            <w:tcW w:type="dxa" w:w="552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DF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Строительство жилых и нежилых зданий</w:t>
            </w:r>
          </w:p>
        </w:tc>
      </w:tr>
    </w:tbl>
    <w:p w14:paraId="E0000000">
      <w:pPr>
        <w:widowControl w:val="0"/>
        <w:ind/>
        <w:jc w:val="center"/>
        <w:rPr>
          <w:rFonts w:ascii="Times New Roman" w:hAnsi="Times New Roman"/>
          <w:sz w:val="22"/>
        </w:rPr>
      </w:pP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1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Коды ОКВЭД (дополнительные)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2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08.12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3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18.1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4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35.12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5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35.30.2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6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35.30.5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7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8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49.3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9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53.20.1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A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55.90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B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61.10.1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C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68.20.2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D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69.20.2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E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71.20.9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F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77.3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0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85.42.9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1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86.90.4</w:t>
            </w:r>
          </w:p>
        </w:tc>
      </w:tr>
    </w:tbl>
    <w:p w14:paraId="F2000000">
      <w:pPr>
        <w:pStyle w:val="Style_10"/>
        <w:ind w:firstLine="720" w:left="0"/>
        <w:jc w:val="both"/>
        <w:rPr>
          <w:rFonts w:ascii="Times New Roman" w:hAnsi="Times New Roman"/>
          <w:highlight w:val="cyan"/>
        </w:rPr>
      </w:pPr>
    </w:p>
    <w:p w14:paraId="F3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ПАО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Северное управление строительства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 осуществляет свою финансово-экономическую деятельность в области промышленного строительства.</w:t>
      </w:r>
    </w:p>
    <w:p w14:paraId="F4000000">
      <w:pPr>
        <w:pStyle w:val="Style_10"/>
        <w:ind w:firstLine="720" w:left="0"/>
        <w:jc w:val="both"/>
        <w:rPr>
          <w:rFonts w:ascii="Times New Roman" w:hAnsi="Times New Roman"/>
          <w:color w:val="252525"/>
          <w:spacing w:val="3"/>
          <w:sz w:val="24"/>
          <w:highlight w:val="white"/>
        </w:rPr>
      </w:pPr>
      <w:r>
        <w:rPr>
          <w:rFonts w:ascii="Times New Roman" w:hAnsi="Times New Roman"/>
          <w:color w:val="252525"/>
          <w:spacing w:val="3"/>
          <w:sz w:val="24"/>
          <w:highlight w:val="white"/>
        </w:rPr>
        <w:t>Отличительными особенностями промышленного строительства от жилищного или социального являются: гораздо более длительный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влияние на окружающую среду и другие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14:paraId="F500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color w:val="252525"/>
          <w:spacing w:val="3"/>
          <w:sz w:val="24"/>
          <w:highlight w:val="white"/>
        </w:rPr>
        <w:t>Основным направлением деятельности ПАО «СУС» является строительство АЭС и иных объектов атомной отрасли.</w:t>
      </w:r>
    </w:p>
    <w:p w14:paraId="F6000000">
      <w:pPr>
        <w:ind w:firstLine="720" w:left="0"/>
        <w:jc w:val="both"/>
        <w:rPr>
          <w:rFonts w:ascii="Times New Roman" w:hAnsi="Times New Roman"/>
          <w:highlight w:val="white"/>
        </w:rPr>
      </w:pPr>
      <w:r>
        <w:rPr>
          <w:rFonts w:ascii="Times New Roman" w:hAnsi="Times New Roman"/>
        </w:rPr>
        <w:t xml:space="preserve">На сегодняшний день Публичное акционерное общество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о</w:t>
      </w:r>
      <w:r>
        <w:rPr>
          <w:rFonts w:ascii="Times New Roman" w:hAnsi="Times New Roman"/>
          <w:highlight w:val="white"/>
        </w:rPr>
        <w:t>существляет полный комплекс услуг по реализации объектов строительства – от проведения инженерных изысканий и составления проектной документации, до благоустройства прилегающей территории и сдачи объекта в эксплуатацию государственным органам.</w:t>
      </w:r>
    </w:p>
    <w:p w14:paraId="F7000000">
      <w:pPr>
        <w:ind w:firstLine="720" w:left="0"/>
        <w:jc w:val="both"/>
        <w:rPr>
          <w:rFonts w:ascii="Times New Roman" w:hAnsi="Times New Roman"/>
          <w:highlight w:val="white"/>
        </w:rPr>
      </w:pPr>
      <w:r>
        <w:rPr>
          <w:rFonts w:ascii="Times New Roman" w:hAnsi="Times New Roman"/>
          <w:highlight w:val="white"/>
        </w:rPr>
        <w:t>Проводит экспертизу и обследования зданий и сооружений любого назначения.</w:t>
      </w:r>
    </w:p>
    <w:p w14:paraId="F8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highlight w:val="white"/>
        </w:rPr>
        <w:t>Значительный вклад при определении качества и надежности материалов, в процессе строительства, вносит аттестованный испытательный центр строительных материалов ПАО СУС (</w:t>
      </w:r>
      <w:r>
        <w:rPr>
          <w:rFonts w:ascii="Times New Roman" w:hAnsi="Times New Roman"/>
          <w:highlight w:val="white"/>
        </w:rPr>
        <w:t>ИЦСМиК</w:t>
      </w:r>
      <w:r>
        <w:rPr>
          <w:rFonts w:ascii="Times New Roman" w:hAnsi="Times New Roman"/>
          <w:highlight w:val="white"/>
        </w:rPr>
        <w:t xml:space="preserve">) – строительная лаборатория, имеющая свидетельство </w:t>
      </w:r>
      <w:r>
        <w:rPr>
          <w:rFonts w:ascii="Times New Roman" w:hAnsi="Times New Roman"/>
          <w:highlight w:val="white"/>
        </w:rPr>
        <w:t>Росаккредитации</w:t>
      </w:r>
      <w:r>
        <w:rPr>
          <w:rFonts w:ascii="Times New Roman" w:hAnsi="Times New Roman"/>
          <w:highlight w:val="white"/>
        </w:rPr>
        <w:t>.</w:t>
      </w:r>
    </w:p>
    <w:p w14:paraId="F900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highlight w:val="white"/>
        </w:rPr>
        <w:t xml:space="preserve">Испытания строительных материалов проводятся по основным параметрам в соответствии с требованиями ГОСТ, СНиП и иных нормативных документов: цемент – на активность, сроки схватывания, тонкость помола, тесто нормальной густоты; песок на плотность, объемный вес, </w:t>
      </w:r>
      <w:r>
        <w:rPr>
          <w:rFonts w:ascii="Times New Roman" w:hAnsi="Times New Roman"/>
          <w:highlight w:val="white"/>
        </w:rPr>
        <w:t>пустотность</w:t>
      </w:r>
      <w:r>
        <w:rPr>
          <w:rFonts w:ascii="Times New Roman" w:hAnsi="Times New Roman"/>
          <w:highlight w:val="white"/>
        </w:rPr>
        <w:t xml:space="preserve">, загрязнение; щебень — на плотность, объёмный вес, </w:t>
      </w:r>
      <w:r>
        <w:rPr>
          <w:rFonts w:ascii="Times New Roman" w:hAnsi="Times New Roman"/>
          <w:highlight w:val="white"/>
        </w:rPr>
        <w:t>пустотность</w:t>
      </w:r>
      <w:r>
        <w:rPr>
          <w:rFonts w:ascii="Times New Roman" w:hAnsi="Times New Roman"/>
          <w:highlight w:val="white"/>
        </w:rPr>
        <w:t>, гранулометрический состав.</w:t>
      </w:r>
    </w:p>
    <w:p w14:paraId="FA000000">
      <w:pPr>
        <w:pStyle w:val="Style_10"/>
        <w:ind w:firstLine="720" w:left="0"/>
        <w:jc w:val="both"/>
        <w:rPr>
          <w:rFonts w:ascii="Times New Roman" w:hAnsi="Times New Roman"/>
          <w:sz w:val="24"/>
          <w:highlight w:val="white"/>
        </w:rPr>
      </w:pPr>
      <w:r>
        <w:rPr>
          <w:rFonts w:ascii="Times New Roman" w:hAnsi="Times New Roman"/>
          <w:sz w:val="24"/>
          <w:highlight w:val="white"/>
        </w:rPr>
        <w:t>В 2023 году начался подготовительный период для будущих третьего и четвертого блоков Ленинградской АЭС-2. Проводятся инженерные изыскания на месте будущих энергоблоков №1 и №2 на Смоленской АЭС-2 и др.</w:t>
      </w:r>
    </w:p>
    <w:p w14:paraId="FB000000">
      <w:pPr>
        <w:pStyle w:val="Style_10"/>
        <w:ind w:firstLine="720" w:left="0"/>
        <w:jc w:val="both"/>
        <w:rPr>
          <w:rFonts w:ascii="Times New Roman" w:hAnsi="Times New Roman"/>
          <w:sz w:val="24"/>
          <w:highlight w:val="white"/>
        </w:rPr>
      </w:pPr>
      <w:r>
        <w:rPr>
          <w:rFonts w:ascii="Times New Roman" w:hAnsi="Times New Roman"/>
          <w:sz w:val="24"/>
          <w:highlight w:val="white"/>
        </w:rPr>
        <w:t>Рассматривая тенденции строительной отрасли РФ в целом за 2023 год, можно отметить следующее.</w:t>
      </w:r>
    </w:p>
    <w:tbl>
      <w:tblPr>
        <w:tblStyle w:val="Style_2"/>
        <w:tblW w:type="auto" w:w="0"/>
        <w:tblLayout w:type="fixed"/>
        <w:tblCellMar>
          <w:top w:type="dxa" w:w="15"/>
          <w:left w:type="dxa" w:w="15"/>
          <w:bottom w:type="dxa" w:w="15"/>
          <w:right w:type="dxa" w:w="15"/>
        </w:tblCellMar>
      </w:tblPr>
      <w:tblGrid>
        <w:gridCol w:w="1200"/>
        <w:gridCol w:w="3716"/>
        <w:gridCol w:w="3855"/>
      </w:tblGrid>
      <w:tr>
        <w:trPr>
          <w:trHeight w:hRule="atLeast" w:val="772"/>
        </w:trPr>
        <w:tc>
          <w:tcPr>
            <w:tcW w:type="dxa" w:w="8771"/>
            <w:gridSpan w:val="3"/>
            <w:tcBorders>
              <w:top w:color="EFEFEF" w:sz="6" w:val="single"/>
              <w:left w:color="EFEFEF" w:sz="6" w:val="single"/>
              <w:bottom w:color="EFEFEF" w:sz="6" w:val="single"/>
              <w:right w:color="EFEFEF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FC000000">
            <w:pPr>
              <w:ind w:firstLine="720" w:left="0"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 xml:space="preserve">Объем работ, выполненных по виду экономической деятельности </w:t>
            </w:r>
            <w:r>
              <w:rPr>
                <w:rFonts w:ascii="Times New Roman" w:hAnsi="Times New Roman"/>
                <w:b w:val="1"/>
              </w:rPr>
              <w:t>«</w:t>
            </w:r>
            <w:r>
              <w:rPr>
                <w:rFonts w:ascii="Times New Roman" w:hAnsi="Times New Roman"/>
                <w:b w:val="1"/>
              </w:rPr>
              <w:t>Строительство</w:t>
            </w:r>
            <w:r>
              <w:rPr>
                <w:rFonts w:ascii="Times New Roman" w:hAnsi="Times New Roman"/>
                <w:b w:val="1"/>
              </w:rPr>
              <w:t>»</w:t>
            </w:r>
            <w:r>
              <w:rPr>
                <w:rFonts w:ascii="Times New Roman" w:hAnsi="Times New Roman"/>
                <w:b w:val="1"/>
              </w:rPr>
              <w:t xml:space="preserve">  в Российской Федерации</w:t>
            </w:r>
            <w:r>
              <w:rPr>
                <w:rFonts w:ascii="Times New Roman" w:hAnsi="Times New Roman"/>
                <w:b w:val="1"/>
              </w:rPr>
              <w:t>»</w:t>
            </w:r>
          </w:p>
        </w:tc>
      </w:tr>
      <w:tr>
        <w:trPr>
          <w:trHeight w:hRule="atLeast" w:val="263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</w:tcPr>
          <w:p w14:paraId="FD000000">
            <w:pPr>
              <w:ind/>
              <w:jc w:val="both"/>
              <w:rPr>
                <w:rFonts w:ascii="Times New Roman" w:hAnsi="Times New Roman"/>
              </w:rPr>
            </w:pP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EFEFEF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FE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Млрд. </w:t>
            </w:r>
            <w:r>
              <w:rPr>
                <w:rFonts w:ascii="Times New Roman" w:hAnsi="Times New Roman"/>
              </w:rPr>
              <w:t>руб.,в</w:t>
            </w:r>
            <w:r>
              <w:rPr>
                <w:rFonts w:ascii="Times New Roman" w:hAnsi="Times New Roman"/>
              </w:rPr>
              <w:t xml:space="preserve"> фактически действовавших ценах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FF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процентах, в сопоставимых ценах к предыдущему году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0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2015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1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7 ,1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2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101,5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3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2016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4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7,2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5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102,9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6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2017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7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7,6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8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105,08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9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2018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A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8,5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B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111,75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C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D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9,1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E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107,81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0F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0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9,7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1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106,07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2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3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11,1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4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114,06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5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6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12,3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7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116,46</w:t>
            </w:r>
          </w:p>
        </w:tc>
      </w:tr>
      <w:tr>
        <w:trPr>
          <w:trHeight w:hRule="atLeast" w:val="252"/>
        </w:trPr>
        <w:tc>
          <w:tcPr>
            <w:tcW w:type="dxa" w:w="1200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8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</w:p>
        </w:tc>
        <w:tc>
          <w:tcPr>
            <w:tcW w:type="dxa" w:w="371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9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15,1</w:t>
            </w:r>
          </w:p>
        </w:tc>
        <w:tc>
          <w:tcPr>
            <w:tcW w:type="dxa" w:w="3855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shd w:fill="FFFFFF" w:val="clear"/>
            <w:tcMar>
              <w:top w:type="dxa" w:w="15"/>
              <w:left w:type="dxa" w:w="15"/>
              <w:bottom w:type="dxa" w:w="15"/>
              <w:right w:type="dxa" w:w="15"/>
            </w:tcMar>
            <w:vAlign w:val="center"/>
          </w:tcPr>
          <w:p w14:paraId="1A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122,7</w:t>
            </w:r>
          </w:p>
        </w:tc>
      </w:tr>
    </w:tbl>
    <w:p w14:paraId="1B010000">
      <w:pPr>
        <w:pStyle w:val="Style_11"/>
        <w:ind w:firstLine="720" w:left="0"/>
        <w:jc w:val="both"/>
        <w:rPr>
          <w:rFonts w:ascii="Times New Roman" w:hAnsi="Times New Roman"/>
          <w:sz w:val="22"/>
        </w:rPr>
      </w:pPr>
    </w:p>
    <w:p w14:paraId="1C010000">
      <w:pPr>
        <w:ind w:firstLine="720" w:left="0"/>
        <w:jc w:val="both"/>
        <w:rPr>
          <w:rFonts w:ascii="Times New Roman" w:hAnsi="Times New Roman"/>
          <w:color w:val="1C1C1C"/>
          <w:shd w:fill="F6F6F6" w:val="clear"/>
        </w:rPr>
      </w:pPr>
      <w:r>
        <w:rPr>
          <w:rFonts w:ascii="Times New Roman" w:hAnsi="Times New Roman"/>
          <w:color w:val="1C1C1C"/>
          <w:shd w:themeFill="background1" w:val="clear"/>
        </w:rPr>
        <w:t>Согласно данным Росстата, объем строительных работ в России в 2023 году составил 15,1 трлн руб., увеличившись в сопоставимых ценах на 7,9% по отношению к 2022му.</w:t>
      </w:r>
    </w:p>
    <w:p w14:paraId="1D010000">
      <w:pPr>
        <w:ind w:firstLine="720" w:left="0"/>
        <w:jc w:val="both"/>
        <w:rPr>
          <w:rFonts w:ascii="Times New Roman" w:hAnsi="Times New Roman"/>
          <w:color w:val="1C1C1C"/>
          <w:shd w:fill="F6F6F6" w:val="clear"/>
        </w:rPr>
      </w:pPr>
      <w:r>
        <w:rPr>
          <w:rFonts w:ascii="Times New Roman" w:hAnsi="Times New Roman"/>
        </w:rPr>
        <w:t xml:space="preserve">Объем строительных работ в сопоставимых ценах вырос на 7,9% к 2022му, а в текущих – на 15,3%. Эти данные не учитывают статистику для новых территорий, так как Росстат </w:t>
      </w:r>
      <w:r>
        <w:rPr>
          <w:rFonts w:ascii="Times New Roman" w:hAnsi="Times New Roman"/>
        </w:rPr>
        <w:t>попрежнему</w:t>
      </w:r>
      <w:r>
        <w:rPr>
          <w:rFonts w:ascii="Times New Roman" w:hAnsi="Times New Roman"/>
        </w:rPr>
        <w:t xml:space="preserve"> не публикует информацию по ним. Для сравнения, в 2022 году увеличение объемов строительства в России было на уровне 7,5% в сопоставимых ценах, а общий объем строительных работ достиг 13,1 </w:t>
      </w:r>
      <w:r>
        <w:rPr>
          <w:rFonts w:ascii="Times New Roman" w:hAnsi="Times New Roman"/>
        </w:rPr>
        <w:t>трлн.руб</w:t>
      </w:r>
      <w:r>
        <w:rPr>
          <w:rFonts w:ascii="Times New Roman" w:hAnsi="Times New Roman"/>
        </w:rPr>
        <w:t>.</w:t>
      </w:r>
    </w:p>
    <w:p w14:paraId="1E01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 основным причинам, оказавшим влияние на рост объемов строительства, можно</w:t>
      </w:r>
      <w:r>
        <w:rPr>
          <w:rFonts w:ascii="Times New Roman" w:hAnsi="Times New Roman"/>
        </w:rPr>
        <w:t xml:space="preserve"> отнести:</w:t>
      </w:r>
    </w:p>
    <w:p w14:paraId="1F010000">
      <w:pPr>
        <w:numPr>
          <w:ilvl w:val="0"/>
          <w:numId w:val="6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присоединение новых территорий и увеличение инвестиций со стороны госкомпаний и коммерческих заказчиков, работающих в рамках законодательства о закупках;</w:t>
      </w:r>
    </w:p>
    <w:p w14:paraId="20010000">
      <w:pPr>
        <w:numPr>
          <w:ilvl w:val="0"/>
          <w:numId w:val="6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устойчивость экономики РФ к внешнему давлению;</w:t>
      </w:r>
    </w:p>
    <w:p w14:paraId="21010000">
      <w:pPr>
        <w:numPr>
          <w:ilvl w:val="0"/>
          <w:numId w:val="6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компетентность Минфина и ЦБ, что облегчило доступность к </w:t>
      </w:r>
      <w:r>
        <w:rPr>
          <w:rFonts w:ascii="Times New Roman" w:hAnsi="Times New Roman"/>
        </w:rPr>
        <w:t>финресурсам</w:t>
      </w:r>
      <w:r>
        <w:rPr>
          <w:rFonts w:ascii="Times New Roman" w:hAnsi="Times New Roman"/>
        </w:rPr>
        <w:t xml:space="preserve"> (кредиты для МСП) при растущем спросе и относительно невысокой инфляции;</w:t>
      </w:r>
    </w:p>
    <w:p w14:paraId="22010000">
      <w:pPr>
        <w:numPr>
          <w:ilvl w:val="0"/>
          <w:numId w:val="6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переход к отечественной продукции, снижение </w:t>
      </w:r>
      <w:r>
        <w:rPr>
          <w:rFonts w:ascii="Times New Roman" w:hAnsi="Times New Roman"/>
        </w:rPr>
        <w:t>импортозависимости</w:t>
      </w:r>
      <w:r>
        <w:rPr>
          <w:rFonts w:ascii="Times New Roman" w:hAnsi="Times New Roman"/>
        </w:rPr>
        <w:t xml:space="preserve"> (не превышает 4% в строительстве);</w:t>
      </w:r>
    </w:p>
    <w:p w14:paraId="23010000">
      <w:pPr>
        <w:numPr>
          <w:ilvl w:val="0"/>
          <w:numId w:val="6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изменение системы ценообразования. Согласно новому ресурсно-индексному методу, объекты будут возводиться не по устаревшим нормам, а исходя из реальной, рыночной стоимости двух позиций: стройматериалов и услуг рабочих.</w:t>
      </w:r>
    </w:p>
    <w:p w14:paraId="24010000">
      <w:pPr>
        <w:ind w:firstLine="720" w:left="0"/>
        <w:jc w:val="both"/>
        <w:rPr>
          <w:rFonts w:ascii="Times New Roman" w:hAnsi="Times New Roman"/>
        </w:rPr>
      </w:pPr>
      <w:bookmarkStart w:id="6" w:name="P126"/>
      <w:bookmarkEnd w:id="6"/>
      <w:r>
        <w:rPr>
          <w:rFonts w:ascii="Times New Roman" w:hAnsi="Times New Roman"/>
          <w:color w:val="000000"/>
        </w:rPr>
        <w:t>ПАО СУС является д</w:t>
      </w:r>
      <w:r>
        <w:rPr>
          <w:rFonts w:ascii="Times New Roman" w:hAnsi="Times New Roman"/>
          <w:color w:val="000000"/>
        </w:rPr>
        <w:t xml:space="preserve">очерней организацией Холдинга </w:t>
      </w:r>
      <w:r>
        <w:rPr>
          <w:rFonts w:ascii="Times New Roman" w:hAnsi="Times New Roman"/>
          <w:color w:val="000000"/>
        </w:rPr>
        <w:t>«</w:t>
      </w:r>
      <w:r>
        <w:rPr>
          <w:rFonts w:ascii="Times New Roman" w:hAnsi="Times New Roman"/>
          <w:color w:val="000000"/>
        </w:rPr>
        <w:t>ТИТАН -2</w:t>
      </w:r>
      <w:r>
        <w:rPr>
          <w:rFonts w:ascii="Times New Roman" w:hAnsi="Times New Roman"/>
          <w:color w:val="000000"/>
        </w:rPr>
        <w:t>.</w:t>
      </w:r>
    </w:p>
    <w:p w14:paraId="25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 xml:space="preserve">Холдинг </w:t>
      </w:r>
      <w:r>
        <w:rPr>
          <w:rFonts w:ascii="Times New Roman" w:hAnsi="Times New Roman"/>
          <w:color w:val="000000"/>
          <w:spacing w:val="11"/>
        </w:rPr>
        <w:t>«</w:t>
      </w:r>
      <w:r>
        <w:rPr>
          <w:rFonts w:ascii="Times New Roman" w:hAnsi="Times New Roman"/>
          <w:color w:val="000000"/>
          <w:spacing w:val="11"/>
        </w:rPr>
        <w:t>ТИТАН-2</w:t>
      </w:r>
      <w:r>
        <w:rPr>
          <w:rFonts w:ascii="Times New Roman" w:hAnsi="Times New Roman"/>
          <w:color w:val="000000"/>
          <w:spacing w:val="11"/>
        </w:rPr>
        <w:t>»</w:t>
      </w:r>
      <w:r>
        <w:rPr>
          <w:rFonts w:ascii="Times New Roman" w:hAnsi="Times New Roman"/>
          <w:color w:val="000000"/>
          <w:spacing w:val="11"/>
        </w:rPr>
        <w:t xml:space="preserve"> </w:t>
      </w:r>
      <w:r>
        <w:rPr>
          <w:rFonts w:ascii="Times New Roman" w:hAnsi="Times New Roman"/>
          <w:color w:val="000000"/>
          <w:spacing w:val="11"/>
        </w:rPr>
        <w:t>- одна из самых крупных и динамично развивающихся строительных компаний в России.</w:t>
      </w:r>
    </w:p>
    <w:p w14:paraId="26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>Холдинг объединяет восемь основных организаций, которые ведут сооружение объектов ядерной и тепловой энергетики, нефтегазовой и химической промышленности. Специалисты компании работают над сооружением аэродромов, причалов, жилых комплексов, дорог, а также социально-значимых объектов.</w:t>
      </w:r>
    </w:p>
    <w:p w14:paraId="27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 xml:space="preserve"> Акционерами </w:t>
      </w:r>
      <w:r>
        <w:rPr>
          <w:rFonts w:ascii="Times New Roman" w:hAnsi="Times New Roman"/>
          <w:color w:val="000000"/>
          <w:spacing w:val="11"/>
        </w:rPr>
        <w:t>Холдинга «ТИТАН-2»</w:t>
      </w:r>
      <w:r>
        <w:rPr>
          <w:rFonts w:ascii="Times New Roman" w:hAnsi="Times New Roman"/>
          <w:color w:val="000000"/>
          <w:spacing w:val="11"/>
        </w:rPr>
        <w:t xml:space="preserve"> являются АО </w:t>
      </w:r>
      <w:r>
        <w:rPr>
          <w:rFonts w:ascii="Times New Roman" w:hAnsi="Times New Roman"/>
          <w:color w:val="000000"/>
          <w:spacing w:val="11"/>
        </w:rPr>
        <w:t>«</w:t>
      </w:r>
      <w:r>
        <w:rPr>
          <w:rFonts w:ascii="Times New Roman" w:hAnsi="Times New Roman"/>
          <w:color w:val="000000"/>
          <w:spacing w:val="11"/>
        </w:rPr>
        <w:t>ТИТАН-2</w:t>
      </w:r>
      <w:r>
        <w:rPr>
          <w:rFonts w:ascii="Times New Roman" w:hAnsi="Times New Roman"/>
          <w:color w:val="000000"/>
          <w:spacing w:val="11"/>
        </w:rPr>
        <w:t>»</w:t>
      </w:r>
      <w:r>
        <w:rPr>
          <w:rFonts w:ascii="Times New Roman" w:hAnsi="Times New Roman"/>
          <w:color w:val="000000"/>
          <w:spacing w:val="11"/>
        </w:rPr>
        <w:t xml:space="preserve"> и АО </w:t>
      </w:r>
      <w:r>
        <w:rPr>
          <w:rFonts w:ascii="Times New Roman" w:hAnsi="Times New Roman"/>
          <w:color w:val="000000"/>
          <w:spacing w:val="11"/>
        </w:rPr>
        <w:t>«</w:t>
      </w:r>
      <w:r>
        <w:rPr>
          <w:rFonts w:ascii="Times New Roman" w:hAnsi="Times New Roman"/>
          <w:color w:val="000000"/>
          <w:spacing w:val="11"/>
        </w:rPr>
        <w:t>Концерн Росэнергоатом</w:t>
      </w:r>
      <w:r>
        <w:rPr>
          <w:rFonts w:ascii="Times New Roman" w:hAnsi="Times New Roman"/>
          <w:color w:val="000000"/>
          <w:spacing w:val="11"/>
        </w:rPr>
        <w:t>»</w:t>
      </w:r>
      <w:r>
        <w:rPr>
          <w:rFonts w:ascii="Times New Roman" w:hAnsi="Times New Roman"/>
          <w:color w:val="000000"/>
          <w:spacing w:val="11"/>
        </w:rPr>
        <w:t>.</w:t>
      </w:r>
    </w:p>
    <w:p w14:paraId="28010000">
      <w:pPr>
        <w:ind w:firstLine="720" w:left="0"/>
        <w:jc w:val="both"/>
        <w:rPr>
          <w:rFonts w:ascii="Times New Roman" w:hAnsi="Times New Roman"/>
          <w:color w:val="000000"/>
          <w:spacing w:val="4"/>
        </w:rPr>
      </w:pPr>
      <w:r>
        <w:rPr>
          <w:rFonts w:ascii="Times New Roman" w:hAnsi="Times New Roman"/>
          <w:color w:val="000000"/>
          <w:spacing w:val="11"/>
        </w:rPr>
        <w:t xml:space="preserve">На протяжении последнего десятилетия, Холдинг </w:t>
      </w:r>
      <w:r>
        <w:rPr>
          <w:rFonts w:ascii="Times New Roman" w:hAnsi="Times New Roman"/>
          <w:color w:val="000000"/>
          <w:spacing w:val="11"/>
        </w:rPr>
        <w:t>«</w:t>
      </w:r>
      <w:r>
        <w:rPr>
          <w:rFonts w:ascii="Times New Roman" w:hAnsi="Times New Roman"/>
          <w:color w:val="000000"/>
          <w:spacing w:val="11"/>
        </w:rPr>
        <w:t>ТИТАН-2</w:t>
      </w:r>
      <w:r>
        <w:rPr>
          <w:rFonts w:ascii="Times New Roman" w:hAnsi="Times New Roman"/>
          <w:color w:val="000000"/>
          <w:spacing w:val="11"/>
        </w:rPr>
        <w:t>»</w:t>
      </w:r>
      <w:r>
        <w:rPr>
          <w:rFonts w:ascii="Times New Roman" w:hAnsi="Times New Roman"/>
          <w:color w:val="000000"/>
          <w:spacing w:val="11"/>
        </w:rPr>
        <w:t xml:space="preserve"> является стратегическим партнером Госкорпорации </w:t>
      </w:r>
      <w:r>
        <w:rPr>
          <w:rFonts w:ascii="Times New Roman" w:hAnsi="Times New Roman"/>
          <w:color w:val="000000"/>
          <w:spacing w:val="11"/>
        </w:rPr>
        <w:t>«</w:t>
      </w:r>
      <w:r>
        <w:rPr>
          <w:rFonts w:ascii="Times New Roman" w:hAnsi="Times New Roman"/>
          <w:color w:val="000000"/>
          <w:spacing w:val="11"/>
        </w:rPr>
        <w:t>Росатом</w:t>
      </w:r>
      <w:r>
        <w:rPr>
          <w:rFonts w:ascii="Times New Roman" w:hAnsi="Times New Roman"/>
          <w:color w:val="000000"/>
          <w:spacing w:val="11"/>
        </w:rPr>
        <w:t>»</w:t>
      </w:r>
      <w:r>
        <w:rPr>
          <w:rFonts w:ascii="Times New Roman" w:hAnsi="Times New Roman"/>
          <w:color w:val="000000"/>
          <w:spacing w:val="11"/>
        </w:rPr>
        <w:t>, возводит различные объекты промышленного и социального назначения, выполняет работы на действующих и строящихся АЭС.</w:t>
      </w:r>
      <w:r>
        <w:rPr>
          <w:rFonts w:ascii="Times New Roman" w:hAnsi="Times New Roman"/>
          <w:color w:val="000000"/>
          <w:spacing w:val="4"/>
        </w:rPr>
        <w:t xml:space="preserve"> </w:t>
      </w:r>
    </w:p>
    <w:p w14:paraId="29010000">
      <w:pPr>
        <w:ind w:firstLine="720" w:left="0"/>
        <w:jc w:val="both"/>
        <w:rPr>
          <w:rFonts w:ascii="Times New Roman" w:hAnsi="Times New Roman"/>
          <w:color w:val="000000"/>
          <w:spacing w:val="4"/>
        </w:rPr>
      </w:pPr>
      <w:r>
        <w:rPr>
          <w:rFonts w:ascii="Times New Roman" w:hAnsi="Times New Roman"/>
          <w:color w:val="000000"/>
          <w:spacing w:val="4"/>
        </w:rPr>
        <w:t xml:space="preserve">Холдинг </w:t>
      </w:r>
      <w:r>
        <w:rPr>
          <w:rFonts w:ascii="Times New Roman" w:hAnsi="Times New Roman"/>
          <w:color w:val="000000"/>
          <w:spacing w:val="4"/>
        </w:rPr>
        <w:t>«</w:t>
      </w:r>
      <w:r>
        <w:rPr>
          <w:rFonts w:ascii="Times New Roman" w:hAnsi="Times New Roman"/>
          <w:color w:val="000000"/>
          <w:spacing w:val="4"/>
        </w:rPr>
        <w:t>ТИТАН-2</w:t>
      </w:r>
      <w:r>
        <w:rPr>
          <w:rFonts w:ascii="Times New Roman" w:hAnsi="Times New Roman"/>
          <w:color w:val="000000"/>
          <w:spacing w:val="4"/>
        </w:rPr>
        <w:t>»</w:t>
      </w:r>
      <w:r>
        <w:rPr>
          <w:rFonts w:ascii="Times New Roman" w:hAnsi="Times New Roman"/>
          <w:color w:val="000000"/>
          <w:spacing w:val="4"/>
        </w:rPr>
        <w:t xml:space="preserve"> выступает генеральным подрядчиком на сооружении новых энергоблоков Ленинградской атомной станции. Организациями холдинга осуществляются все общестроительные, монтажные и электромонтажные работы на стройплощадке. Холдинг участвует в строительстве АЭС </w:t>
      </w:r>
      <w:r>
        <w:rPr>
          <w:rFonts w:ascii="Times New Roman" w:hAnsi="Times New Roman"/>
          <w:color w:val="000000"/>
          <w:spacing w:val="4"/>
        </w:rPr>
        <w:t>«</w:t>
      </w:r>
      <w:r>
        <w:rPr>
          <w:rFonts w:ascii="Times New Roman" w:hAnsi="Times New Roman"/>
          <w:color w:val="000000"/>
          <w:spacing w:val="4"/>
        </w:rPr>
        <w:t>Аккую</w:t>
      </w:r>
      <w:r>
        <w:rPr>
          <w:rFonts w:ascii="Times New Roman" w:hAnsi="Times New Roman"/>
          <w:color w:val="000000"/>
          <w:spacing w:val="4"/>
        </w:rPr>
        <w:t>»</w:t>
      </w:r>
      <w:r>
        <w:rPr>
          <w:rFonts w:ascii="Times New Roman" w:hAnsi="Times New Roman"/>
          <w:color w:val="000000"/>
          <w:spacing w:val="4"/>
        </w:rPr>
        <w:t xml:space="preserve"> в Турции, АЭС </w:t>
      </w:r>
      <w:r>
        <w:rPr>
          <w:rFonts w:ascii="Times New Roman" w:hAnsi="Times New Roman"/>
          <w:color w:val="000000"/>
          <w:spacing w:val="4"/>
        </w:rPr>
        <w:t>«</w:t>
      </w:r>
      <w:r>
        <w:rPr>
          <w:rFonts w:ascii="Times New Roman" w:hAnsi="Times New Roman"/>
          <w:color w:val="000000"/>
          <w:spacing w:val="4"/>
        </w:rPr>
        <w:t>Пакш-2</w:t>
      </w:r>
      <w:r>
        <w:rPr>
          <w:rFonts w:ascii="Times New Roman" w:hAnsi="Times New Roman"/>
          <w:color w:val="000000"/>
          <w:spacing w:val="4"/>
        </w:rPr>
        <w:t>»</w:t>
      </w:r>
      <w:r>
        <w:rPr>
          <w:rFonts w:ascii="Times New Roman" w:hAnsi="Times New Roman"/>
          <w:color w:val="000000"/>
          <w:spacing w:val="4"/>
        </w:rPr>
        <w:t xml:space="preserve"> в Венгрии и АЭС </w:t>
      </w:r>
      <w:r>
        <w:rPr>
          <w:rFonts w:ascii="Times New Roman" w:hAnsi="Times New Roman"/>
          <w:color w:val="000000"/>
          <w:spacing w:val="4"/>
        </w:rPr>
        <w:t>«</w:t>
      </w:r>
      <w:r>
        <w:rPr>
          <w:rFonts w:ascii="Times New Roman" w:hAnsi="Times New Roman"/>
          <w:color w:val="000000"/>
          <w:spacing w:val="4"/>
        </w:rPr>
        <w:t>Эль-</w:t>
      </w:r>
      <w:r>
        <w:rPr>
          <w:rFonts w:ascii="Times New Roman" w:hAnsi="Times New Roman"/>
          <w:color w:val="000000"/>
          <w:spacing w:val="4"/>
        </w:rPr>
        <w:t>Дабаа</w:t>
      </w:r>
      <w:r>
        <w:rPr>
          <w:rFonts w:ascii="Times New Roman" w:hAnsi="Times New Roman"/>
          <w:color w:val="000000"/>
          <w:spacing w:val="4"/>
        </w:rPr>
        <w:t>»</w:t>
      </w:r>
      <w:r>
        <w:rPr>
          <w:rFonts w:ascii="Times New Roman" w:hAnsi="Times New Roman"/>
          <w:color w:val="000000"/>
          <w:spacing w:val="4"/>
        </w:rPr>
        <w:t xml:space="preserve"> в Египте.</w:t>
      </w:r>
    </w:p>
    <w:p w14:paraId="2A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4"/>
        </w:rPr>
        <w:t xml:space="preserve">В настоящее время, </w:t>
      </w:r>
      <w:r>
        <w:rPr>
          <w:rFonts w:ascii="Times New Roman" w:hAnsi="Times New Roman"/>
          <w:color w:val="000000"/>
          <w:spacing w:val="4"/>
        </w:rPr>
        <w:t xml:space="preserve">объекты использования атомной энергии – </w:t>
      </w:r>
      <w:r>
        <w:rPr>
          <w:rFonts w:ascii="Times New Roman" w:hAnsi="Times New Roman"/>
          <w:color w:val="000000"/>
          <w:spacing w:val="4"/>
        </w:rPr>
        <w:t xml:space="preserve">считаются самыми </w:t>
      </w:r>
      <w:r>
        <w:rPr>
          <w:rFonts w:ascii="Times New Roman" w:hAnsi="Times New Roman"/>
          <w:color w:val="000000"/>
          <w:spacing w:val="4"/>
        </w:rPr>
        <w:t>экологичны</w:t>
      </w:r>
      <w:r>
        <w:rPr>
          <w:rFonts w:ascii="Times New Roman" w:hAnsi="Times New Roman"/>
          <w:color w:val="000000"/>
          <w:spacing w:val="4"/>
        </w:rPr>
        <w:t>ми</w:t>
      </w:r>
      <w:r>
        <w:rPr>
          <w:rFonts w:ascii="Times New Roman" w:hAnsi="Times New Roman"/>
          <w:color w:val="000000"/>
          <w:spacing w:val="4"/>
        </w:rPr>
        <w:t xml:space="preserve"> индустриальны</w:t>
      </w:r>
      <w:r>
        <w:rPr>
          <w:rFonts w:ascii="Times New Roman" w:hAnsi="Times New Roman"/>
          <w:color w:val="000000"/>
          <w:spacing w:val="4"/>
        </w:rPr>
        <w:t>ми</w:t>
      </w:r>
      <w:r>
        <w:rPr>
          <w:rFonts w:ascii="Times New Roman" w:hAnsi="Times New Roman"/>
          <w:color w:val="000000"/>
          <w:spacing w:val="4"/>
        </w:rPr>
        <w:t xml:space="preserve"> объект</w:t>
      </w:r>
      <w:r>
        <w:rPr>
          <w:rFonts w:ascii="Times New Roman" w:hAnsi="Times New Roman"/>
          <w:color w:val="000000"/>
          <w:spacing w:val="4"/>
        </w:rPr>
        <w:t>ами.</w:t>
      </w:r>
    </w:p>
    <w:p w14:paraId="2B010000">
      <w:pPr>
        <w:pStyle w:val="Style_12"/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Возможность оказания столь широкого спектра качественных услуг и выполнения работ, подтверждена наличием лицензий у ПАО СУС:</w:t>
      </w:r>
    </w:p>
    <w:p w14:paraId="2C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«Строительство комплексов (зданий и сооружений), предназначенных для проведения ядерно-опасных и радиационно-опасных работ при разработке, испытаниях, хранении, эксплуатации, ремонте, выводе из эксплуатации и утилизации ядерных энергетических установок военного назначения</w:t>
      </w:r>
    </w:p>
    <w:p w14:paraId="2D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сооружение ядерных установок (атомные станции)</w:t>
      </w:r>
    </w:p>
    <w:p w14:paraId="2E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Свидетельство об аттестации испытательной лаборатории № ИЛ-ЛРИ-0054</w:t>
      </w:r>
    </w:p>
    <w:p w14:paraId="2F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право осуществления образовательной деятельности по образовательным программам</w:t>
      </w:r>
    </w:p>
    <w:p w14:paraId="30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Свидетельство об аккредитации </w:t>
      </w:r>
      <w:r>
        <w:rPr>
          <w:rFonts w:ascii="Times New Roman" w:hAnsi="Times New Roman"/>
          <w:color w:val="000000"/>
        </w:rPr>
        <w:t>ИЦСМиК</w:t>
      </w:r>
    </w:p>
    <w:p w14:paraId="31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осуществление деятельности по сохранению объектов культурного наследия (памятников истории и культуры) народов РФ</w:t>
      </w:r>
    </w:p>
    <w:p w14:paraId="32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осуществление деятельности по монтажу, техническому обслуживанию и ремонту средств обеспечения пожарной безопасности зданий и сооружений</w:t>
      </w:r>
    </w:p>
    <w:p w14:paraId="33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эксплуатацию ядерных установок (атомные станции)</w:t>
      </w:r>
    </w:p>
    <w:p w14:paraId="34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Лицензия на обращение с радиоактивными веществами при транспортировании </w:t>
      </w:r>
    </w:p>
    <w:p w14:paraId="35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Лицензия на эксплуатацию пунктов хранения ядерных материалов, радиоактивных веществ, хранилищ радиоактивных отходов</w:t>
      </w:r>
    </w:p>
    <w:p w14:paraId="36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Свидетельство об аккредитации (лаборатория неразрушающего контроля)</w:t>
      </w:r>
    </w:p>
    <w:p w14:paraId="37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соответствия БТОЗ требованиям стандарта ГОСТ Р 54934-2012 (OHSAS 18001:2007)</w:t>
      </w:r>
    </w:p>
    <w:p w14:paraId="38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соответствия СМК требованиям стандарта ГOCT P ИCO 9001-2015 (ISO 9001:2015)</w:t>
      </w:r>
    </w:p>
    <w:p w14:paraId="39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соответствия СЭМ требованиям стандарта ГOCT P ИСО 14001-2007 (ISO 14001:2015)</w:t>
      </w:r>
    </w:p>
    <w:p w14:paraId="3A010000">
      <w:pPr>
        <w:pStyle w:val="Style_13"/>
        <w:numPr>
          <w:ilvl w:val="0"/>
          <w:numId w:val="7"/>
        </w:numPr>
        <w:tabs>
          <w:tab w:leader="none" w:pos="1134" w:val="left"/>
        </w:tabs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Сертификат на техническое обслуживание, ремонт легковых автомобилей, грузовых и строительно-дорожных машин и оборудования</w:t>
      </w:r>
    </w:p>
    <w:p w14:paraId="3B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</w:p>
    <w:p w14:paraId="3C010000">
      <w:pPr>
        <w:ind w:firstLine="720" w:left="0"/>
        <w:jc w:val="both"/>
        <w:rPr>
          <w:rFonts w:ascii="Times New Roman" w:hAnsi="Times New Roman"/>
          <w:color w:val="000000"/>
          <w:spacing w:val="11"/>
        </w:rPr>
      </w:pPr>
      <w:r>
        <w:rPr>
          <w:rFonts w:ascii="Times New Roman" w:hAnsi="Times New Roman"/>
          <w:color w:val="000000"/>
          <w:spacing w:val="11"/>
        </w:rPr>
        <w:t>Организационная структура</w:t>
      </w:r>
      <w:r>
        <w:rPr>
          <w:rFonts w:ascii="Times New Roman" w:hAnsi="Times New Roman"/>
          <w:color w:val="000000"/>
          <w:spacing w:val="11"/>
        </w:rPr>
        <w:t xml:space="preserve"> </w:t>
      </w:r>
      <w:r>
        <w:rPr>
          <w:rFonts w:ascii="Times New Roman" w:hAnsi="Times New Roman"/>
          <w:color w:val="000000"/>
          <w:spacing w:val="11"/>
        </w:rPr>
        <w:t>Эмитента</w:t>
      </w:r>
      <w:r>
        <w:rPr>
          <w:rFonts w:ascii="Times New Roman" w:hAnsi="Times New Roman"/>
          <w:color w:val="000000"/>
          <w:spacing w:val="11"/>
        </w:rPr>
        <w:t xml:space="preserve"> дает возможность осуществлять полный цикл работ по созданию объекта - строительные работы нулевого цикла, сооружение зданий, монтаж металлоконструкций и железобетонных изделий, кровли любого типа, прокладку инженерных сетей, строительство дорог и благоустройство территорий, отделку помещений. Подразделения, входящие в ПАО </w:t>
      </w:r>
      <w:r>
        <w:rPr>
          <w:rFonts w:ascii="Times New Roman" w:hAnsi="Times New Roman"/>
          <w:color w:val="000000"/>
          <w:spacing w:val="11"/>
        </w:rPr>
        <w:t>«</w:t>
      </w:r>
      <w:r>
        <w:rPr>
          <w:rFonts w:ascii="Times New Roman" w:hAnsi="Times New Roman"/>
          <w:color w:val="000000"/>
          <w:spacing w:val="11"/>
        </w:rPr>
        <w:t>СУС</w:t>
      </w:r>
      <w:r>
        <w:rPr>
          <w:rFonts w:ascii="Times New Roman" w:hAnsi="Times New Roman"/>
          <w:color w:val="000000"/>
          <w:spacing w:val="11"/>
        </w:rPr>
        <w:t>»</w:t>
      </w:r>
      <w:r>
        <w:rPr>
          <w:rFonts w:ascii="Times New Roman" w:hAnsi="Times New Roman"/>
          <w:color w:val="000000"/>
          <w:spacing w:val="11"/>
        </w:rPr>
        <w:t xml:space="preserve"> выполняют проектные, общестроительные, земляные работы, обеспечивают объекты дорогами, электроэнергией, транспортом, стройматериалами.</w:t>
      </w:r>
    </w:p>
    <w:p w14:paraId="3D010000">
      <w:pPr>
        <w:tabs>
          <w:tab w:leader="none" w:pos="15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2023г. в ПАО «СУС» сформировалась организационная структура, способная ответственно, оперативно и качественно решать задачи, связанные с деятельностью и развитием строительного комплекса.</w:t>
      </w:r>
    </w:p>
    <w:p w14:paraId="3E010000">
      <w:pPr>
        <w:tabs>
          <w:tab w:leader="none" w:pos="15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Изменения в составе и структуре штатных сотрудников произошли в связи с проведенной реорганизацией ПАО СУС.</w:t>
      </w:r>
    </w:p>
    <w:p w14:paraId="3F010000">
      <w:pPr>
        <w:tabs>
          <w:tab w:leader="none" w:pos="154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момент реорганизации - на 18.07.2023 </w:t>
      </w:r>
    </w:p>
    <w:p w14:paraId="40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ПАО СУС числилось: 859 чел. (основные-683, внутренние совм.- 31, внешние 145)</w:t>
      </w:r>
    </w:p>
    <w:p w14:paraId="41010000">
      <w:pPr>
        <w:pStyle w:val="Style_13"/>
        <w:numPr>
          <w:ilvl w:val="0"/>
          <w:numId w:val="8"/>
        </w:numPr>
        <w:ind w:hanging="284" w:left="99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Рабочие- 513 (водители-276, строитель. Профессии-49, машинисты-105, слесари ЦАРМ -</w:t>
      </w:r>
      <w:r>
        <w:rPr>
          <w:rFonts w:ascii="Times New Roman" w:hAnsi="Times New Roman"/>
        </w:rPr>
        <w:t>37,прочие</w:t>
      </w:r>
      <w:r>
        <w:rPr>
          <w:rFonts w:ascii="Times New Roman" w:hAnsi="Times New Roman"/>
        </w:rPr>
        <w:t>-46)</w:t>
      </w:r>
    </w:p>
    <w:p w14:paraId="42010000">
      <w:pPr>
        <w:pStyle w:val="Style_13"/>
        <w:numPr>
          <w:ilvl w:val="0"/>
          <w:numId w:val="8"/>
        </w:numPr>
        <w:ind w:hanging="284" w:left="99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ИТР 346 всего (216 основных)</w:t>
      </w:r>
    </w:p>
    <w:p w14:paraId="43010000">
      <w:pPr>
        <w:pStyle w:val="Style_13"/>
        <w:numPr>
          <w:ilvl w:val="0"/>
          <w:numId w:val="8"/>
        </w:numPr>
        <w:ind w:hanging="284" w:left="99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Специалисты-296</w:t>
      </w:r>
    </w:p>
    <w:p w14:paraId="44010000">
      <w:pPr>
        <w:pStyle w:val="Style_13"/>
        <w:numPr>
          <w:ilvl w:val="0"/>
          <w:numId w:val="8"/>
        </w:numPr>
        <w:ind w:hanging="284" w:left="99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Линейные-16</w:t>
      </w:r>
    </w:p>
    <w:p w14:paraId="45010000">
      <w:pPr>
        <w:pStyle w:val="Style_13"/>
        <w:numPr>
          <w:ilvl w:val="0"/>
          <w:numId w:val="8"/>
        </w:numPr>
        <w:ind w:hanging="284" w:left="99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Инженеры-21</w:t>
      </w:r>
    </w:p>
    <w:p w14:paraId="46010000">
      <w:pPr>
        <w:pStyle w:val="Style_13"/>
        <w:numPr>
          <w:ilvl w:val="0"/>
          <w:numId w:val="8"/>
        </w:numPr>
        <w:ind w:hanging="284" w:left="99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АУП-13</w:t>
      </w:r>
    </w:p>
    <w:p w14:paraId="47010000">
      <w:pPr>
        <w:ind w:hanging="284" w:left="993"/>
        <w:jc w:val="both"/>
        <w:rPr>
          <w:rFonts w:ascii="Times New Roman" w:hAnsi="Times New Roman"/>
        </w:rPr>
      </w:pPr>
    </w:p>
    <w:p w14:paraId="48010000">
      <w:pPr>
        <w:ind w:firstLine="0" w:left="34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 конец года - 31.12.2023</w:t>
      </w:r>
    </w:p>
    <w:p w14:paraId="49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Всего: 291 чел. (основные-179, внутренние совм.- 6, внешние 106)</w:t>
      </w:r>
    </w:p>
    <w:p w14:paraId="4A010000">
      <w:pPr>
        <w:pStyle w:val="Style_13"/>
        <w:numPr>
          <w:ilvl w:val="0"/>
          <w:numId w:val="9"/>
        </w:numPr>
        <w:ind w:hanging="425" w:left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Рабочие- 87 (рабочие строит. спец.-49, кладовщики-14, прочие профессии-24)</w:t>
      </w:r>
    </w:p>
    <w:p w14:paraId="4B010000">
      <w:pPr>
        <w:pStyle w:val="Style_13"/>
        <w:numPr>
          <w:ilvl w:val="0"/>
          <w:numId w:val="9"/>
        </w:numPr>
        <w:ind w:hanging="425" w:left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ИТР 204 всего (107 основных)</w:t>
      </w:r>
    </w:p>
    <w:p w14:paraId="4C010000">
      <w:pPr>
        <w:pStyle w:val="Style_13"/>
        <w:numPr>
          <w:ilvl w:val="0"/>
          <w:numId w:val="9"/>
        </w:numPr>
        <w:ind w:hanging="425" w:left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Специалисты-121</w:t>
      </w:r>
    </w:p>
    <w:p w14:paraId="4D010000">
      <w:pPr>
        <w:pStyle w:val="Style_13"/>
        <w:numPr>
          <w:ilvl w:val="0"/>
          <w:numId w:val="9"/>
        </w:numPr>
        <w:ind w:hanging="425" w:left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Линейные-20</w:t>
      </w:r>
    </w:p>
    <w:p w14:paraId="4E010000">
      <w:pPr>
        <w:pStyle w:val="Style_13"/>
        <w:numPr>
          <w:ilvl w:val="0"/>
          <w:numId w:val="9"/>
        </w:numPr>
        <w:ind w:hanging="425" w:left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Инженеры-48</w:t>
      </w:r>
    </w:p>
    <w:p w14:paraId="4F010000">
      <w:pPr>
        <w:pStyle w:val="Style_13"/>
        <w:numPr>
          <w:ilvl w:val="0"/>
          <w:numId w:val="9"/>
        </w:numPr>
        <w:tabs>
          <w:tab w:leader="none" w:pos="154" w:val="left"/>
        </w:tabs>
        <w:ind w:hanging="425" w:left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АУП-15</w:t>
      </w:r>
    </w:p>
    <w:p w14:paraId="50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период с 01.01.2023г. по 19.07.2023 г. структура Общества включала в себя</w:t>
      </w:r>
      <w:r>
        <w:rPr>
          <w:rFonts w:ascii="Times New Roman" w:hAnsi="Times New Roman"/>
        </w:rPr>
        <w:t xml:space="preserve"> следующие направления деятельности</w:t>
      </w:r>
      <w:r>
        <w:rPr>
          <w:rFonts w:ascii="Times New Roman" w:hAnsi="Times New Roman"/>
        </w:rPr>
        <w:t>:</w:t>
      </w:r>
    </w:p>
    <w:p w14:paraId="51010000">
      <w:pPr>
        <w:numPr>
          <w:ilvl w:val="0"/>
          <w:numId w:val="10"/>
        </w:numPr>
        <w:tabs>
          <w:tab w:leader="none" w:pos="993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услуги автотранспорта и спецтехники</w:t>
      </w:r>
      <w:r>
        <w:rPr>
          <w:rFonts w:ascii="Times New Roman" w:hAnsi="Times New Roman"/>
        </w:rPr>
        <w:t xml:space="preserve"> (обеспечение объектов строительства дорожно-строительными механизмами, машинами, кранами, специальной техникой и т.д.</w:t>
      </w:r>
      <w:r>
        <w:rPr>
          <w:rFonts w:ascii="Times New Roman" w:hAnsi="Times New Roman"/>
        </w:rPr>
        <w:t>)</w:t>
      </w:r>
    </w:p>
    <w:p w14:paraId="52010000">
      <w:pPr>
        <w:numPr>
          <w:ilvl w:val="0"/>
          <w:numId w:val="10"/>
        </w:numPr>
        <w:tabs>
          <w:tab w:leader="none" w:pos="993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Филиал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в г. Москве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</w:rPr>
        <w:t xml:space="preserve">подразделения, осуществляющие </w:t>
      </w:r>
      <w:r>
        <w:rPr>
          <w:rFonts w:ascii="Times New Roman" w:hAnsi="Times New Roman"/>
        </w:rPr>
        <w:t>СМР)</w:t>
      </w:r>
    </w:p>
    <w:p w14:paraId="53010000">
      <w:pPr>
        <w:numPr>
          <w:ilvl w:val="0"/>
          <w:numId w:val="10"/>
        </w:numPr>
        <w:tabs>
          <w:tab w:leader="none" w:pos="993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Испытательный центр строительных материалов и конструкций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</w:rPr>
        <w:t>лабораторное сопровождение строительства объектов с проведением испытаний строительных материалов, изделий и конструкций, а также контроль качества продукции</w:t>
      </w:r>
      <w:r>
        <w:rPr>
          <w:rFonts w:ascii="Times New Roman" w:hAnsi="Times New Roman"/>
        </w:rPr>
        <w:t>)</w:t>
      </w:r>
    </w:p>
    <w:p w14:paraId="54010000">
      <w:pPr>
        <w:numPr>
          <w:ilvl w:val="0"/>
          <w:numId w:val="10"/>
        </w:numPr>
        <w:tabs>
          <w:tab w:leader="none" w:pos="993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Учебный центр - обучение и аттестация специалистов, занятых в строительстве и на производстве.</w:t>
      </w:r>
    </w:p>
    <w:p w14:paraId="55010000">
      <w:pPr>
        <w:ind w:firstLine="709" w:left="0"/>
        <w:jc w:val="both"/>
        <w:rPr>
          <w:rFonts w:ascii="Times New Roman" w:hAnsi="Times New Roman"/>
        </w:rPr>
      </w:pPr>
    </w:p>
    <w:p w14:paraId="56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период с 03.03.2023 г. по 19.07.2023 г. Публичное акционерное общество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находилось в процессе реорганизации в форме выделения из него общества с ограниченной ответственностью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(протокол внеочередного общего собрания акционеров № 01-2023 от 03.03.2023 г.).</w:t>
      </w:r>
    </w:p>
    <w:p w14:paraId="57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19 июля 2023 г. процесс реорганизации был завершен (запись в ЕГРЮЛ за ГРН 2234700251597 от 19.07.2023 г. о завершении реорганизации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и запись в ЕГРЮЛ за ГРН 123470019179 о создании ООО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).</w:t>
      </w:r>
    </w:p>
    <w:p w14:paraId="58010000">
      <w:pPr>
        <w:ind w:firstLine="709" w:left="0"/>
        <w:jc w:val="both"/>
        <w:rPr>
          <w:rFonts w:ascii="Times New Roman" w:hAnsi="Times New Roman"/>
        </w:rPr>
      </w:pPr>
    </w:p>
    <w:p w14:paraId="59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Во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втором полугодии 2023 года </w:t>
      </w:r>
      <w:r>
        <w:rPr>
          <w:rFonts w:ascii="Times New Roman" w:hAnsi="Times New Roman"/>
        </w:rPr>
        <w:t>основным направлением деятельности</w:t>
      </w:r>
      <w:r>
        <w:rPr>
          <w:rFonts w:ascii="Times New Roman" w:hAnsi="Times New Roman"/>
        </w:rPr>
        <w:t xml:space="preserve"> ПАО СУС стало строительство (в первую очередь, строительство атомных станций).</w:t>
      </w:r>
    </w:p>
    <w:p w14:paraId="5A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Публичное акционерное общество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о</w:t>
      </w:r>
      <w:r>
        <w:rPr>
          <w:rFonts w:ascii="Times New Roman" w:hAnsi="Times New Roman"/>
        </w:rPr>
        <w:t>существляет полный комплекс услуг по реализации объектов строительства – от проведения инженерных изысканий и составления проектной документации до благоустройства прилегающей территории и сдачи объекта в эксплуатацию государственным органам.</w:t>
      </w:r>
    </w:p>
    <w:p w14:paraId="5B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Проводит экспертизу и обследования зданий и сооружений любого назначения.</w:t>
      </w:r>
    </w:p>
    <w:p w14:paraId="5C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Значительный вклад при определении качества и надежности материалов, в процессе строительства, вносит аттестованный испытательный центр строительных материалов ПАО СУС (</w:t>
      </w:r>
      <w:r>
        <w:rPr>
          <w:rFonts w:ascii="Times New Roman" w:hAnsi="Times New Roman"/>
        </w:rPr>
        <w:t>ИЦСМиК</w:t>
      </w:r>
      <w:r>
        <w:rPr>
          <w:rFonts w:ascii="Times New Roman" w:hAnsi="Times New Roman"/>
        </w:rPr>
        <w:t xml:space="preserve">) – строительная лаборатория, имеющая свидетельство </w:t>
      </w:r>
      <w:r>
        <w:rPr>
          <w:rFonts w:ascii="Times New Roman" w:hAnsi="Times New Roman"/>
        </w:rPr>
        <w:t>Росаккредитации</w:t>
      </w:r>
      <w:r>
        <w:rPr>
          <w:rFonts w:ascii="Times New Roman" w:hAnsi="Times New Roman"/>
        </w:rPr>
        <w:t>.</w:t>
      </w:r>
    </w:p>
    <w:p w14:paraId="5D010000">
      <w:pPr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Испытания строительных материалов проводятся по основным параметрам в соответствии с требованиями ГОСТ, СНиП и иных нормативных документов: цемент – на активность, сроки схватывания, тонкость помола, тесто нормальной густоты; песок на плотность, объемный вес, </w:t>
      </w:r>
      <w:r>
        <w:rPr>
          <w:rFonts w:ascii="Times New Roman" w:hAnsi="Times New Roman"/>
        </w:rPr>
        <w:t>пустотность</w:t>
      </w:r>
      <w:r>
        <w:rPr>
          <w:rFonts w:ascii="Times New Roman" w:hAnsi="Times New Roman"/>
        </w:rPr>
        <w:t xml:space="preserve">, загрязнение; щебень — на плотность, объёмный вес, </w:t>
      </w:r>
      <w:r>
        <w:rPr>
          <w:rFonts w:ascii="Times New Roman" w:hAnsi="Times New Roman"/>
        </w:rPr>
        <w:t>пустотность</w:t>
      </w:r>
      <w:r>
        <w:rPr>
          <w:rFonts w:ascii="Times New Roman" w:hAnsi="Times New Roman"/>
        </w:rPr>
        <w:t>, гранулометрический состав.</w:t>
      </w:r>
    </w:p>
    <w:p w14:paraId="5E010000">
      <w:pPr>
        <w:pStyle w:val="Style_12"/>
        <w:ind w:firstLine="720" w:left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Конкурентоспособность ПАО СУС основывается на уникальной материально-технической базе и кадровых ресурсах, а также опыте координации деятельности научных, проектных и конструкторских организаций.</w:t>
      </w:r>
    </w:p>
    <w:p w14:paraId="5F010000">
      <w:pPr>
        <w:spacing w:after="0" w:line="240" w:lineRule="auto"/>
        <w:ind w:firstLine="709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ПАО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СУС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 может выделить ряд ключевых факторов, которые обуславливают его высокую конкурентоспособность в соответствующей отрасли:</w:t>
      </w:r>
    </w:p>
    <w:p w14:paraId="60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наличие долгосрочных контрактов с крупными российскими и иностранными контрагентами в сфере атомной энергетики</w:t>
      </w:r>
      <w:r>
        <w:rPr>
          <w:rFonts w:ascii="Times New Roman" w:hAnsi="Times New Roman"/>
          <w:sz w:val="24"/>
        </w:rPr>
        <w:t xml:space="preserve"> и промышленного строительства</w:t>
      </w:r>
      <w:r>
        <w:rPr>
          <w:rFonts w:ascii="Times New Roman" w:hAnsi="Times New Roman"/>
          <w:sz w:val="24"/>
        </w:rPr>
        <w:t>;</w:t>
      </w:r>
      <w:r>
        <w:rPr>
          <w:rFonts w:ascii="Times New Roman" w:hAnsi="Times New Roman"/>
          <w:sz w:val="24"/>
        </w:rPr>
        <w:t xml:space="preserve"> </w:t>
      </w:r>
    </w:p>
    <w:p w14:paraId="61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</w:t>
      </w:r>
      <w:r>
        <w:rPr>
          <w:rFonts w:ascii="Times New Roman" w:hAnsi="Times New Roman"/>
          <w:sz w:val="24"/>
        </w:rPr>
        <w:t>ффективное управление проектами</w:t>
      </w:r>
    </w:p>
    <w:p w14:paraId="62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sz w:val="24"/>
        </w:rPr>
        <w:t>н</w:t>
      </w:r>
      <w:r>
        <w:rPr>
          <w:rFonts w:ascii="Times New Roman" w:hAnsi="Times New Roman"/>
          <w:sz w:val="24"/>
        </w:rPr>
        <w:t>адежность и качество выполнения строительно-монтажных работ</w:t>
      </w:r>
      <w:r>
        <w:rPr>
          <w:rFonts w:ascii="Times New Roman" w:hAnsi="Times New Roman"/>
          <w:sz w:val="24"/>
        </w:rPr>
        <w:t xml:space="preserve"> в том числе, за счет </w:t>
      </w:r>
      <w:r>
        <w:rPr>
          <w:rFonts w:ascii="Times New Roman" w:hAnsi="Times New Roman"/>
          <w:color w:val="000000"/>
          <w:sz w:val="24"/>
        </w:rPr>
        <w:t>проведения анализа и подбора оптимальных материалов и технологий для строительства;</w:t>
      </w:r>
    </w:p>
    <w:p w14:paraId="63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контроль качества и безопасности строительных работ;</w:t>
      </w:r>
    </w:p>
    <w:p w14:paraId="64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соблюдение сроков строительства и контроль за бюджетом;</w:t>
      </w:r>
    </w:p>
    <w:p w14:paraId="65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 xml:space="preserve">организация работы </w:t>
      </w:r>
      <w:r>
        <w:rPr>
          <w:rFonts w:ascii="Times New Roman" w:hAnsi="Times New Roman"/>
          <w:color w:val="000000"/>
          <w:sz w:val="24"/>
        </w:rPr>
        <w:t>строительных подразделений</w:t>
      </w:r>
      <w:r>
        <w:rPr>
          <w:rFonts w:ascii="Times New Roman" w:hAnsi="Times New Roman"/>
          <w:color w:val="000000"/>
          <w:sz w:val="24"/>
        </w:rPr>
        <w:t xml:space="preserve"> и обеспечение </w:t>
      </w:r>
      <w:r>
        <w:rPr>
          <w:rFonts w:ascii="Times New Roman" w:hAnsi="Times New Roman"/>
          <w:color w:val="000000"/>
          <w:sz w:val="24"/>
        </w:rPr>
        <w:t xml:space="preserve">их </w:t>
      </w:r>
      <w:r>
        <w:rPr>
          <w:rFonts w:ascii="Times New Roman" w:hAnsi="Times New Roman"/>
          <w:color w:val="000000"/>
          <w:sz w:val="24"/>
        </w:rPr>
        <w:t>материально-технической базой;</w:t>
      </w:r>
    </w:p>
    <w:p w14:paraId="66010000">
      <w:pPr>
        <w:numPr>
          <w:ilvl w:val="0"/>
          <w:numId w:val="11"/>
        </w:numPr>
        <w:tabs>
          <w:tab w:leader="none" w:pos="1134" w:val="left"/>
        </w:tabs>
        <w:spacing w:after="0" w:line="240" w:lineRule="auto"/>
        <w:ind w:firstLine="709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</w:t>
      </w:r>
      <w:r>
        <w:rPr>
          <w:rFonts w:ascii="Times New Roman" w:hAnsi="Times New Roman"/>
          <w:sz w:val="24"/>
        </w:rPr>
        <w:t>рофессионализм и компетентность персонала</w:t>
      </w:r>
      <w:r>
        <w:rPr>
          <w:rFonts w:ascii="Times New Roman" w:hAnsi="Times New Roman"/>
          <w:sz w:val="24"/>
        </w:rPr>
        <w:t>.</w:t>
      </w:r>
    </w:p>
    <w:p w14:paraId="67010000">
      <w:pPr>
        <w:tabs>
          <w:tab w:leader="none" w:pos="1134" w:val="left"/>
        </w:tabs>
        <w:ind/>
        <w:jc w:val="both"/>
        <w:rPr>
          <w:rFonts w:ascii="Times New Roman" w:hAnsi="Times New Roman"/>
          <w:sz w:val="22"/>
        </w:rPr>
      </w:pPr>
    </w:p>
    <w:p w14:paraId="68010000">
      <w:bookmarkStart w:id="7" w:name="__RefHeading___112"/>
      <w:bookmarkEnd w:id="7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bookmarkStart w:id="8" w:name="_GoBack"/>
      <w:r>
        <w:rPr>
          <w:rFonts w:ascii="Times New Roman" w:hAnsi="Times New Roman"/>
          <w:b w:val="1"/>
        </w:rPr>
        <w:t>1.3. Основные операционные и финансовые показатели, характеризующие деятельность эмитента.</w:t>
      </w:r>
    </w:p>
    <w:p w14:paraId="69010000">
      <w:pPr>
        <w:widowControl w:val="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Операционные показатели, которые наиболее объективно и всесторонее характеризуют операционные показатели , характеризующие финансово-хозяйчтвенную деятельность Общества: </w:t>
      </w:r>
    </w:p>
    <w:p w14:paraId="6A010000">
      <w:pPr>
        <w:spacing w:before="0" w:line="240" w:lineRule="auto"/>
        <w:ind w:firstLine="720" w:left="0"/>
        <w:jc w:val="both"/>
        <w:rPr>
          <w:b w:val="1"/>
          <w:sz w:val="24"/>
        </w:rPr>
      </w:pPr>
    </w:p>
    <w:p w14:paraId="6B010000">
      <w:pPr>
        <w:spacing w:before="0" w:line="240" w:lineRule="auto"/>
        <w:ind w:firstLine="720" w:left="0"/>
        <w:jc w:val="center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 xml:space="preserve">Ключевые операционные показатели </w:t>
      </w:r>
      <w:r>
        <w:rPr>
          <w:rFonts w:ascii="Times New Roman" w:hAnsi="Times New Roman"/>
          <w:b w:val="0"/>
          <w:sz w:val="24"/>
        </w:rPr>
        <w:t>ПАО «СУС»</w:t>
      </w:r>
      <w:r>
        <w:rPr>
          <w:rFonts w:ascii="Times New Roman" w:hAnsi="Times New Roman"/>
          <w:b w:val="0"/>
          <w:sz w:val="24"/>
        </w:rPr>
        <w:t xml:space="preserve"> за 12 месяцев отчетного года </w:t>
      </w:r>
      <w:r>
        <w:rPr>
          <w:rFonts w:ascii="Times New Roman" w:hAnsi="Times New Roman"/>
          <w:b w:val="0"/>
          <w:sz w:val="24"/>
        </w:rPr>
        <w:t xml:space="preserve">в сравнении с 12 месяцами предшествующих лет </w:t>
      </w:r>
      <w:r>
        <w:rPr>
          <w:rFonts w:ascii="Times New Roman" w:hAnsi="Times New Roman"/>
          <w:b w:val="0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 xml:space="preserve">(тыс. </w:t>
      </w:r>
      <w:r>
        <w:rPr>
          <w:rFonts w:ascii="Times New Roman" w:hAnsi="Times New Roman"/>
          <w:b w:val="0"/>
          <w:sz w:val="24"/>
        </w:rPr>
        <w:t>руб.)</w:t>
      </w:r>
    </w:p>
    <w:p w14:paraId="6C010000">
      <w:pPr>
        <w:spacing w:before="0" w:line="240" w:lineRule="auto"/>
        <w:ind w:firstLine="720" w:left="0"/>
        <w:jc w:val="center"/>
        <w:rPr>
          <w:rFonts w:ascii="Times New Roman" w:hAnsi="Times New Roman"/>
          <w:sz w:val="24"/>
        </w:rPr>
      </w:pPr>
    </w:p>
    <w:tbl>
      <w:tblPr>
        <w:tblStyle w:val="Style_2"/>
        <w:tblW w:type="auto" w:w="0"/>
        <w:tblInd w:type="dxa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top w:type="dxa" w:w="0"/>
          <w:left w:type="dxa" w:w="108"/>
          <w:bottom w:type="dxa" w:w="0"/>
          <w:right w:type="dxa" w:w="108"/>
        </w:tblCellMar>
      </w:tblPr>
      <w:tblGrid>
        <w:gridCol w:w="5031"/>
        <w:gridCol w:w="1547"/>
        <w:gridCol w:w="1547"/>
        <w:gridCol w:w="1371"/>
      </w:tblGrid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6D010000">
            <w:pPr>
              <w:spacing w:line="360" w:lineRule="auto"/>
              <w:ind/>
              <w:jc w:val="both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Наименование показателей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6E010000">
            <w:pPr>
              <w:spacing w:line="360" w:lineRule="auto"/>
              <w:ind/>
              <w:jc w:val="both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2021 г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6F010000">
            <w:pPr>
              <w:spacing w:line="360" w:lineRule="auto"/>
              <w:ind/>
              <w:jc w:val="both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2022 г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0010000">
            <w:pPr>
              <w:spacing w:line="360" w:lineRule="auto"/>
              <w:ind/>
              <w:jc w:val="both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2023 г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1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Выручка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2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2 135 908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3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2 656 833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4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5 688 148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5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Себестоимость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6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2 000 604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7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2 436 884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8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5 499 092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9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Прибыль (+)/убыток (-) от продаж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bottom"/>
          </w:tcPr>
          <w:p w14:paraId="7A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-142 343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bottom"/>
          </w:tcPr>
          <w:p w14:paraId="7B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-4 526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bottom"/>
          </w:tcPr>
          <w:p w14:paraId="7C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77 510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D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Прибыль (+)/Убыток (-) до налогообложения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E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-129 437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7F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-63 023)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0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20 971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1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Чистая прибыль/убыток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2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-111 467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3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-486 110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4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4 008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5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Сумма активов баланса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6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2 656 960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7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3 267 154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8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10 950 199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9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Оборотные средства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A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1 786 495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B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2 662 735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C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10 517 216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D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Кредиторская задолженность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E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4 286 361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8F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5 186 347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0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12 678 420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1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Чистые активы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2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- 2 833 738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3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- 3 188 338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4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- 3 159 792</w:t>
            </w:r>
          </w:p>
        </w:tc>
      </w:tr>
      <w:tr>
        <w:tc>
          <w:tcPr>
            <w:tcW w:type="dxa" w:w="50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5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Собственный капитал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6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2 833 738</w:t>
            </w:r>
          </w:p>
        </w:tc>
        <w:tc>
          <w:tcPr>
            <w:tcW w:type="dxa" w:w="154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7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3 188 338</w:t>
            </w:r>
          </w:p>
        </w:tc>
        <w:tc>
          <w:tcPr>
            <w:tcW w:type="dxa" w:w="13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98010000">
            <w:pPr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3 159 792</w:t>
            </w:r>
          </w:p>
        </w:tc>
      </w:tr>
    </w:tbl>
    <w:p w14:paraId="99010000">
      <w:pPr>
        <w:pStyle w:val="Style_14"/>
        <w:spacing w:before="0" w:line="240" w:lineRule="auto"/>
        <w:ind w:firstLine="720" w:left="0"/>
        <w:jc w:val="center"/>
        <w:rPr>
          <w:sz w:val="22"/>
        </w:rPr>
      </w:pPr>
    </w:p>
    <w:p w14:paraId="9A010000">
      <w:pPr>
        <w:ind w:firstLine="720" w:left="0"/>
        <w:jc w:val="both"/>
        <w:rPr>
          <w:rFonts w:ascii="Times New Roman" w:hAnsi="Times New Roman"/>
          <w:highlight w:val="green"/>
        </w:rPr>
      </w:pPr>
    </w:p>
    <w:p w14:paraId="9B010000">
      <w:pPr>
        <w:sectPr>
          <w:footerReference r:id="rId3" w:type="default"/>
          <w:pgSz w:h="16838" w:orient="portrait" w:w="11906"/>
          <w:pgMar w:bottom="567" w:footer="397" w:gutter="0" w:header="397" w:left="1559" w:right="851" w:top="851"/>
          <w:pgNumType w:start="1"/>
          <w:titlePg/>
        </w:sectPr>
      </w:pPr>
    </w:p>
    <w:p w14:paraId="9C010000">
      <w:pPr>
        <w:ind w:firstLine="567" w:left="0"/>
        <w:jc w:val="center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Д</w:t>
      </w:r>
      <w:r>
        <w:rPr>
          <w:rFonts w:ascii="Times New Roman" w:hAnsi="Times New Roman"/>
          <w:b w:val="1"/>
        </w:rPr>
        <w:t>инамик</w:t>
      </w:r>
      <w:r>
        <w:rPr>
          <w:rFonts w:ascii="Times New Roman" w:hAnsi="Times New Roman"/>
          <w:b w:val="1"/>
        </w:rPr>
        <w:t xml:space="preserve">а распределения финансового результата деятельности ПАО СУС при реорганизации, </w:t>
      </w:r>
      <w:r>
        <w:rPr>
          <w:rFonts w:ascii="Times New Roman" w:hAnsi="Times New Roman"/>
          <w:b w:val="1"/>
        </w:rPr>
        <w:t>тыс.руб</w:t>
      </w:r>
      <w:r>
        <w:rPr>
          <w:rFonts w:ascii="Times New Roman" w:hAnsi="Times New Roman"/>
          <w:b w:val="1"/>
        </w:rPr>
        <w:t>.</w:t>
      </w:r>
    </w:p>
    <w:p w14:paraId="9D010000">
      <w:pPr>
        <w:ind w:firstLine="567" w:left="0"/>
        <w:jc w:val="both"/>
        <w:rPr>
          <w:rFonts w:ascii="Times New Roman" w:hAnsi="Times New Roman"/>
          <w:b w:val="1"/>
        </w:rPr>
      </w:pPr>
    </w:p>
    <w:tbl>
      <w:tblPr>
        <w:tblStyle w:val="Style_2"/>
        <w:tblW w:type="auto" w:w="0"/>
        <w:tblInd w:type="dxa" w:w="983"/>
        <w:tblLayout w:type="fixed"/>
      </w:tblPr>
      <w:tblGrid>
        <w:gridCol w:w="3827"/>
        <w:gridCol w:w="1276"/>
        <w:gridCol w:w="1275"/>
        <w:gridCol w:w="1134"/>
        <w:gridCol w:w="1134"/>
        <w:gridCol w:w="1134"/>
        <w:gridCol w:w="1134"/>
        <w:gridCol w:w="1276"/>
        <w:gridCol w:w="1134"/>
        <w:gridCol w:w="1276"/>
      </w:tblGrid>
      <w:tr>
        <w:trPr>
          <w:trHeight w:hRule="atLeast" w:val="547"/>
        </w:trPr>
        <w:tc>
          <w:tcPr>
            <w:tcW w:type="dxa" w:w="3827"/>
            <w:vMerge w:val="restart"/>
            <w:tcBorders>
              <w:top w:color="000000" w:sz="8" w:val="single"/>
              <w:left w:color="000000" w:sz="8" w:val="single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9E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 xml:space="preserve">Показатели </w:t>
            </w:r>
          </w:p>
        </w:tc>
        <w:tc>
          <w:tcPr>
            <w:tcW w:type="dxa" w:w="3685"/>
            <w:gridSpan w:val="3"/>
            <w:tcBorders>
              <w:top w:color="000000" w:sz="8" w:val="single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9F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 xml:space="preserve">Продолжающая деятельность ПАО </w:t>
            </w:r>
            <w:r>
              <w:rPr>
                <w:rFonts w:ascii="Times New Roman" w:hAnsi="Times New Roman"/>
                <w:b w:val="1"/>
                <w:color w:val="000000"/>
                <w:sz w:val="20"/>
              </w:rPr>
              <w:t>«</w:t>
            </w:r>
            <w:r>
              <w:rPr>
                <w:rFonts w:ascii="Times New Roman" w:hAnsi="Times New Roman"/>
                <w:b w:val="1"/>
                <w:color w:val="000000"/>
                <w:sz w:val="20"/>
              </w:rPr>
              <w:t>СУС</w:t>
            </w:r>
            <w:r>
              <w:rPr>
                <w:rFonts w:ascii="Times New Roman" w:hAnsi="Times New Roman"/>
                <w:b w:val="1"/>
                <w:color w:val="000000"/>
                <w:sz w:val="20"/>
              </w:rPr>
              <w:t>»</w:t>
            </w:r>
          </w:p>
        </w:tc>
        <w:tc>
          <w:tcPr>
            <w:tcW w:type="dxa" w:w="3402"/>
            <w:gridSpan w:val="3"/>
            <w:tcBorders>
              <w:top w:color="000000" w:sz="8" w:val="single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0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 xml:space="preserve">Вновь создающая  деятельность ООО </w:t>
            </w:r>
            <w:r>
              <w:rPr>
                <w:rFonts w:ascii="Times New Roman" w:hAnsi="Times New Roman"/>
                <w:b w:val="1"/>
                <w:color w:val="000000"/>
                <w:sz w:val="20"/>
              </w:rPr>
              <w:t>«</w:t>
            </w:r>
            <w:r>
              <w:rPr>
                <w:rFonts w:ascii="Times New Roman" w:hAnsi="Times New Roman"/>
                <w:b w:val="1"/>
                <w:color w:val="000000"/>
                <w:sz w:val="20"/>
              </w:rPr>
              <w:t>УМИАТ</w:t>
            </w:r>
            <w:r>
              <w:rPr>
                <w:rFonts w:ascii="Times New Roman" w:hAnsi="Times New Roman"/>
                <w:b w:val="1"/>
                <w:color w:val="000000"/>
                <w:sz w:val="20"/>
              </w:rPr>
              <w:t>»</w:t>
            </w:r>
          </w:p>
        </w:tc>
        <w:tc>
          <w:tcPr>
            <w:tcW w:type="dxa" w:w="3686"/>
            <w:gridSpan w:val="3"/>
            <w:tcBorders>
              <w:top w:color="000000" w:sz="8" w:val="single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1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Организация в целом</w:t>
            </w:r>
          </w:p>
        </w:tc>
      </w:tr>
      <w:tr>
        <w:trPr>
          <w:trHeight w:hRule="atLeast" w:val="315"/>
        </w:trPr>
        <w:tc>
          <w:tcPr>
            <w:tcW w:type="dxa" w:w="3827"/>
            <w:gridSpan w:val="1"/>
            <w:vMerge w:val="continue"/>
            <w:tcBorders>
              <w:top w:color="000000" w:sz="8" w:val="single"/>
              <w:left w:color="000000" w:sz="8" w:val="single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/>
        </w:tc>
        <w:tc>
          <w:tcPr>
            <w:tcW w:type="dxa" w:w="1276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2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2023 г.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3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2022 г.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4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2021 г.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5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2023 г.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6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2022 г.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7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2021 г.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8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2023 г.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9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2022 г.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AA010000">
            <w:pPr>
              <w:ind/>
              <w:jc w:val="center"/>
              <w:rPr>
                <w:rFonts w:ascii="Times New Roman" w:hAnsi="Times New Roman"/>
                <w:b w:val="1"/>
                <w:color w:val="000000"/>
                <w:sz w:val="20"/>
              </w:rPr>
            </w:pPr>
            <w:r>
              <w:rPr>
                <w:rFonts w:ascii="Times New Roman" w:hAnsi="Times New Roman"/>
                <w:b w:val="1"/>
                <w:color w:val="000000"/>
                <w:sz w:val="20"/>
              </w:rPr>
              <w:t>2021 г.</w:t>
            </w:r>
          </w:p>
        </w:tc>
      </w:tr>
      <w:tr>
        <w:trPr>
          <w:trHeight w:hRule="atLeast" w:val="315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AB010000">
            <w:pPr>
              <w:ind/>
              <w:jc w:val="both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Выручка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AC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3 945 622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AD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354 636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AE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142 445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AF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1 742 525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0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2 302 197 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B1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1 993 463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2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5 688 147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3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2 656 833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B4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2 135 908</w:t>
            </w:r>
          </w:p>
        </w:tc>
      </w:tr>
      <w:tr>
        <w:trPr>
          <w:trHeight w:hRule="atLeast" w:val="334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5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Себестоимость продаж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6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(3 732 002)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7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266 177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B8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197 486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9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-1 767 090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A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2 281 000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BB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1 993 463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C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(5 499 092)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D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-2 547 177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BE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(2 190 949)</w:t>
            </w:r>
          </w:p>
        </w:tc>
      </w:tr>
      <w:tr>
        <w:trPr>
          <w:trHeight w:hRule="atLeast" w:val="268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BF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Валовая прибыль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0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213 621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1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88 459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C2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-55 041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3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(24 565)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4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21 197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C5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6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189 056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7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109 656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C8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( 55 041)</w:t>
            </w:r>
          </w:p>
        </w:tc>
      </w:tr>
      <w:tr>
        <w:trPr>
          <w:trHeight w:hRule="atLeast" w:val="277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9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Управленческие расходы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A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(44 704)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B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(92 985)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CC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-87302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D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-66 842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CE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21 197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CF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0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(111 546)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1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-114 182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D2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(87 302)</w:t>
            </w:r>
          </w:p>
        </w:tc>
      </w:tr>
      <w:tr>
        <w:trPr>
          <w:trHeight w:hRule="atLeast" w:val="262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3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Прибыль (убыток) от продаж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4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168 917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5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(4 526)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D6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(142 343)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7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-91 407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8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D9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A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77 510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B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-4 526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DC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(142 343)</w:t>
            </w:r>
          </w:p>
        </w:tc>
      </w:tr>
      <w:tr>
        <w:trPr>
          <w:trHeight w:hRule="atLeast" w:val="267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D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Проценты к получению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E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13 357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DF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7 366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E0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3 514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1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3 818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2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E3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4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17 175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5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7 366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E6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3 514</w:t>
            </w:r>
          </w:p>
        </w:tc>
      </w:tr>
      <w:tr>
        <w:trPr>
          <w:trHeight w:hRule="atLeast" w:val="283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7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Проценты к уплате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8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-50 904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9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(87 091)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EA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(64 532)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B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-40 451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C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ED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E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(91 355)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EF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-87 091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F0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(64 532)</w:t>
            </w:r>
          </w:p>
        </w:tc>
      </w:tr>
      <w:tr>
        <w:trPr>
          <w:trHeight w:hRule="atLeast" w:val="274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1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Прочие доходы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2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45 312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3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160 833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F4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353 589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5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90 222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6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F7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8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135 534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9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160 833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FA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353 589</w:t>
            </w:r>
          </w:p>
        </w:tc>
      </w:tr>
      <w:tr>
        <w:trPr>
          <w:trHeight w:hRule="atLeast" w:val="277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B01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Прочие расходы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C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(35 997)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D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(139 605)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FE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(279 665)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FF01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-81 896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0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01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2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(117 893)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3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-139 605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04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(279 665)</w:t>
            </w:r>
          </w:p>
        </w:tc>
      </w:tr>
      <w:tr>
        <w:trPr>
          <w:trHeight w:hRule="atLeast" w:val="268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502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Прибыль (убыток) до налогообложения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6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140 685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7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(63 026)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08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(129 437)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9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-119 714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A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0B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C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20 971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D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-63 023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0E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(129 437)</w:t>
            </w:r>
          </w:p>
        </w:tc>
      </w:tr>
      <w:tr>
        <w:trPr>
          <w:trHeight w:hRule="atLeast" w:val="272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0F020000">
            <w:pPr>
              <w:ind/>
              <w:jc w:val="both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Налог на прибыль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0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(24 979)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1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(423 087)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12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17970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3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4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15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6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(24 979)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7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-423 087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18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17 970</w:t>
            </w:r>
          </w:p>
        </w:tc>
      </w:tr>
      <w:tr>
        <w:trPr>
          <w:trHeight w:hRule="atLeast" w:val="276"/>
        </w:trPr>
        <w:tc>
          <w:tcPr>
            <w:tcW w:type="dxa" w:w="3827"/>
            <w:tcBorders>
              <w:top w:sz="4" w:val="nil"/>
              <w:left w:color="000000" w:sz="8" w:val="single"/>
              <w:bottom w:color="000000" w:sz="8" w:val="single"/>
              <w:right w:color="000000" w:sz="4" w:val="single"/>
            </w:tcBorders>
            <w:shd w:themeFill="background1" w:val="clear"/>
            <w:vAlign w:val="center"/>
          </w:tcPr>
          <w:p w14:paraId="19020000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Чистая прибыль (убыток)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8" w:val="single"/>
              <w:right w:color="000000" w:sz="4" w:val="single"/>
            </w:tcBorders>
            <w:shd w:themeFill="background1" w:val="clear"/>
            <w:vAlign w:val="center"/>
          </w:tcPr>
          <w:p w14:paraId="1A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115 706</w:t>
            </w:r>
          </w:p>
        </w:tc>
        <w:tc>
          <w:tcPr>
            <w:tcW w:type="dxa" w:w="1275"/>
            <w:tcBorders>
              <w:top w:sz="4" w:val="nil"/>
              <w:left w:sz="4" w:val="nil"/>
              <w:bottom w:color="000000" w:sz="8" w:val="single"/>
              <w:right w:color="000000" w:sz="4" w:val="single"/>
            </w:tcBorders>
            <w:shd w:themeFill="background1" w:val="clear"/>
            <w:vAlign w:val="center"/>
          </w:tcPr>
          <w:p w14:paraId="1B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(486 110)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1C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(111 467)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4" w:val="single"/>
            </w:tcBorders>
            <w:shd w:themeFill="background1" w:val="clear"/>
            <w:vAlign w:val="center"/>
          </w:tcPr>
          <w:p w14:paraId="1D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-119 714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shd w:themeFill="background1" w:val="clear"/>
            <w:vAlign w:val="center"/>
          </w:tcPr>
          <w:p w14:paraId="1E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4" w:val="single"/>
              <w:right w:color="000000" w:sz="8" w:val="single"/>
            </w:tcBorders>
            <w:shd w:themeFill="background1" w:val="clear"/>
            <w:vAlign w:val="center"/>
          </w:tcPr>
          <w:p w14:paraId="1F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8" w:val="single"/>
              <w:right w:color="000000" w:sz="4" w:val="single"/>
            </w:tcBorders>
            <w:shd w:themeFill="background1" w:val="clear"/>
            <w:vAlign w:val="center"/>
          </w:tcPr>
          <w:p w14:paraId="20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(4 008)</w:t>
            </w:r>
          </w:p>
        </w:tc>
        <w:tc>
          <w:tcPr>
            <w:tcW w:type="dxa" w:w="1134"/>
            <w:tcBorders>
              <w:top w:sz="4" w:val="nil"/>
              <w:left w:sz="4" w:val="nil"/>
              <w:bottom w:color="000000" w:sz="8" w:val="single"/>
              <w:right w:color="000000" w:sz="4" w:val="single"/>
            </w:tcBorders>
            <w:shd w:themeFill="background1" w:val="clear"/>
            <w:vAlign w:val="center"/>
          </w:tcPr>
          <w:p w14:paraId="21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-486 110</w:t>
            </w:r>
          </w:p>
        </w:tc>
        <w:tc>
          <w:tcPr>
            <w:tcW w:type="dxa" w:w="1276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shd w:themeFill="background1" w:val="clear"/>
            <w:vAlign w:val="center"/>
          </w:tcPr>
          <w:p w14:paraId="22020000">
            <w:pPr>
              <w:ind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(111 467)</w:t>
            </w:r>
          </w:p>
        </w:tc>
      </w:tr>
    </w:tbl>
    <w:p w14:paraId="23020000">
      <w:pPr>
        <w:pStyle w:val="Style_14"/>
        <w:spacing w:before="0" w:line="240" w:lineRule="auto"/>
        <w:ind w:firstLine="720" w:left="0"/>
        <w:jc w:val="both"/>
        <w:rPr>
          <w:sz w:val="22"/>
        </w:rPr>
      </w:pPr>
    </w:p>
    <w:p w14:paraId="24020000">
      <w:pPr>
        <w:pStyle w:val="Style_14"/>
        <w:spacing w:before="0" w:line="240" w:lineRule="auto"/>
        <w:ind w:firstLine="720" w:left="0"/>
        <w:jc w:val="both"/>
        <w:rPr>
          <w:sz w:val="22"/>
        </w:rPr>
      </w:pPr>
    </w:p>
    <w:p w14:paraId="25020000">
      <w:pPr>
        <w:ind w:firstLine="720" w:left="0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b w:val="1"/>
          <w:sz w:val="22"/>
        </w:rPr>
        <w:t>Динамика показателей операционной деятельности</w:t>
      </w:r>
      <w:r>
        <w:rPr>
          <w:rFonts w:ascii="Times New Roman" w:hAnsi="Times New Roman"/>
          <w:b w:val="1"/>
          <w:sz w:val="22"/>
        </w:rPr>
        <w:t xml:space="preserve"> ПАО СУС, </w:t>
      </w:r>
      <w:r>
        <w:rPr>
          <w:rFonts w:ascii="Times New Roman" w:hAnsi="Times New Roman"/>
          <w:sz w:val="22"/>
        </w:rPr>
        <w:t>млн.руб</w:t>
      </w:r>
      <w:r>
        <w:rPr>
          <w:rFonts w:ascii="Times New Roman" w:hAnsi="Times New Roman"/>
          <w:sz w:val="22"/>
        </w:rPr>
        <w:t>.</w:t>
      </w:r>
    </w:p>
    <w:p w14:paraId="26020000">
      <w:pPr>
        <w:ind w:firstLine="720" w:left="0"/>
        <w:jc w:val="both"/>
        <w:rPr>
          <w:rFonts w:ascii="Times New Roman" w:hAnsi="Times New Roman"/>
          <w:b w:val="1"/>
          <w:sz w:val="22"/>
        </w:rPr>
      </w:pPr>
    </w:p>
    <w:tbl>
      <w:tblPr>
        <w:tblStyle w:val="Style_2"/>
        <w:tblW w:type="auto" w:w="0"/>
        <w:tblInd w:type="dxa" w:w="988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5103"/>
        <w:gridCol w:w="1559"/>
        <w:gridCol w:w="1701"/>
        <w:gridCol w:w="1417"/>
        <w:gridCol w:w="1701"/>
        <w:gridCol w:w="1418"/>
        <w:gridCol w:w="1701"/>
      </w:tblGrid>
      <w:tr>
        <w:trPr>
          <w:trHeight w:hRule="atLeast" w:val="297"/>
        </w:trPr>
        <w:tc>
          <w:tcPr>
            <w:tcW w:type="dxa" w:w="5103"/>
            <w:vMerge w:val="restart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7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Наименование показателя</w:t>
            </w:r>
          </w:p>
        </w:tc>
        <w:tc>
          <w:tcPr>
            <w:tcW w:type="dxa" w:w="326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8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2023 г.</w:t>
            </w:r>
          </w:p>
        </w:tc>
        <w:tc>
          <w:tcPr>
            <w:tcW w:type="dxa" w:w="3118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9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2022 г.</w:t>
            </w:r>
          </w:p>
        </w:tc>
        <w:tc>
          <w:tcPr>
            <w:tcW w:type="dxa" w:w="311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2A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2021 г.</w:t>
            </w:r>
          </w:p>
        </w:tc>
      </w:tr>
      <w:tr>
        <w:trPr>
          <w:trHeight w:hRule="atLeast" w:val="475"/>
        </w:trPr>
        <w:tc>
          <w:tcPr>
            <w:tcW w:type="dxa" w:w="5103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/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B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Выручка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C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Себестоимость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D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Выручка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E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Себестоимость</w:t>
            </w:r>
          </w:p>
        </w:tc>
        <w:tc>
          <w:tcPr>
            <w:tcW w:type="dxa" w:w="14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2F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Выручка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0020000">
            <w:pPr>
              <w:ind/>
              <w:jc w:val="center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Себестоимость</w:t>
            </w:r>
          </w:p>
        </w:tc>
      </w:tr>
      <w:tr>
        <w:trPr>
          <w:trHeight w:hRule="atLeast" w:val="292"/>
        </w:trPr>
        <w:tc>
          <w:tcPr>
            <w:tcW w:type="dxa" w:w="510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1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Всего</w:t>
            </w:r>
            <w:r>
              <w:rPr>
                <w:rFonts w:ascii="Times New Roman" w:hAnsi="Times New Roman"/>
                <w:b w:val="1"/>
                <w:sz w:val="20"/>
              </w:rPr>
              <w:t>, в т.ч.: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2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5 688 14</w:t>
            </w:r>
            <w:r>
              <w:rPr>
                <w:rFonts w:ascii="Times New Roman" w:hAnsi="Times New Roman"/>
                <w:b w:val="1"/>
                <w:sz w:val="20"/>
              </w:rPr>
              <w:t>7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3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5 499 092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4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2 656 833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5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2 547 177</w:t>
            </w:r>
          </w:p>
        </w:tc>
        <w:tc>
          <w:tcPr>
            <w:tcW w:type="dxa" w:w="14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36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2 135 908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37020000">
            <w:pPr>
              <w:ind/>
              <w:jc w:val="both"/>
              <w:rPr>
                <w:rFonts w:ascii="Times New Roman" w:hAnsi="Times New Roman"/>
                <w:b w:val="1"/>
                <w:sz w:val="20"/>
              </w:rPr>
            </w:pPr>
            <w:r>
              <w:rPr>
                <w:rFonts w:ascii="Times New Roman" w:hAnsi="Times New Roman"/>
                <w:b w:val="1"/>
                <w:sz w:val="20"/>
              </w:rPr>
              <w:t>2 190 949</w:t>
            </w:r>
          </w:p>
        </w:tc>
      </w:tr>
      <w:tr>
        <w:trPr>
          <w:trHeight w:hRule="atLeast" w:val="281"/>
        </w:trPr>
        <w:tc>
          <w:tcPr>
            <w:tcW w:type="dxa" w:w="510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8020000">
            <w:pPr>
              <w:ind/>
              <w:jc w:val="right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- строительно-монтажные работы: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9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3 736 104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A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3 736 902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B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41 175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C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49 807</w:t>
            </w:r>
          </w:p>
        </w:tc>
        <w:tc>
          <w:tcPr>
            <w:tcW w:type="dxa" w:w="14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3D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0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3E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0</w:t>
            </w:r>
          </w:p>
        </w:tc>
      </w:tr>
      <w:tr>
        <w:trPr>
          <w:trHeight w:hRule="atLeast" w:val="272"/>
        </w:trPr>
        <w:tc>
          <w:tcPr>
            <w:tcW w:type="dxa" w:w="510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3F020000">
            <w:pPr>
              <w:ind/>
              <w:jc w:val="right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- услуги лаборатории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0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167290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1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126086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2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139 010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3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101 817</w:t>
            </w:r>
          </w:p>
        </w:tc>
        <w:tc>
          <w:tcPr>
            <w:tcW w:type="dxa" w:w="14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44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113 651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45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72 918</w:t>
            </w:r>
          </w:p>
        </w:tc>
      </w:tr>
      <w:tr>
        <w:trPr>
          <w:trHeight w:hRule="atLeast" w:val="406"/>
        </w:trPr>
        <w:tc>
          <w:tcPr>
            <w:tcW w:type="dxa" w:w="510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6020000">
            <w:pPr>
              <w:ind/>
              <w:jc w:val="right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- услуги автотранспорта и спецтехники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7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1 580 869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8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1 505 976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9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2 284 558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A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2 251 558</w:t>
            </w:r>
          </w:p>
        </w:tc>
        <w:tc>
          <w:tcPr>
            <w:tcW w:type="dxa" w:w="14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4B020000">
            <w:pPr>
              <w:ind w:firstLine="534" w:left="-534"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1 986 894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4C020000">
            <w:pPr>
              <w:ind w:firstLine="534" w:left="-534"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2 095 632</w:t>
            </w:r>
          </w:p>
        </w:tc>
      </w:tr>
      <w:tr>
        <w:trPr>
          <w:trHeight w:hRule="atLeast" w:val="284"/>
        </w:trPr>
        <w:tc>
          <w:tcPr>
            <w:tcW w:type="dxa" w:w="510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D020000">
            <w:pPr>
              <w:ind/>
              <w:jc w:val="right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- прочие услуги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E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203 885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4F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130128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50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192 090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  <w:vAlign w:val="center"/>
          </w:tcPr>
          <w:p w14:paraId="51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143 995</w:t>
            </w:r>
          </w:p>
        </w:tc>
        <w:tc>
          <w:tcPr>
            <w:tcW w:type="dxa" w:w="14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52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13 782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FFFFFF" w:val="clear"/>
          </w:tcPr>
          <w:p w14:paraId="53020000">
            <w:pPr>
              <w:ind/>
              <w:jc w:val="both"/>
              <w:rPr>
                <w:rFonts w:ascii="Times New Roman" w:hAnsi="Times New Roman"/>
                <w:i w:val="1"/>
                <w:sz w:val="20"/>
              </w:rPr>
            </w:pPr>
            <w:r>
              <w:rPr>
                <w:rFonts w:ascii="Times New Roman" w:hAnsi="Times New Roman"/>
                <w:i w:val="1"/>
                <w:sz w:val="20"/>
              </w:rPr>
              <w:t>7 504</w:t>
            </w:r>
          </w:p>
        </w:tc>
      </w:tr>
    </w:tbl>
    <w:p w14:paraId="54020000">
      <w:pPr>
        <w:ind w:firstLine="720" w:left="0"/>
        <w:jc w:val="both"/>
        <w:rPr>
          <w:rFonts w:ascii="Times New Roman" w:hAnsi="Times New Roman"/>
          <w:highlight w:val="green"/>
        </w:rPr>
      </w:pPr>
    </w:p>
    <w:p w14:paraId="55020000">
      <w:pPr>
        <w:ind w:firstLine="720" w:left="0"/>
        <w:jc w:val="both"/>
        <w:rPr>
          <w:rFonts w:ascii="Times New Roman" w:hAnsi="Times New Roman"/>
          <w:highlight w:val="green"/>
        </w:rPr>
      </w:pPr>
    </w:p>
    <w:p w14:paraId="56020000">
      <w:pPr>
        <w:ind w:firstLine="720" w:left="0"/>
        <w:jc w:val="both"/>
        <w:rPr>
          <w:rFonts w:ascii="Times New Roman" w:hAnsi="Times New Roman"/>
          <w:highlight w:val="green"/>
        </w:rPr>
      </w:pPr>
    </w:p>
    <w:p w14:paraId="57020000">
      <w:pPr>
        <w:ind w:firstLine="720" w:left="0"/>
        <w:jc w:val="both"/>
        <w:rPr>
          <w:rFonts w:ascii="Times New Roman" w:hAnsi="Times New Roman"/>
          <w:highlight w:val="green"/>
        </w:rPr>
      </w:pPr>
    </w:p>
    <w:p w14:paraId="58020000">
      <w:pPr>
        <w:sectPr>
          <w:footerReference r:id="rId2" w:type="default"/>
          <w:pgSz w:h="11906" w:orient="landscape" w:w="16838"/>
          <w:pgMar w:bottom="851" w:footer="397" w:gutter="0" w:header="397" w:left="567" w:right="851" w:top="1559"/>
          <w:pgNumType w:start="1"/>
          <w:titlePg/>
        </w:sectPr>
      </w:pPr>
    </w:p>
    <w:p w14:paraId="59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основании Решения внеочередного общего собрания акционеров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(Протокол ВОСА № 1-2023 от 03.03.2023 г.), передаточного Акта (Приложение № 1 к Протоколу ВОСА №1-2023 от 03.03.2023 г. ) для достижения наиболее эффективного использования активов, рационализации управления и сокращения издержек в интересах повышения прибыли, была осуществлена реорганизация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путем выделения  из него ООО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(Выделяемое общество)  в соответствии со ст. 53 ФЗ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Об обществах с ограниченной ответственностью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№14-ФЗ от 08.02.1998 года, с передачей части прав и обязанностей по автотранспортной деятельности от Основного общества к Выделяемому Обществу на основании передаточного Акта. Дата составления передаточного акта 06.03.2023 года.</w:t>
      </w:r>
    </w:p>
    <w:p w14:paraId="5A020000">
      <w:pPr>
        <w:ind w:firstLine="720" w:left="0"/>
        <w:jc w:val="both"/>
        <w:rPr>
          <w:rFonts w:ascii="Times New Roman" w:hAnsi="Times New Roman"/>
        </w:rPr>
      </w:pPr>
    </w:p>
    <w:p w14:paraId="5B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Единый государственный реестр юридических лиц 16.03.2023г. была внесена запись (ГРН 2234700078083) о начале процедуры реорганизации в форме выделения.</w:t>
      </w:r>
    </w:p>
    <w:p w14:paraId="5C020000">
      <w:pPr>
        <w:ind w:firstLine="720" w:left="0"/>
        <w:jc w:val="both"/>
        <w:rPr>
          <w:rFonts w:ascii="Times New Roman" w:hAnsi="Times New Roman"/>
        </w:rPr>
      </w:pPr>
    </w:p>
    <w:p w14:paraId="5D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соответствие с положениями Гражданского кодекса РФ (ст. 58, ст. 60), ч. 1 ст. 19 Федерального закона от 26.12.1995 г.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Об акционерных обществах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№ 208-ФЗ, выделением общества признается создание одного или нескольких обществ с передачей им части прав и обязанностей реорганизуемого общества без прекращения последнего.</w:t>
      </w:r>
    </w:p>
    <w:p w14:paraId="5E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Единый государственный реестр юридических лиц 19.07.2023г. была внесена запись о государственной регистрации юридического лица, создаваемого путем реорганизации в форме выделения – Общество с ограниченной ответственностью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- ООО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(ОГРН 1234700019179, ИНН 4707051769) и о завершении реорганизации Публичного акционерного общества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Северное управление строительства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в форме выделения из него другого юридического лица (ГРН 2234700251597). </w:t>
      </w:r>
    </w:p>
    <w:p w14:paraId="5F020000">
      <w:pPr>
        <w:ind w:firstLine="720" w:left="0"/>
        <w:jc w:val="both"/>
        <w:rPr>
          <w:rFonts w:ascii="Times New Roman" w:hAnsi="Times New Roman"/>
        </w:rPr>
      </w:pPr>
    </w:p>
    <w:p w14:paraId="60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Уставный капитал Основного общества (ПАО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) не подлежит изменению.</w:t>
      </w:r>
    </w:p>
    <w:p w14:paraId="61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сформировал уставный капитал ООО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в сумме 1 000 тыс. руб. за счет собственных средств.</w:t>
      </w:r>
    </w:p>
    <w:p w14:paraId="6202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Расходы, связанные с реорганизацией, составляют 732 328,51 руб.</w:t>
      </w:r>
    </w:p>
    <w:p w14:paraId="63020000">
      <w:pPr>
        <w:ind w:firstLine="720" w:left="0"/>
        <w:jc w:val="both"/>
        <w:rPr>
          <w:rFonts w:ascii="Times New Roman" w:hAnsi="Times New Roman"/>
        </w:rPr>
      </w:pPr>
    </w:p>
    <w:p w14:paraId="64020000">
      <w:pPr>
        <w:pStyle w:val="Style_14"/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Операционная деятельность ПАО СУС в 2023 году представлена следующими направлениями:</w:t>
      </w:r>
    </w:p>
    <w:p w14:paraId="65020000">
      <w:pPr>
        <w:pStyle w:val="Style_14"/>
        <w:numPr>
          <w:ilvl w:val="0"/>
          <w:numId w:val="12"/>
        </w:numPr>
        <w:spacing w:before="0" w:line="240" w:lineRule="auto"/>
        <w:ind/>
        <w:jc w:val="both"/>
        <w:rPr>
          <w:sz w:val="24"/>
        </w:rPr>
      </w:pPr>
      <w:r>
        <w:rPr>
          <w:sz w:val="24"/>
        </w:rPr>
        <w:t>Строительно-монтажные работы;</w:t>
      </w:r>
    </w:p>
    <w:p w14:paraId="66020000">
      <w:pPr>
        <w:pStyle w:val="Style_14"/>
        <w:numPr>
          <w:ilvl w:val="0"/>
          <w:numId w:val="12"/>
        </w:numPr>
        <w:spacing w:before="0" w:line="240" w:lineRule="auto"/>
        <w:ind/>
        <w:jc w:val="both"/>
        <w:rPr>
          <w:sz w:val="24"/>
        </w:rPr>
      </w:pPr>
      <w:r>
        <w:rPr>
          <w:sz w:val="24"/>
        </w:rPr>
        <w:t>Услуги лаборатории;</w:t>
      </w:r>
    </w:p>
    <w:p w14:paraId="67020000">
      <w:pPr>
        <w:pStyle w:val="Style_14"/>
        <w:numPr>
          <w:ilvl w:val="0"/>
          <w:numId w:val="12"/>
        </w:numPr>
        <w:spacing w:before="0" w:line="240" w:lineRule="auto"/>
        <w:ind/>
        <w:jc w:val="both"/>
        <w:rPr>
          <w:sz w:val="24"/>
        </w:rPr>
      </w:pPr>
      <w:r>
        <w:rPr>
          <w:sz w:val="24"/>
        </w:rPr>
        <w:t>Услуги автотранспорта и спецтехники;</w:t>
      </w:r>
    </w:p>
    <w:p w14:paraId="68020000">
      <w:pPr>
        <w:pStyle w:val="Style_14"/>
        <w:numPr>
          <w:ilvl w:val="0"/>
          <w:numId w:val="12"/>
        </w:numPr>
        <w:spacing w:before="0" w:line="240" w:lineRule="auto"/>
        <w:ind/>
        <w:jc w:val="both"/>
        <w:rPr>
          <w:sz w:val="24"/>
        </w:rPr>
      </w:pPr>
      <w:r>
        <w:rPr>
          <w:sz w:val="24"/>
        </w:rPr>
        <w:t>Прочие услуги</w:t>
      </w:r>
    </w:p>
    <w:p w14:paraId="69020000">
      <w:pPr>
        <w:pStyle w:val="Style_14"/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При анализе операционной деятельности за 2023 год, необходимо учитывать влияние на ФХД организации процесса реорганизации (табл. </w:t>
      </w:r>
      <w:r>
        <w:rPr>
          <w:sz w:val="24"/>
        </w:rPr>
        <w:t>«</w:t>
      </w:r>
      <w:r>
        <w:rPr>
          <w:sz w:val="24"/>
        </w:rPr>
        <w:t>Динамика показателей операционной деятельности ПАО СУС</w:t>
      </w:r>
      <w:r>
        <w:rPr>
          <w:sz w:val="24"/>
        </w:rPr>
        <w:t>»</w:t>
      </w:r>
      <w:r>
        <w:rPr>
          <w:sz w:val="24"/>
        </w:rPr>
        <w:t>).</w:t>
      </w:r>
      <w:r>
        <w:rPr>
          <w:sz w:val="24"/>
        </w:rPr>
        <w:t xml:space="preserve"> Результатом, которой стало выведение из ПАО СУС автотранспортного подразделения и наполнение организации строителями.</w:t>
      </w:r>
    </w:p>
    <w:p w14:paraId="6A020000">
      <w:pPr>
        <w:pStyle w:val="Style_14"/>
        <w:spacing w:before="0" w:line="240" w:lineRule="auto"/>
        <w:ind w:firstLine="720" w:left="0"/>
        <w:jc w:val="both"/>
        <w:rPr>
          <w:color w:val="000000"/>
          <w:sz w:val="22"/>
        </w:rPr>
      </w:pPr>
      <w:r>
        <w:rPr>
          <w:color w:val="000000"/>
          <w:sz w:val="22"/>
        </w:rPr>
        <w:t>...</w:t>
      </w:r>
    </w:p>
    <w:p w14:paraId="6B020000">
      <w:pPr>
        <w:pStyle w:val="Style_14"/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Основными перспективными направлениями деятельности ПАО </w:t>
      </w:r>
      <w:r>
        <w:rPr>
          <w:sz w:val="24"/>
        </w:rPr>
        <w:t>«</w:t>
      </w:r>
      <w:r>
        <w:rPr>
          <w:sz w:val="24"/>
        </w:rPr>
        <w:t>СУС</w:t>
      </w:r>
      <w:r>
        <w:rPr>
          <w:sz w:val="24"/>
        </w:rPr>
        <w:t>»</w:t>
      </w:r>
      <w:r>
        <w:rPr>
          <w:sz w:val="24"/>
        </w:rPr>
        <w:t xml:space="preserve"> в 2023 и на 2024 годы стали: </w:t>
      </w:r>
    </w:p>
    <w:p w14:paraId="6C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подготовка к строительству объектов замещающих мощностей на стройплощадке ЛАЭС-2 (блоки № 3 и № 4); </w:t>
      </w:r>
    </w:p>
    <w:p w14:paraId="6D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реконструкция объектов (вывод из эксплуатации остановленных и реконструкция действующих) энергоблоков Ленинградской АЭС;</w:t>
      </w:r>
    </w:p>
    <w:p w14:paraId="6E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выполнение работ в г. Сосновый Бор, заказчиком которых выступает ФГУП </w:t>
      </w:r>
      <w:r>
        <w:rPr>
          <w:sz w:val="24"/>
        </w:rPr>
        <w:t>«</w:t>
      </w:r>
      <w:r>
        <w:rPr>
          <w:sz w:val="24"/>
        </w:rPr>
        <w:t>Научно - исследовательский технологический институт им. А.П. Александрова</w:t>
      </w:r>
      <w:r>
        <w:rPr>
          <w:sz w:val="24"/>
        </w:rPr>
        <w:t>»</w:t>
      </w:r>
      <w:r>
        <w:rPr>
          <w:sz w:val="24"/>
        </w:rPr>
        <w:t>, Правительство Ленинградской области;</w:t>
      </w:r>
    </w:p>
    <w:p w14:paraId="6F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>строительство Центра обработки и хранения данных (ЦОД) на территории Республики Татарстана</w:t>
      </w:r>
    </w:p>
    <w:p w14:paraId="70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завершение работ на объекте </w:t>
      </w:r>
      <w:r>
        <w:rPr>
          <w:sz w:val="24"/>
        </w:rPr>
        <w:t>«</w:t>
      </w:r>
      <w:r>
        <w:rPr>
          <w:sz w:val="24"/>
        </w:rPr>
        <w:t>ЛСК</w:t>
      </w:r>
      <w:r>
        <w:rPr>
          <w:sz w:val="24"/>
        </w:rPr>
        <w:t>»</w:t>
      </w:r>
      <w:r>
        <w:rPr>
          <w:sz w:val="24"/>
        </w:rPr>
        <w:t xml:space="preserve"> (Калининградская область), выполнение работ на объектах Курская АЭС, объект </w:t>
      </w:r>
      <w:r>
        <w:rPr>
          <w:sz w:val="24"/>
        </w:rPr>
        <w:t>«</w:t>
      </w:r>
      <w:r>
        <w:rPr>
          <w:sz w:val="24"/>
        </w:rPr>
        <w:t>Прорыв</w:t>
      </w:r>
      <w:r>
        <w:rPr>
          <w:sz w:val="24"/>
        </w:rPr>
        <w:t>»</w:t>
      </w:r>
      <w:r>
        <w:rPr>
          <w:sz w:val="24"/>
        </w:rPr>
        <w:t xml:space="preserve"> в ЗАТО г. Северск, Красноярский Край г. Норильск), Центральном, Уральском, Сибирском Федеральных округах.</w:t>
      </w:r>
    </w:p>
    <w:p w14:paraId="71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2022-2024 гг. участие в реализации проектов по строительству энергоблоков АЭС в Турецкой Республике (АЭС </w:t>
      </w:r>
      <w:r>
        <w:rPr>
          <w:sz w:val="24"/>
        </w:rPr>
        <w:t>«</w:t>
      </w:r>
      <w:r>
        <w:rPr>
          <w:sz w:val="24"/>
        </w:rPr>
        <w:t>АКУЮ</w:t>
      </w:r>
      <w:r>
        <w:rPr>
          <w:sz w:val="24"/>
        </w:rPr>
        <w:t>»</w:t>
      </w:r>
      <w:r>
        <w:rPr>
          <w:sz w:val="24"/>
        </w:rPr>
        <w:t xml:space="preserve">), Арабской Республике Египет (АЭС </w:t>
      </w:r>
      <w:r>
        <w:rPr>
          <w:sz w:val="24"/>
        </w:rPr>
        <w:t>«</w:t>
      </w:r>
      <w:r>
        <w:rPr>
          <w:sz w:val="24"/>
        </w:rPr>
        <w:t>ЭЛЬ ДАБАА</w:t>
      </w:r>
      <w:r>
        <w:rPr>
          <w:sz w:val="24"/>
        </w:rPr>
        <w:t>»</w:t>
      </w:r>
      <w:r>
        <w:rPr>
          <w:sz w:val="24"/>
        </w:rPr>
        <w:t xml:space="preserve">), Венгерской Республике (АЭС </w:t>
      </w:r>
      <w:r>
        <w:rPr>
          <w:sz w:val="24"/>
        </w:rPr>
        <w:t>«</w:t>
      </w:r>
      <w:r>
        <w:rPr>
          <w:sz w:val="24"/>
        </w:rPr>
        <w:t>ПАКШ</w:t>
      </w:r>
      <w:r>
        <w:rPr>
          <w:sz w:val="24"/>
        </w:rPr>
        <w:t>»</w:t>
      </w:r>
      <w:r>
        <w:rPr>
          <w:sz w:val="24"/>
        </w:rPr>
        <w:t>);</w:t>
      </w:r>
    </w:p>
    <w:p w14:paraId="72020000">
      <w:pPr>
        <w:pStyle w:val="Style_14"/>
        <w:numPr>
          <w:ilvl w:val="0"/>
          <w:numId w:val="1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4"/>
        </w:rPr>
      </w:pPr>
      <w:r>
        <w:rPr>
          <w:sz w:val="24"/>
        </w:rPr>
        <w:t xml:space="preserve">заключение в 2023 года крупных договоров субподряда на выполнение строительно-монтажных работ, поставки оборудования, пусконаладочных работ и прочих </w:t>
      </w:r>
      <w:r>
        <w:rPr>
          <w:sz w:val="24"/>
        </w:rPr>
        <w:t xml:space="preserve">работ на проектах </w:t>
      </w:r>
      <w:r>
        <w:rPr>
          <w:sz w:val="24"/>
        </w:rPr>
        <w:t>«</w:t>
      </w:r>
      <w:r>
        <w:rPr>
          <w:sz w:val="24"/>
        </w:rPr>
        <w:t xml:space="preserve">Производственно-технический комплекс по обработке, утилизации и обезвреживанию отходов I и II классов опасности </w:t>
      </w:r>
      <w:r>
        <w:rPr>
          <w:sz w:val="24"/>
        </w:rPr>
        <w:t>«</w:t>
      </w:r>
      <w:r>
        <w:rPr>
          <w:sz w:val="24"/>
        </w:rPr>
        <w:t>Щучье</w:t>
      </w:r>
      <w:r>
        <w:rPr>
          <w:sz w:val="24"/>
        </w:rPr>
        <w:t>»</w:t>
      </w:r>
      <w:r>
        <w:rPr>
          <w:sz w:val="24"/>
        </w:rPr>
        <w:t xml:space="preserve">, </w:t>
      </w:r>
      <w:r>
        <w:rPr>
          <w:sz w:val="24"/>
        </w:rPr>
        <w:t>«</w:t>
      </w:r>
      <w:r>
        <w:rPr>
          <w:sz w:val="24"/>
        </w:rPr>
        <w:t>Горный</w:t>
      </w:r>
      <w:r>
        <w:rPr>
          <w:sz w:val="24"/>
        </w:rPr>
        <w:t>»</w:t>
      </w:r>
      <w:r>
        <w:rPr>
          <w:sz w:val="24"/>
        </w:rPr>
        <w:t>; строительство ЛАЭС-2 (3,4 энергоблок); Строительство Центра обработки и хранения данных на территории Республики Татарстан.</w:t>
      </w:r>
    </w:p>
    <w:p w14:paraId="73020000">
      <w:pPr>
        <w:pStyle w:val="Style_14"/>
        <w:tabs>
          <w:tab w:leader="none" w:pos="993" w:val="left"/>
        </w:tabs>
        <w:spacing w:before="0" w:line="240" w:lineRule="auto"/>
        <w:ind w:firstLine="709" w:left="0"/>
        <w:jc w:val="both"/>
        <w:rPr>
          <w:sz w:val="24"/>
        </w:rPr>
      </w:pPr>
      <w:r>
        <w:rPr>
          <w:sz w:val="24"/>
        </w:rPr>
        <w:t xml:space="preserve">Целями ПАО </w:t>
      </w:r>
      <w:r>
        <w:rPr>
          <w:sz w:val="24"/>
        </w:rPr>
        <w:t>«</w:t>
      </w:r>
      <w:r>
        <w:rPr>
          <w:sz w:val="24"/>
        </w:rPr>
        <w:t>СУС</w:t>
      </w:r>
      <w:r>
        <w:rPr>
          <w:sz w:val="24"/>
        </w:rPr>
        <w:t>»</w:t>
      </w:r>
      <w:r>
        <w:rPr>
          <w:sz w:val="24"/>
        </w:rPr>
        <w:t xml:space="preserve"> в долгосрочной перспективе являются дальнейшее поэтапное развитие компании и усиление эффективности деятельности с целью увеличения прибыли, расширение географии присутствия на строительных площадках путем пополнения производственной программы новыми объектами, находящимися за пределами региона.</w:t>
      </w:r>
    </w:p>
    <w:p w14:paraId="74020000">
      <w:bookmarkStart w:id="9" w:name="__RefHeading___113"/>
      <w:bookmarkEnd w:id="9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bookmarkEnd w:id="8"/>
      <w:r>
        <w:rPr>
          <w:rFonts w:ascii="Times New Roman" w:hAnsi="Times New Roman"/>
          <w:b w:val="1"/>
        </w:rPr>
        <w:t xml:space="preserve">1.4. Основные финансовые показатели ПАО </w:t>
      </w:r>
      <w:r>
        <w:rPr>
          <w:rFonts w:ascii="Times New Roman" w:hAnsi="Times New Roman"/>
          <w:b w:val="1"/>
        </w:rPr>
        <w:t>«</w:t>
      </w:r>
      <w:r>
        <w:rPr>
          <w:rFonts w:ascii="Times New Roman" w:hAnsi="Times New Roman"/>
          <w:b w:val="1"/>
        </w:rPr>
        <w:t>СУС</w:t>
      </w:r>
      <w:r>
        <w:rPr>
          <w:rFonts w:ascii="Times New Roman" w:hAnsi="Times New Roman"/>
          <w:b w:val="1"/>
        </w:rPr>
        <w:t>»</w:t>
      </w:r>
    </w:p>
    <w:p w14:paraId="7502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14:paraId="76020000">
      <w:pPr>
        <w:ind w:firstLine="567" w:left="0"/>
        <w:jc w:val="both"/>
        <w:rPr>
          <w:rFonts w:ascii="Times New Roman" w:hAnsi="Times New Roman"/>
          <w:b w:val="1"/>
        </w:rPr>
      </w:pPr>
      <w:bookmarkStart w:id="10" w:name="P242"/>
      <w:bookmarkEnd w:id="10"/>
    </w:p>
    <w:p w14:paraId="77020000">
      <w:bookmarkStart w:id="11" w:name="__RefHeading___114"/>
      <w:bookmarkEnd w:id="11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1.5.  Сведения об основных поставщиках эмитента</w:t>
      </w:r>
    </w:p>
    <w:p w14:paraId="7802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14:paraId="79020000">
      <w:bookmarkStart w:id="12" w:name="__RefHeading___115"/>
      <w:bookmarkEnd w:id="12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1.6.  Сведения об основных дебиторах эмитента</w:t>
      </w:r>
    </w:p>
    <w:p w14:paraId="7A02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14:paraId="7B020000">
      <w:pPr>
        <w:pStyle w:val="Style_8"/>
        <w:spacing w:after="0"/>
        <w:ind w:firstLine="567" w:left="0"/>
        <w:jc w:val="both"/>
        <w:outlineLvl w:val="8"/>
        <w:rPr>
          <w:rFonts w:ascii="Times New Roman" w:hAnsi="Times New Roman"/>
          <w:b w:val="1"/>
        </w:rPr>
      </w:pPr>
      <w:bookmarkStart w:id="13" w:name="P268"/>
      <w:bookmarkEnd w:id="13"/>
    </w:p>
    <w:p w14:paraId="7C020000">
      <w:bookmarkStart w:id="14" w:name="__RefHeading___116"/>
      <w:bookmarkEnd w:id="14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1.7.  Сведения об обязательствах эмитента</w:t>
      </w:r>
    </w:p>
    <w:p w14:paraId="7D020000">
      <w:pPr>
        <w:pStyle w:val="Style_10"/>
        <w:ind w:firstLine="72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14:paraId="7E020000">
      <w:pPr>
        <w:pStyle w:val="Style_8"/>
        <w:spacing w:after="0"/>
        <w:ind w:firstLine="567" w:left="0"/>
        <w:jc w:val="both"/>
        <w:outlineLvl w:val="8"/>
        <w:rPr>
          <w:rFonts w:ascii="Times New Roman" w:hAnsi="Times New Roman"/>
          <w:b w:val="1"/>
        </w:rPr>
      </w:pPr>
      <w:bookmarkStart w:id="15" w:name="P300"/>
      <w:bookmarkEnd w:id="15"/>
    </w:p>
    <w:p w14:paraId="7F020000">
      <w:bookmarkStart w:id="16" w:name="__RefHeading___117"/>
      <w:bookmarkEnd w:id="16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1.8. </w:t>
      </w:r>
      <w:r>
        <w:rPr>
          <w:rFonts w:ascii="Times New Roman" w:hAnsi="Times New Roman"/>
          <w:b w:val="1"/>
          <w:sz w:val="22"/>
        </w:rPr>
        <w:t xml:space="preserve"> Сведения о перспективах развития эмитента</w:t>
      </w:r>
    </w:p>
    <w:p w14:paraId="80020000">
      <w:pPr>
        <w:ind w:firstLine="720" w:left="0"/>
        <w:jc w:val="both"/>
        <w:rPr>
          <w:rFonts w:ascii="Times New Roman" w:hAnsi="Times New Roman"/>
        </w:rPr>
      </w:pPr>
      <w:bookmarkStart w:id="17" w:name="P304"/>
      <w:bookmarkEnd w:id="17"/>
      <w:r>
        <w:rPr>
          <w:rFonts w:ascii="Times New Roman" w:hAnsi="Times New Roman"/>
        </w:rPr>
        <w:t>В целях улучшения финансового состояния ПАО СУС в 2024 году, планируется продолжать мероприятия, заложенные в основу в 2023 году, в т.ч.:</w:t>
      </w:r>
    </w:p>
    <w:p w14:paraId="81020000">
      <w:pPr>
        <w:pStyle w:val="Style_14"/>
        <w:numPr>
          <w:ilvl w:val="0"/>
          <w:numId w:val="14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4"/>
        </w:rPr>
      </w:pPr>
      <w:r>
        <w:rPr>
          <w:sz w:val="24"/>
        </w:rPr>
        <w:t>исключение простоев техники и рабочей силы, обеспечивая тем самым непрерывность производственных процессов на объектах строительства;</w:t>
      </w:r>
    </w:p>
    <w:p w14:paraId="82020000">
      <w:pPr>
        <w:pStyle w:val="Style_14"/>
        <w:numPr>
          <w:ilvl w:val="0"/>
          <w:numId w:val="14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4"/>
        </w:rPr>
      </w:pPr>
      <w:r>
        <w:rPr>
          <w:sz w:val="24"/>
        </w:rPr>
        <w:t xml:space="preserve">минимизация затрат на создание временной инфраструктуры строительной площадки (временные дороги, временные ограждения, временное </w:t>
      </w:r>
      <w:r>
        <w:rPr>
          <w:sz w:val="24"/>
        </w:rPr>
        <w:t>энерго</w:t>
      </w:r>
      <w:r>
        <w:rPr>
          <w:sz w:val="24"/>
        </w:rPr>
        <w:t xml:space="preserve">- и водоснабжение) путем рациональной организации строительной площадки; </w:t>
      </w:r>
    </w:p>
    <w:p w14:paraId="83020000">
      <w:pPr>
        <w:pStyle w:val="Style_14"/>
        <w:numPr>
          <w:ilvl w:val="0"/>
          <w:numId w:val="14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4"/>
        </w:rPr>
      </w:pPr>
      <w:r>
        <w:rPr>
          <w:sz w:val="24"/>
        </w:rPr>
        <w:t>обеспечение качественных санитарно-бытовых условий для работающих и безопасных условий труда на строительной площадке с соблюдением требований охраны труда и экологии производства.</w:t>
      </w:r>
    </w:p>
    <w:p w14:paraId="84020000">
      <w:pPr>
        <w:pStyle w:val="Style_14"/>
        <w:tabs>
          <w:tab w:leader="none" w:pos="710" w:val="left"/>
          <w:tab w:leader="none" w:pos="1276" w:val="left"/>
        </w:tabs>
        <w:spacing w:before="0" w:line="240" w:lineRule="auto"/>
        <w:ind w:firstLine="0" w:left="0"/>
        <w:jc w:val="both"/>
        <w:rPr>
          <w:sz w:val="22"/>
        </w:rPr>
      </w:pPr>
    </w:p>
    <w:p w14:paraId="85020000">
      <w:bookmarkStart w:id="18" w:name="__RefHeading___118"/>
      <w:bookmarkEnd w:id="18"/>
      <w:pPr>
        <w:pStyle w:val="Style_8"/>
        <w:spacing w:before="240"/>
        <w:ind w:firstLine="567" w:left="0"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>1.9. Сведения о рисках, связанных с деятельностью эмитента</w:t>
      </w:r>
    </w:p>
    <w:p w14:paraId="8602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14:paraId="87020000">
      <w:bookmarkStart w:id="19" w:name="__RefHeading___119"/>
      <w:bookmarkEnd w:id="19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14:paraId="88020000">
      <w:bookmarkStart w:id="20" w:name="__RefHeading___120"/>
      <w:bookmarkEnd w:id="20"/>
      <w:pPr>
        <w:pStyle w:val="Style_8"/>
        <w:numPr>
          <w:ilvl w:val="1"/>
          <w:numId w:val="15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21" w:name="P380"/>
      <w:bookmarkEnd w:id="21"/>
      <w:r>
        <w:rPr>
          <w:rFonts w:ascii="Times New Roman" w:hAnsi="Times New Roman"/>
          <w:b w:val="1"/>
        </w:rPr>
        <w:t>Информация о лицах, входящих в состав органов управления эмитента</w:t>
      </w:r>
    </w:p>
    <w:p w14:paraId="89020000">
      <w:pPr>
        <w:widowControl w:val="0"/>
        <w:spacing w:after="40" w:before="20"/>
        <w:ind w:firstLine="284" w:left="0"/>
        <w:jc w:val="both"/>
        <w:rPr>
          <w:rFonts w:ascii="Times New Roman" w:hAnsi="Times New Roman"/>
        </w:rPr>
      </w:pPr>
    </w:p>
    <w:p w14:paraId="8A020000">
      <w:pPr>
        <w:widowControl w:val="0"/>
        <w:spacing w:after="40" w:before="20"/>
        <w:ind w:firstLine="284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Органами управления Общества согласно уставу являются:</w:t>
      </w:r>
    </w:p>
    <w:p w14:paraId="8B020000">
      <w:pPr>
        <w:widowControl w:val="0"/>
        <w:numPr>
          <w:ilvl w:val="0"/>
          <w:numId w:val="16"/>
        </w:numPr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Общее собрание акционеров</w:t>
      </w:r>
    </w:p>
    <w:p w14:paraId="8C020000">
      <w:pPr>
        <w:widowControl w:val="0"/>
        <w:numPr>
          <w:ilvl w:val="0"/>
          <w:numId w:val="16"/>
        </w:numPr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Совет директоров</w:t>
      </w:r>
    </w:p>
    <w:p w14:paraId="8D020000">
      <w:pPr>
        <w:widowControl w:val="0"/>
        <w:numPr>
          <w:ilvl w:val="0"/>
          <w:numId w:val="16"/>
        </w:numPr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Генеральный директор (исполнительный орган Общества).</w:t>
      </w:r>
    </w:p>
    <w:p w14:paraId="8E020000">
      <w:pPr>
        <w:widowControl w:val="0"/>
        <w:spacing w:after="40" w:before="20"/>
        <w:ind w:firstLine="0" w:left="644"/>
        <w:jc w:val="both"/>
        <w:rPr>
          <w:rFonts w:ascii="Times New Roman" w:hAnsi="Times New Roman"/>
        </w:rPr>
      </w:pPr>
    </w:p>
    <w:p w14:paraId="8F020000">
      <w:pPr>
        <w:widowControl w:val="0"/>
        <w:spacing w:after="40" w:before="20"/>
        <w:ind w:firstLine="0" w:left="64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 Совета директоров общества c 30 июня 2023 года входят 5 членов:</w:t>
      </w:r>
    </w:p>
    <w:p w14:paraId="90020000">
      <w:pPr>
        <w:widowControl w:val="0"/>
        <w:numPr>
          <w:ilvl w:val="0"/>
          <w:numId w:val="17"/>
        </w:numPr>
        <w:spacing w:after="40" w:before="2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Глазырин Андрей Владимирович </w:t>
      </w:r>
    </w:p>
    <w:p w14:paraId="91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1975</w:t>
      </w:r>
    </w:p>
    <w:p w14:paraId="92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Высшее: Балтийский государственный технический университет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ВОЕНМЕХ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им. Д.Ф. Устинова, менеджмент, 1998 г.</w:t>
      </w:r>
    </w:p>
    <w:p w14:paraId="93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14:paraId="94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Гражданство: Российская Федерация</w:t>
      </w:r>
    </w:p>
    <w:p w14:paraId="95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Наименование должности по основному месту работы:</w:t>
      </w:r>
    </w:p>
    <w:p w14:paraId="96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 02.12.2013 г   по </w:t>
      </w:r>
      <w:r>
        <w:rPr>
          <w:rFonts w:ascii="Times New Roman" w:hAnsi="Times New Roman"/>
        </w:rPr>
        <w:t>натоящее</w:t>
      </w:r>
      <w:r>
        <w:rPr>
          <w:rFonts w:ascii="Times New Roman" w:hAnsi="Times New Roman"/>
        </w:rPr>
        <w:t xml:space="preserve"> время -директор по экономике и финансам 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КОНЦЕРН ТИТАН-2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,</w:t>
      </w:r>
    </w:p>
    <w:p w14:paraId="97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том числе по совместительству– нет информации</w:t>
      </w:r>
    </w:p>
    <w:p w14:paraId="98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Общества, %: 0</w:t>
      </w:r>
    </w:p>
    <w:p w14:paraId="99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Общества, %: 0</w:t>
      </w:r>
    </w:p>
    <w:p w14:paraId="9A020000">
      <w:pPr>
        <w:widowControl w:val="0"/>
        <w:spacing w:before="160"/>
        <w:ind w:firstLine="283" w:left="283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</w:t>
      </w:r>
      <w:r>
        <w:rPr>
          <w:rFonts w:ascii="Times New Roman" w:hAnsi="Times New Roman"/>
        </w:rPr>
        <w:t>акции:</w:t>
      </w:r>
      <w:r>
        <w:rPr>
          <w:rFonts w:ascii="Times New Roman" w:hAnsi="Times New Roman"/>
          <w:i w:val="1"/>
        </w:rPr>
        <w:t>нет</w:t>
      </w:r>
      <w:r>
        <w:rPr>
          <w:rFonts w:ascii="Times New Roman" w:hAnsi="Times New Roman"/>
          <w:i w:val="1"/>
        </w:rPr>
        <w:t>.</w:t>
      </w:r>
    </w:p>
    <w:p w14:paraId="9B020000">
      <w:pPr>
        <w:widowControl w:val="0"/>
        <w:spacing w:before="160"/>
        <w:ind w:firstLine="283" w:left="28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акции-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</w:rPr>
        <w:t>нет.</w:t>
      </w:r>
    </w:p>
    <w:p w14:paraId="9C020000">
      <w:pPr>
        <w:widowControl w:val="0"/>
        <w:spacing w:before="160"/>
        <w:ind w:firstLine="283" w:left="283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сделки– с</w:t>
      </w:r>
      <w:r>
        <w:rPr>
          <w:rFonts w:ascii="Times New Roman" w:hAnsi="Times New Roman"/>
          <w:i w:val="1"/>
        </w:rPr>
        <w:t>делок не совершалось</w:t>
      </w:r>
    </w:p>
    <w:p w14:paraId="9D020000">
      <w:pPr>
        <w:widowControl w:val="0"/>
        <w:spacing w:after="40" w:before="20"/>
        <w:ind w:firstLine="0" w:left="567"/>
        <w:jc w:val="both"/>
        <w:rPr>
          <w:rFonts w:ascii="Times New Roman" w:hAnsi="Times New Roman"/>
        </w:rPr>
      </w:pPr>
    </w:p>
    <w:p w14:paraId="9E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9F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комитеты не формировались.</w:t>
      </w:r>
    </w:p>
    <w:p w14:paraId="A0020000">
      <w:pPr>
        <w:widowControl w:val="0"/>
        <w:spacing w:after="40" w:before="20"/>
        <w:ind w:firstLine="0" w:left="644"/>
        <w:jc w:val="both"/>
        <w:rPr>
          <w:rFonts w:ascii="Times New Roman" w:hAnsi="Times New Roman"/>
        </w:rPr>
      </w:pPr>
    </w:p>
    <w:p w14:paraId="A1020000">
      <w:pPr>
        <w:widowControl w:val="0"/>
        <w:numPr>
          <w:ilvl w:val="0"/>
          <w:numId w:val="17"/>
        </w:numPr>
        <w:spacing w:after="40" w:before="2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Яценко Евгений Анатольевич</w:t>
      </w:r>
    </w:p>
    <w:p w14:paraId="A2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1985</w:t>
      </w:r>
    </w:p>
    <w:p w14:paraId="A3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высшее, Дальневосточный инженерно-строительный институт (ФВПИ им В.В. Куйбышева), сведения об уровне образования, квалификации, специальности– промышленное и гражданское </w:t>
      </w:r>
      <w:r>
        <w:rPr>
          <w:rFonts w:ascii="Times New Roman" w:hAnsi="Times New Roman"/>
        </w:rPr>
        <w:t>строительство,инженер</w:t>
      </w:r>
      <w:r>
        <w:rPr>
          <w:rFonts w:ascii="Times New Roman" w:hAnsi="Times New Roman"/>
        </w:rPr>
        <w:t>; 2007 г.</w:t>
      </w:r>
    </w:p>
    <w:p w14:paraId="A4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Гражданство: Российская Федерация</w:t>
      </w:r>
    </w:p>
    <w:p w14:paraId="A5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  <w:color w:val="E30000"/>
        </w:rPr>
      </w:pPr>
      <w:r>
        <w:rPr>
          <w:rFonts w:ascii="Times New Roman" w:hAnsi="Times New Roman"/>
        </w:rPr>
        <w:t>Наименование должности по основному месту работы:</w:t>
      </w:r>
      <w:r>
        <w:rPr>
          <w:rFonts w:ascii="Times New Roman" w:hAnsi="Times New Roman"/>
          <w:color w:val="E30000"/>
        </w:rPr>
        <w:t xml:space="preserve"> </w:t>
      </w:r>
    </w:p>
    <w:p w14:paraId="A6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 апреля </w:t>
      </w:r>
      <w:r>
        <w:rPr>
          <w:rFonts w:ascii="Times New Roman" w:hAnsi="Times New Roman"/>
        </w:rPr>
        <w:t>2016  по</w:t>
      </w:r>
      <w:r>
        <w:rPr>
          <w:rFonts w:ascii="Times New Roman" w:hAnsi="Times New Roman"/>
        </w:rPr>
        <w:t xml:space="preserve"> декабрь 2017 директор филиала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УМИАТ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, с декабря 2017 года по март 2021 года генеральный директор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, с марта 2017 года   по настоящее время Директор по строительству 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КОНЦЕРН ТИТАН-2</w:t>
      </w:r>
      <w:r>
        <w:rPr>
          <w:rFonts w:ascii="Times New Roman" w:hAnsi="Times New Roman"/>
        </w:rPr>
        <w:t>»</w:t>
      </w:r>
    </w:p>
    <w:p w14:paraId="A7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  <w:color w:val="E30000"/>
        </w:rPr>
      </w:pPr>
    </w:p>
    <w:p w14:paraId="A8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Общества, %: 0</w:t>
      </w:r>
    </w:p>
    <w:p w14:paraId="A9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Общества, %: 0,</w:t>
      </w:r>
    </w:p>
    <w:p w14:paraId="AA02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  <w:i w:val="1"/>
        </w:rPr>
        <w:t>ценных бумаг эмитента</w:t>
      </w:r>
      <w:r>
        <w:rPr>
          <w:rFonts w:ascii="Times New Roman" w:hAnsi="Times New Roman"/>
          <w:i w:val="1"/>
        </w:rPr>
        <w:t xml:space="preserve"> не имеет.</w:t>
      </w:r>
    </w:p>
    <w:p w14:paraId="AB02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акции– </w:t>
      </w:r>
      <w:r>
        <w:rPr>
          <w:rFonts w:ascii="Times New Roman" w:hAnsi="Times New Roman"/>
          <w:i w:val="1"/>
        </w:rPr>
        <w:t>нет данных</w:t>
      </w:r>
    </w:p>
    <w:p w14:paraId="AC02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сделки– н</w:t>
      </w:r>
      <w:r>
        <w:rPr>
          <w:rFonts w:ascii="Times New Roman" w:hAnsi="Times New Roman"/>
          <w:i w:val="1"/>
        </w:rPr>
        <w:t>е совершалось</w:t>
      </w:r>
    </w:p>
    <w:p w14:paraId="AD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AE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</w:t>
      </w:r>
    </w:p>
    <w:p w14:paraId="AF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комитеты не формировались.</w:t>
      </w:r>
    </w:p>
    <w:p w14:paraId="B0020000">
      <w:pPr>
        <w:widowControl w:val="0"/>
        <w:spacing w:before="160"/>
        <w:ind w:firstLine="540" w:left="0"/>
        <w:jc w:val="both"/>
        <w:rPr>
          <w:rFonts w:ascii="Times New Roman" w:hAnsi="Times New Roman"/>
          <w:shd w:fill="FFD821" w:val="clear"/>
        </w:rPr>
      </w:pPr>
    </w:p>
    <w:p w14:paraId="B1020000">
      <w:pPr>
        <w:widowControl w:val="0"/>
        <w:spacing w:after="40" w:before="20"/>
        <w:ind w:firstLine="0" w:left="644"/>
        <w:jc w:val="both"/>
        <w:rPr>
          <w:rFonts w:ascii="Times New Roman" w:hAnsi="Times New Roman"/>
          <w:sz w:val="22"/>
        </w:rPr>
      </w:pPr>
    </w:p>
    <w:p w14:paraId="B2020000">
      <w:pPr>
        <w:widowControl w:val="0"/>
        <w:numPr>
          <w:ilvl w:val="0"/>
          <w:numId w:val="17"/>
        </w:numPr>
        <w:spacing w:after="40" w:before="20"/>
        <w:ind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>Трофимова Ирина Леонидовна</w:t>
      </w:r>
    </w:p>
    <w:p w14:paraId="B3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1963</w:t>
      </w:r>
    </w:p>
    <w:p w14:paraId="B4020000">
      <w:pPr>
        <w:widowControl w:val="0"/>
        <w:spacing w:after="40" w:before="2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высшее, Северо-Западная академия государственной службы, сведения об уровне образования, квалификации, специальности– финансы и кредит; год окончания-2001 </w:t>
      </w:r>
    </w:p>
    <w:p w14:paraId="B502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Гражданство: Российская Федерация</w:t>
      </w:r>
    </w:p>
    <w:p w14:paraId="B602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Наименование должности по основному месту работы: </w:t>
      </w:r>
    </w:p>
    <w:p w14:paraId="B7020000">
      <w:pPr>
        <w:widowControl w:val="0"/>
        <w:spacing w:after="40" w:before="2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 01.03.2016 г. по настоящее время – Заместитель Генерального директора-внутренний аудитор 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ТИТАН-2</w:t>
      </w:r>
      <w:r>
        <w:rPr>
          <w:rFonts w:ascii="Times New Roman" w:hAnsi="Times New Roman"/>
        </w:rPr>
        <w:t>»</w:t>
      </w:r>
    </w:p>
    <w:p w14:paraId="B802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том числе по </w:t>
      </w:r>
      <w:r>
        <w:rPr>
          <w:rFonts w:ascii="Times New Roman" w:hAnsi="Times New Roman"/>
        </w:rPr>
        <w:t>совместительству,-</w:t>
      </w:r>
      <w:r>
        <w:rPr>
          <w:rFonts w:ascii="Times New Roman" w:hAnsi="Times New Roman"/>
        </w:rPr>
        <w:t>информации нет,</w:t>
      </w:r>
    </w:p>
    <w:p w14:paraId="B902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Общества, %: 0</w:t>
      </w:r>
    </w:p>
    <w:p w14:paraId="BA02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Общества, %: 0</w:t>
      </w:r>
    </w:p>
    <w:p w14:paraId="BB020000">
      <w:pPr>
        <w:widowControl w:val="0"/>
        <w:spacing w:before="16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>
        <w:rPr>
          <w:rFonts w:ascii="Times New Roman" w:hAnsi="Times New Roman"/>
        </w:rPr>
        <w:t>ц</w:t>
      </w:r>
      <w:r>
        <w:rPr>
          <w:rFonts w:ascii="Times New Roman" w:hAnsi="Times New Roman"/>
          <w:i w:val="1"/>
        </w:rPr>
        <w:t>енных бумаг эмитента</w:t>
      </w:r>
      <w:r>
        <w:rPr>
          <w:rFonts w:ascii="Times New Roman" w:hAnsi="Times New Roman"/>
          <w:i w:val="1"/>
        </w:rPr>
        <w:t xml:space="preserve"> не имеет.</w:t>
      </w:r>
    </w:p>
    <w:p w14:paraId="BC020000">
      <w:pPr>
        <w:widowControl w:val="0"/>
        <w:spacing w:after="40" w:before="2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</w:t>
      </w:r>
      <w:r>
        <w:rPr>
          <w:rFonts w:ascii="Times New Roman" w:hAnsi="Times New Roman"/>
        </w:rPr>
        <w:t>конвертации принадлежащих ему ценных бумаг, конвертируемых в акции– и</w:t>
      </w:r>
      <w:r>
        <w:rPr>
          <w:rFonts w:ascii="Times New Roman" w:hAnsi="Times New Roman"/>
          <w:i w:val="1"/>
        </w:rPr>
        <w:t>нформации нет.</w:t>
      </w:r>
    </w:p>
    <w:p w14:paraId="BD020000">
      <w:pPr>
        <w:widowControl w:val="0"/>
        <w:spacing w:before="16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сделки– </w:t>
      </w:r>
      <w:r>
        <w:rPr>
          <w:rFonts w:ascii="Times New Roman" w:hAnsi="Times New Roman"/>
          <w:i w:val="1"/>
        </w:rPr>
        <w:t>не совершалось</w:t>
      </w:r>
    </w:p>
    <w:p w14:paraId="BE020000">
      <w:pPr>
        <w:widowControl w:val="0"/>
        <w:spacing w:after="40" w:before="20"/>
        <w:ind w:firstLine="36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 о наличии у лица конфликта интересов (в том числе связанного с участием лица в органах управления конкурентов Общества)</w:t>
      </w:r>
      <w:r>
        <w:rPr>
          <w:rFonts w:ascii="Times New Roman" w:hAnsi="Times New Roman"/>
          <w:i w:val="1"/>
        </w:rPr>
        <w:t xml:space="preserve"> отсутствует.</w:t>
      </w:r>
    </w:p>
    <w:p w14:paraId="BF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</w:t>
      </w:r>
      <w:r>
        <w:rPr>
          <w:rFonts w:ascii="Times New Roman" w:hAnsi="Times New Roman"/>
        </w:rPr>
        <w:t>):к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омитеты</w:t>
      </w:r>
      <w:r>
        <w:rPr>
          <w:rFonts w:ascii="Times New Roman" w:hAnsi="Times New Roman"/>
        </w:rPr>
        <w:t xml:space="preserve"> не формировались.</w:t>
      </w:r>
    </w:p>
    <w:p w14:paraId="C0020000">
      <w:pPr>
        <w:widowControl w:val="0"/>
        <w:spacing w:before="160"/>
        <w:ind w:firstLine="540" w:left="0"/>
        <w:jc w:val="both"/>
        <w:rPr>
          <w:rFonts w:ascii="Times New Roman" w:hAnsi="Times New Roman"/>
          <w:shd w:fill="FFD821" w:val="clear"/>
        </w:rPr>
      </w:pPr>
    </w:p>
    <w:p w14:paraId="C1020000">
      <w:pPr>
        <w:widowControl w:val="0"/>
        <w:numPr>
          <w:ilvl w:val="0"/>
          <w:numId w:val="17"/>
        </w:numPr>
        <w:spacing w:after="40" w:before="2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Улокина Елена Валерьевна </w:t>
      </w:r>
    </w:p>
    <w:p w14:paraId="C2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1964</w:t>
      </w:r>
    </w:p>
    <w:p w14:paraId="C3020000">
      <w:pPr>
        <w:widowControl w:val="0"/>
        <w:spacing w:after="40" w:before="20"/>
        <w:ind w:firstLine="36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высшее, Ленинградский ордена Ленина Государственный Университет им.  А.А. Жданова., сведения об уровне образования, квалификации, специальности– правоведение, </w:t>
      </w:r>
      <w:r>
        <w:rPr>
          <w:rFonts w:ascii="Times New Roman" w:hAnsi="Times New Roman"/>
        </w:rPr>
        <w:t>юрист ;</w:t>
      </w:r>
      <w:r>
        <w:rPr>
          <w:rFonts w:ascii="Times New Roman" w:hAnsi="Times New Roman"/>
        </w:rPr>
        <w:t xml:space="preserve"> год окончания-1988 ,</w:t>
      </w:r>
    </w:p>
    <w:p w14:paraId="C4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Гражданство: Российская Федерация</w:t>
      </w:r>
    </w:p>
    <w:p w14:paraId="C5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Наименование должности по основному месту работы: </w:t>
      </w:r>
    </w:p>
    <w:p w14:paraId="C6020000">
      <w:pPr>
        <w:widowControl w:val="0"/>
        <w:spacing w:after="40" w:before="20"/>
        <w:ind w:firstLine="36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 25.11.2016 года по настоящее время </w:t>
      </w:r>
      <w:r>
        <w:rPr>
          <w:rFonts w:ascii="Times New Roman" w:hAnsi="Times New Roman"/>
          <w:color w:val="E30000"/>
        </w:rPr>
        <w:t>-</w:t>
      </w:r>
      <w:r>
        <w:rPr>
          <w:rFonts w:ascii="Times New Roman" w:hAnsi="Times New Roman"/>
        </w:rPr>
        <w:t xml:space="preserve"> Директор по внутреннему контролю и экономической безопасности 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КОНЦЕРН ТИТАН-2</w:t>
      </w:r>
      <w:r>
        <w:rPr>
          <w:rFonts w:ascii="Times New Roman" w:hAnsi="Times New Roman"/>
        </w:rPr>
        <w:t>»</w:t>
      </w:r>
    </w:p>
    <w:p w14:paraId="C7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том числе по совместительству – данных нет</w:t>
      </w:r>
    </w:p>
    <w:p w14:paraId="C8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Общества, %: 0</w:t>
      </w:r>
    </w:p>
    <w:p w14:paraId="C9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Общества, %: 0,</w:t>
      </w:r>
    </w:p>
    <w:p w14:paraId="CA02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</w:t>
      </w:r>
      <w:r>
        <w:rPr>
          <w:rFonts w:ascii="Times New Roman" w:hAnsi="Times New Roman"/>
        </w:rPr>
        <w:t>акции:</w:t>
      </w:r>
      <w:r>
        <w:rPr>
          <w:rFonts w:ascii="Times New Roman" w:hAnsi="Times New Roman"/>
          <w:color w:val="E30000"/>
        </w:rPr>
        <w:t xml:space="preserve">  </w:t>
      </w:r>
      <w:r>
        <w:rPr>
          <w:rFonts w:ascii="Times New Roman" w:hAnsi="Times New Roman"/>
          <w:i w:val="1"/>
        </w:rPr>
        <w:t>ценных</w:t>
      </w:r>
      <w:r>
        <w:rPr>
          <w:rFonts w:ascii="Times New Roman" w:hAnsi="Times New Roman"/>
          <w:i w:val="1"/>
        </w:rPr>
        <w:t xml:space="preserve"> бумаг эмитента не имеет.</w:t>
      </w:r>
    </w:p>
    <w:p w14:paraId="CB020000">
      <w:pPr>
        <w:widowControl w:val="0"/>
        <w:spacing w:after="40" w:before="20"/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акции–</w:t>
      </w:r>
      <w:r>
        <w:rPr>
          <w:rFonts w:ascii="Times New Roman" w:hAnsi="Times New Roman"/>
          <w:color w:val="E30000"/>
        </w:rPr>
        <w:t xml:space="preserve"> </w:t>
      </w:r>
      <w:r>
        <w:rPr>
          <w:rFonts w:ascii="Times New Roman" w:hAnsi="Times New Roman"/>
          <w:i w:val="1"/>
        </w:rPr>
        <w:t>нет информации</w:t>
      </w:r>
      <w:r>
        <w:rPr>
          <w:rFonts w:ascii="Times New Roman" w:hAnsi="Times New Roman"/>
        </w:rPr>
        <w:t>,</w:t>
      </w:r>
    </w:p>
    <w:p w14:paraId="CC02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сделки– </w:t>
      </w:r>
      <w:r>
        <w:rPr>
          <w:rFonts w:ascii="Times New Roman" w:hAnsi="Times New Roman"/>
          <w:i w:val="1"/>
        </w:rPr>
        <w:t>не совершалось</w:t>
      </w:r>
    </w:p>
    <w:p w14:paraId="CD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CE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Сведения об </w:t>
      </w:r>
      <w:r>
        <w:rPr>
          <w:rFonts w:ascii="Times New Roman" w:hAnsi="Times New Roman"/>
        </w:rPr>
        <w:t>участии  в</w:t>
      </w:r>
      <w:r>
        <w:rPr>
          <w:rFonts w:ascii="Times New Roman" w:hAnsi="Times New Roman"/>
        </w:rPr>
        <w:t xml:space="preserve"> работе комитетов совета директоров (наблюдательного совета) с указанием названия комитета (комитетов): комитеты не формировались.</w:t>
      </w:r>
    </w:p>
    <w:p w14:paraId="CF020000">
      <w:pPr>
        <w:widowControl w:val="0"/>
        <w:spacing w:after="40" w:before="20"/>
        <w:ind w:firstLine="0" w:left="644"/>
        <w:jc w:val="both"/>
        <w:rPr>
          <w:rFonts w:ascii="Times New Roman" w:hAnsi="Times New Roman"/>
        </w:rPr>
      </w:pPr>
    </w:p>
    <w:p w14:paraId="D0020000">
      <w:pPr>
        <w:widowControl w:val="0"/>
        <w:numPr>
          <w:ilvl w:val="0"/>
          <w:numId w:val="17"/>
        </w:numPr>
        <w:spacing w:after="40" w:before="2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Николаева Татьяна Павловна</w:t>
      </w:r>
    </w:p>
    <w:p w14:paraId="D1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1974</w:t>
      </w:r>
    </w:p>
    <w:p w14:paraId="D2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 Высшее образование - специалист, магистратура, Российская академия государственной службы при Президенте РФ, менеджер, 2009 г.</w:t>
      </w:r>
    </w:p>
    <w:p w14:paraId="D3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Гражданство: Российская Федерация</w:t>
      </w:r>
    </w:p>
    <w:p w14:paraId="D4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Наименование должности по основному месту работы: </w:t>
      </w:r>
    </w:p>
    <w:p w14:paraId="D5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 18.06.2012 г. по настоящее время - Директор по персоналу 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КОНЦЕРН ТИТАН-</w:t>
      </w:r>
      <w:r>
        <w:rPr>
          <w:rFonts w:ascii="Times New Roman" w:hAnsi="Times New Roman"/>
        </w:rPr>
        <w:t>2</w:t>
      </w:r>
      <w:r>
        <w:rPr>
          <w:rFonts w:ascii="Times New Roman" w:hAnsi="Times New Roman"/>
        </w:rPr>
        <w:t>»</w:t>
      </w:r>
    </w:p>
    <w:p w14:paraId="D6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том числе по совместительству -информации нет,</w:t>
      </w:r>
    </w:p>
    <w:p w14:paraId="D7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Общества, %: 0</w:t>
      </w:r>
    </w:p>
    <w:p w14:paraId="D8020000">
      <w:pPr>
        <w:widowControl w:val="0"/>
        <w:spacing w:after="40" w:before="20"/>
        <w:ind w:firstLine="360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Общества, %: 0,</w:t>
      </w:r>
    </w:p>
    <w:p w14:paraId="D9020000">
      <w:pPr>
        <w:widowControl w:val="0"/>
        <w:spacing w:before="160"/>
        <w:ind w:firstLine="540" w:left="0"/>
        <w:jc w:val="both"/>
        <w:rPr>
          <w:rFonts w:ascii="Times New Roman" w:hAnsi="Times New Roman"/>
          <w:color w:val="E30000"/>
        </w:rPr>
      </w:pPr>
      <w:r>
        <w:rPr>
          <w:rFonts w:ascii="Times New Roman" w:hAnsi="Times New Roman"/>
        </w:rPr>
        <w:t xml:space="preserve"> 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</w:t>
      </w:r>
      <w:r>
        <w:rPr>
          <w:rFonts w:ascii="Times New Roman" w:hAnsi="Times New Roman"/>
        </w:rPr>
        <w:t>акции:</w:t>
      </w:r>
      <w:r>
        <w:rPr>
          <w:rFonts w:ascii="Times New Roman" w:hAnsi="Times New Roman"/>
          <w:color w:val="E30000"/>
        </w:rPr>
        <w:t xml:space="preserve">  </w:t>
      </w:r>
      <w:r>
        <w:rPr>
          <w:rFonts w:ascii="Times New Roman" w:hAnsi="Times New Roman"/>
          <w:i w:val="1"/>
        </w:rPr>
        <w:t>ценных</w:t>
      </w:r>
      <w:r>
        <w:rPr>
          <w:rFonts w:ascii="Times New Roman" w:hAnsi="Times New Roman"/>
          <w:i w:val="1"/>
        </w:rPr>
        <w:t xml:space="preserve"> бумаг эмитента не имеет.</w:t>
      </w:r>
    </w:p>
    <w:p w14:paraId="DA02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акции–</w:t>
      </w:r>
      <w:r>
        <w:rPr>
          <w:rFonts w:ascii="Times New Roman" w:hAnsi="Times New Roman"/>
          <w:color w:val="E30000"/>
        </w:rPr>
        <w:t xml:space="preserve"> </w:t>
      </w:r>
      <w:r>
        <w:rPr>
          <w:rFonts w:ascii="Times New Roman" w:hAnsi="Times New Roman"/>
          <w:i w:val="1"/>
        </w:rPr>
        <w:t>информации нет,</w:t>
      </w:r>
    </w:p>
    <w:p w14:paraId="DB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сделки– не совершалось</w:t>
      </w:r>
    </w:p>
    <w:p w14:paraId="DC020000">
      <w:pPr>
        <w:widowControl w:val="0"/>
        <w:spacing w:after="40" w:before="20"/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14:paraId="DD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</w:t>
      </w:r>
      <w:r>
        <w:rPr>
          <w:rFonts w:ascii="Times New Roman" w:hAnsi="Times New Roman"/>
        </w:rPr>
        <w:t>):комитеты</w:t>
      </w:r>
      <w:r>
        <w:rPr>
          <w:rFonts w:ascii="Times New Roman" w:hAnsi="Times New Roman"/>
        </w:rPr>
        <w:t xml:space="preserve"> не формировались.</w:t>
      </w:r>
    </w:p>
    <w:p w14:paraId="DE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</w:rPr>
      </w:pPr>
    </w:p>
    <w:p w14:paraId="DF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 начала отчетного года генеральным директором общества был Арканов Сергей Александрович.</w:t>
      </w:r>
    </w:p>
    <w:p w14:paraId="E0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С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12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сентября 2023 года на должность генерального директора ПАО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СУС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Советом директоров общества был назначен </w:t>
      </w:r>
      <w:r>
        <w:rPr>
          <w:rFonts w:ascii="Times New Roman" w:hAnsi="Times New Roman"/>
          <w:b w:val="1"/>
        </w:rPr>
        <w:t>Волгин Дмитрий Юрьевич.</w:t>
      </w:r>
    </w:p>
    <w:p w14:paraId="E1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Год рождения: 1989 </w:t>
      </w:r>
    </w:p>
    <w:p w14:paraId="E2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Гражданство: Российская Федерация </w:t>
      </w:r>
    </w:p>
    <w:p w14:paraId="E3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Высшее,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 xml:space="preserve">ГОУ ВПО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Санкт-Петербургский государственный политехнический университет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, окончание 18.12.2012</w:t>
      </w:r>
    </w:p>
    <w:p w14:paraId="E402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Квалификация: инженер, специальность -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Промышленное и гражданское строительство</w:t>
      </w:r>
      <w:r>
        <w:rPr>
          <w:rFonts w:ascii="Times New Roman" w:hAnsi="Times New Roman"/>
        </w:rPr>
        <w:t>»</w:t>
      </w:r>
    </w:p>
    <w:p w14:paraId="E502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tbl>
      <w:tblPr>
        <w:tblStyle w:val="Style_2"/>
        <w:tblW w:type="auto" w:w="0"/>
        <w:tblLayout w:type="fixed"/>
        <w:tblCellMar>
          <w:left w:type="dxa" w:w="0"/>
          <w:right w:type="dxa" w:w="0"/>
        </w:tblCellMar>
      </w:tblPr>
      <w:tblGrid>
        <w:gridCol w:w="1348"/>
        <w:gridCol w:w="1974"/>
        <w:gridCol w:w="3119"/>
        <w:gridCol w:w="3056"/>
      </w:tblGrid>
      <w:tr>
        <w:trPr>
          <w:trHeight w:hRule="atLeast" w:val="378"/>
        </w:trPr>
        <w:tc>
          <w:tcPr>
            <w:tcW w:type="dxa" w:w="3322"/>
            <w:gridSpan w:val="2"/>
            <w:tcBorders>
              <w:top w:color="000000" w:sz="6" w:val="double"/>
              <w:left w:color="000000" w:sz="6" w:val="double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6020000">
            <w:pPr>
              <w:ind/>
              <w:jc w:val="center"/>
            </w:pPr>
            <w:r>
              <w:t>Период</w:t>
            </w:r>
          </w:p>
        </w:tc>
        <w:tc>
          <w:tcPr>
            <w:tcW w:type="dxa" w:w="3119"/>
            <w:vMerge w:val="restart"/>
            <w:tcBorders>
              <w:top w:color="000000" w:sz="6" w:val="double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7020000">
            <w:pPr>
              <w:ind/>
              <w:jc w:val="center"/>
            </w:pPr>
          </w:p>
          <w:p w14:paraId="E8020000">
            <w:pPr>
              <w:ind/>
              <w:jc w:val="center"/>
            </w:pPr>
            <w:r>
              <w:t>Наименование организации</w:t>
            </w:r>
          </w:p>
        </w:tc>
        <w:tc>
          <w:tcPr>
            <w:tcW w:type="dxa" w:w="3056"/>
            <w:vMerge w:val="restart"/>
            <w:tcBorders>
              <w:top w:color="000000" w:sz="6" w:val="double"/>
              <w:left w:sz="4" w:val="nil"/>
              <w:bottom w:color="000000" w:sz="8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9020000">
            <w:pPr>
              <w:ind/>
              <w:jc w:val="center"/>
            </w:pPr>
          </w:p>
          <w:p w14:paraId="EA020000">
            <w:pPr>
              <w:ind/>
              <w:jc w:val="center"/>
            </w:pPr>
            <w:r>
              <w:t>Должность</w:t>
            </w:r>
          </w:p>
        </w:tc>
      </w:tr>
      <w:tr>
        <w:trPr>
          <w:trHeight w:hRule="atLeast" w:val="238"/>
        </w:trPr>
        <w:tc>
          <w:tcPr>
            <w:tcW w:type="dxa" w:w="1348"/>
            <w:tcBorders>
              <w:top w:sz="4" w:val="nil"/>
              <w:left w:color="000000" w:sz="6" w:val="double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B020000">
            <w:pPr>
              <w:ind/>
              <w:jc w:val="center"/>
            </w:pPr>
            <w:r>
              <w:t>с</w:t>
            </w:r>
          </w:p>
        </w:tc>
        <w:tc>
          <w:tcPr>
            <w:tcW w:type="dxa" w:w="197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C020000">
            <w:pPr>
              <w:ind/>
              <w:jc w:val="center"/>
            </w:pPr>
            <w:r>
              <w:t>по</w:t>
            </w:r>
          </w:p>
        </w:tc>
        <w:tc>
          <w:tcPr>
            <w:tcW w:type="dxa" w:w="3119"/>
            <w:gridSpan w:val="1"/>
            <w:vMerge w:val="continue"/>
            <w:tcBorders>
              <w:top w:color="000000" w:sz="6" w:val="double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056"/>
            <w:gridSpan w:val="1"/>
            <w:vMerge w:val="continue"/>
            <w:tcBorders>
              <w:top w:color="000000" w:sz="6" w:val="double"/>
              <w:left w:sz="4" w:val="nil"/>
              <w:bottom w:color="000000" w:sz="8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rPr>
          <w:trHeight w:hRule="atLeast" w:val="378"/>
        </w:trPr>
        <w:tc>
          <w:tcPr>
            <w:tcW w:type="dxa" w:w="1348"/>
            <w:tcBorders>
              <w:top w:sz="4" w:val="nil"/>
              <w:left w:color="000000" w:sz="6" w:val="double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D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01.05.2021</w:t>
            </w:r>
          </w:p>
        </w:tc>
        <w:tc>
          <w:tcPr>
            <w:tcW w:type="dxa" w:w="197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E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Настоящее время</w:t>
            </w:r>
          </w:p>
        </w:tc>
        <w:tc>
          <w:tcPr>
            <w:tcW w:type="dxa" w:w="311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EF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КОНЦЕРН ТИТАН-2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3056"/>
            <w:tcBorders>
              <w:top w:sz="4" w:val="nil"/>
              <w:left w:sz="4" w:val="nil"/>
              <w:bottom w:color="000000" w:sz="8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0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Директор филиала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СУС</w:t>
            </w:r>
            <w:r>
              <w:rPr>
                <w:rFonts w:ascii="Times New Roman" w:hAnsi="Times New Roman"/>
              </w:rPr>
              <w:t>»</w:t>
            </w:r>
          </w:p>
        </w:tc>
      </w:tr>
      <w:tr>
        <w:tc>
          <w:tcPr>
            <w:tcW w:type="dxa" w:w="1348"/>
            <w:tcBorders>
              <w:top w:sz="4" w:val="nil"/>
              <w:left w:color="000000" w:sz="6" w:val="double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1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20.03.2023</w:t>
            </w:r>
          </w:p>
        </w:tc>
        <w:tc>
          <w:tcPr>
            <w:tcW w:type="dxa" w:w="197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2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11.09.2023</w:t>
            </w:r>
          </w:p>
        </w:tc>
        <w:tc>
          <w:tcPr>
            <w:tcW w:type="dxa" w:w="311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3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СУС</w:t>
            </w:r>
            <w:r>
              <w:rPr>
                <w:rFonts w:ascii="Times New Roman" w:hAnsi="Times New Roman"/>
              </w:rPr>
              <w:t>»</w:t>
            </w:r>
            <w:r>
              <w:rPr>
                <w:rFonts w:ascii="Times New Roman" w:hAnsi="Times New Roman"/>
              </w:rPr>
              <w:t xml:space="preserve"> (по совместительству)</w:t>
            </w:r>
          </w:p>
        </w:tc>
        <w:tc>
          <w:tcPr>
            <w:tcW w:type="dxa" w:w="3056"/>
            <w:tcBorders>
              <w:top w:sz="4" w:val="nil"/>
              <w:left w:sz="4" w:val="nil"/>
              <w:bottom w:color="000000" w:sz="8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4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Начальник СМУ</w:t>
            </w:r>
          </w:p>
          <w:p w14:paraId="F502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1348"/>
            <w:tcBorders>
              <w:top w:sz="4" w:val="nil"/>
              <w:left w:color="000000" w:sz="6" w:val="double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6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15.07.2024</w:t>
            </w:r>
          </w:p>
        </w:tc>
        <w:tc>
          <w:tcPr>
            <w:tcW w:type="dxa" w:w="1974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7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настоящее время</w:t>
            </w:r>
          </w:p>
        </w:tc>
        <w:tc>
          <w:tcPr>
            <w:tcW w:type="dxa" w:w="3119"/>
            <w:tcBorders>
              <w:top w:sz="4" w:val="nil"/>
              <w:left w:sz="4" w:val="nil"/>
              <w:bottom w:color="000000" w:sz="8" w:val="sing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8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КОНЦЕРН ТИТАН-2</w:t>
            </w:r>
            <w:r>
              <w:rPr>
                <w:rFonts w:ascii="Times New Roman" w:hAnsi="Times New Roman"/>
              </w:rPr>
              <w:t>»</w:t>
            </w:r>
          </w:p>
          <w:p w14:paraId="F9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(совместительство)</w:t>
            </w:r>
          </w:p>
        </w:tc>
        <w:tc>
          <w:tcPr>
            <w:tcW w:type="dxa" w:w="3056"/>
            <w:tcBorders>
              <w:top w:sz="4" w:val="nil"/>
              <w:left w:sz="4" w:val="nil"/>
              <w:bottom w:color="000000" w:sz="8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A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зам.директора</w:t>
            </w:r>
            <w:r>
              <w:rPr>
                <w:rFonts w:ascii="Times New Roman" w:hAnsi="Times New Roman"/>
              </w:rPr>
              <w:t xml:space="preserve"> по строительству собственными силами в РФ</w:t>
            </w:r>
          </w:p>
        </w:tc>
      </w:tr>
      <w:tr>
        <w:trPr>
          <w:trHeight w:hRule="atLeast" w:val="312"/>
        </w:trPr>
        <w:tc>
          <w:tcPr>
            <w:tcW w:type="dxa" w:w="1348"/>
            <w:tcBorders>
              <w:top w:sz="4" w:val="nil"/>
              <w:left w:color="000000" w:sz="6" w:val="double"/>
              <w:bottom w:color="000000" w:sz="6" w:val="doub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B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12.09.2023 </w:t>
            </w:r>
          </w:p>
        </w:tc>
        <w:tc>
          <w:tcPr>
            <w:tcW w:type="dxa" w:w="1974"/>
            <w:tcBorders>
              <w:top w:sz="4" w:val="nil"/>
              <w:left w:sz="4" w:val="nil"/>
              <w:bottom w:color="000000" w:sz="6" w:val="doub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C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Настоящее время</w:t>
            </w:r>
          </w:p>
        </w:tc>
        <w:tc>
          <w:tcPr>
            <w:tcW w:type="dxa" w:w="3119"/>
            <w:tcBorders>
              <w:top w:sz="4" w:val="nil"/>
              <w:left w:sz="4" w:val="nil"/>
              <w:bottom w:color="000000" w:sz="6" w:val="double"/>
              <w:right w:color="000000" w:sz="8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D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СУС</w:t>
            </w:r>
            <w:r>
              <w:rPr>
                <w:rFonts w:ascii="Times New Roman" w:hAnsi="Times New Roman"/>
              </w:rPr>
              <w:t>»</w:t>
            </w:r>
            <w:r>
              <w:rPr>
                <w:rFonts w:ascii="Times New Roman" w:hAnsi="Times New Roman"/>
              </w:rPr>
              <w:t xml:space="preserve"> (по совместительству)</w:t>
            </w:r>
          </w:p>
        </w:tc>
        <w:tc>
          <w:tcPr>
            <w:tcW w:type="dxa" w:w="3056"/>
            <w:tcBorders>
              <w:top w:sz="4" w:val="nil"/>
              <w:left w:sz="4" w:val="nil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FE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Генеральный директор</w:t>
            </w:r>
          </w:p>
        </w:tc>
      </w:tr>
    </w:tbl>
    <w:p w14:paraId="FF020000">
      <w:pPr>
        <w:widowControl w:val="0"/>
        <w:spacing w:after="40" w:before="20"/>
        <w:ind w:firstLine="644" w:left="0"/>
        <w:jc w:val="both"/>
        <w:rPr>
          <w:rFonts w:ascii="Times New Roman" w:hAnsi="Times New Roman"/>
          <w:color w:val="E30000"/>
        </w:rPr>
      </w:pPr>
    </w:p>
    <w:p w14:paraId="00030000">
      <w:pPr>
        <w:widowControl w:val="0"/>
        <w:spacing w:after="40" w:before="20"/>
        <w:ind w:firstLine="644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Доли участия в уставном капитале эмитента/обыкновенных акций- н</w:t>
      </w:r>
      <w:r>
        <w:rPr>
          <w:rFonts w:ascii="Times New Roman" w:hAnsi="Times New Roman"/>
          <w:i w:val="1"/>
        </w:rPr>
        <w:t>е имеет;</w:t>
      </w:r>
    </w:p>
    <w:p w14:paraId="01030000">
      <w:pPr>
        <w:widowControl w:val="0"/>
        <w:spacing w:after="40" w:before="20"/>
        <w:ind w:firstLine="644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Доли участия лица в уставном (складочном) капитале (паевом фонде) дочерних и зависимых обществ эмитента -  н</w:t>
      </w:r>
      <w:r>
        <w:rPr>
          <w:rFonts w:ascii="Times New Roman" w:hAnsi="Times New Roman"/>
          <w:i w:val="1"/>
        </w:rPr>
        <w:t>е имеет;</w:t>
      </w:r>
    </w:p>
    <w:p w14:paraId="02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</w:t>
      </w:r>
      <w:r>
        <w:rPr>
          <w:rFonts w:ascii="Times New Roman" w:hAnsi="Times New Roman"/>
        </w:rPr>
        <w:t xml:space="preserve">акции: </w:t>
      </w:r>
      <w:r>
        <w:rPr>
          <w:rFonts w:ascii="Times New Roman" w:hAnsi="Times New Roman"/>
          <w:i w:val="1"/>
        </w:rPr>
        <w:t xml:space="preserve"> ценных</w:t>
      </w:r>
      <w:r>
        <w:rPr>
          <w:rFonts w:ascii="Times New Roman" w:hAnsi="Times New Roman"/>
          <w:i w:val="1"/>
        </w:rPr>
        <w:t xml:space="preserve"> бумаг эмитента не имеет.</w:t>
      </w:r>
    </w:p>
    <w:p w14:paraId="03030000">
      <w:pPr>
        <w:widowControl w:val="0"/>
        <w:spacing w:after="40" w:before="20"/>
        <w:ind w:firstLine="644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акции– д</w:t>
      </w:r>
      <w:r>
        <w:rPr>
          <w:rFonts w:ascii="Times New Roman" w:hAnsi="Times New Roman"/>
          <w:i w:val="1"/>
        </w:rPr>
        <w:t>олей участия  не имеет.</w:t>
      </w:r>
    </w:p>
    <w:p w14:paraId="04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сделки– </w:t>
      </w:r>
      <w:r>
        <w:rPr>
          <w:rFonts w:ascii="Times New Roman" w:hAnsi="Times New Roman"/>
          <w:i w:val="1"/>
        </w:rPr>
        <w:t>сделок не совершалось</w:t>
      </w:r>
    </w:p>
    <w:p w14:paraId="05030000">
      <w:pPr>
        <w:widowControl w:val="0"/>
        <w:spacing w:after="40" w:before="20"/>
        <w:ind w:firstLine="644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rPr>
          <w:rFonts w:ascii="Times New Roman" w:hAnsi="Times New Roman"/>
          <w:i w:val="1"/>
        </w:rPr>
        <w:t xml:space="preserve"> не имеет;</w:t>
      </w:r>
    </w:p>
    <w:p w14:paraId="06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Fonts w:ascii="Times New Roman" w:hAnsi="Times New Roman"/>
          <w:i w:val="1"/>
        </w:rPr>
        <w:t>не привлекался;</w:t>
      </w:r>
    </w:p>
    <w:p w14:paraId="07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Fonts w:ascii="Times New Roman" w:hAnsi="Times New Roman"/>
          <w:i w:val="1"/>
        </w:rPr>
        <w:t>не занимал.</w:t>
      </w:r>
    </w:p>
    <w:p w14:paraId="08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 Общества отсутствовала информация о совершении лицом в отчетном периоде сделок по приобретению или отчуждению акций Общества.</w:t>
      </w:r>
    </w:p>
    <w:p w14:paraId="09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Информация о наличии у лица конфликта интересов (в том числе связанного с участием лица в органах управления конкурентов Общества) о</w:t>
      </w:r>
      <w:r>
        <w:rPr>
          <w:rFonts w:ascii="Times New Roman" w:hAnsi="Times New Roman"/>
          <w:i w:val="1"/>
        </w:rPr>
        <w:t>тсутствует.</w:t>
      </w:r>
    </w:p>
    <w:p w14:paraId="0A03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  <w:sz w:val="22"/>
        </w:rPr>
      </w:pPr>
    </w:p>
    <w:p w14:paraId="0B030000">
      <w:pPr>
        <w:widowControl w:val="0"/>
        <w:spacing w:after="40" w:before="20"/>
        <w:ind w:hanging="284"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Дополнительная информация по членам Совета директоров и исполнительному органу:</w:t>
      </w:r>
    </w:p>
    <w:p w14:paraId="0C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отчета- </w:t>
      </w:r>
      <w:r>
        <w:rPr>
          <w:rFonts w:ascii="Times New Roman" w:hAnsi="Times New Roman"/>
          <w:i w:val="1"/>
        </w:rPr>
        <w:t>не установлен.</w:t>
      </w:r>
    </w:p>
    <w:p w14:paraId="0D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власти- о</w:t>
      </w:r>
      <w:r>
        <w:rPr>
          <w:rFonts w:ascii="Times New Roman" w:hAnsi="Times New Roman"/>
          <w:i w:val="1"/>
        </w:rPr>
        <w:t>тсутствуют.</w:t>
      </w:r>
    </w:p>
    <w:p w14:paraId="0E030000">
      <w:pPr>
        <w:widowControl w:val="0"/>
        <w:spacing w:after="40" w:before="20"/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О несостоятельности (банкротстве)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-н</w:t>
      </w:r>
      <w:r>
        <w:rPr>
          <w:rFonts w:ascii="Times New Roman" w:hAnsi="Times New Roman"/>
          <w:i w:val="1"/>
        </w:rPr>
        <w:t>ет.</w:t>
      </w:r>
    </w:p>
    <w:p w14:paraId="0F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соответствующей информации изменения за период между отчетной датой (31.12.2023) и датой раскрытия финансовой отчетности в составе раскрытой информации не происходили.</w:t>
      </w:r>
    </w:p>
    <w:p w14:paraId="10030000">
      <w:pPr>
        <w:widowControl w:val="0"/>
        <w:spacing w:after="40" w:before="20"/>
        <w:ind w:firstLine="283" w:left="284"/>
        <w:jc w:val="both"/>
        <w:rPr>
          <w:rFonts w:ascii="Times New Roman" w:hAnsi="Times New Roman"/>
          <w:sz w:val="22"/>
        </w:rPr>
      </w:pPr>
    </w:p>
    <w:p w14:paraId="11030000">
      <w:bookmarkStart w:id="22" w:name="__RefHeading___121"/>
      <w:bookmarkEnd w:id="22"/>
      <w:pPr>
        <w:pStyle w:val="Style_8"/>
        <w:numPr>
          <w:ilvl w:val="1"/>
          <w:numId w:val="15"/>
        </w:numPr>
        <w:spacing w:before="240"/>
        <w:ind w:firstLine="283" w:left="284"/>
        <w:jc w:val="both"/>
        <w:rPr>
          <w:rFonts w:ascii="Times New Roman" w:hAnsi="Times New Roman"/>
          <w:b w:val="1"/>
          <w:sz w:val="22"/>
        </w:rPr>
      </w:pPr>
      <w:bookmarkStart w:id="23" w:name="P406"/>
      <w:bookmarkEnd w:id="23"/>
      <w:r>
        <w:rPr>
          <w:rFonts w:ascii="Times New Roman" w:hAnsi="Times New Roman"/>
          <w:b w:val="1"/>
          <w:sz w:val="22"/>
        </w:rPr>
        <w:t>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14:paraId="12030000">
      <w:pPr>
        <w:ind w:firstLine="283" w:left="0"/>
        <w:jc w:val="both"/>
        <w:rPr>
          <w:rFonts w:ascii="Times New Roman" w:hAnsi="Times New Roman"/>
        </w:rPr>
      </w:pPr>
    </w:p>
    <w:p w14:paraId="13030000">
      <w:pPr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 текущий момент обществом не разработано Положение о вознаграждении и компенсации расходов органам управления. Совокупный размер вознаграждений и компенсаций расходов членам органов управления за отчетный 2023 г. составил 0 руб.</w:t>
      </w:r>
    </w:p>
    <w:p w14:paraId="14030000">
      <w:pPr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Положением о совете директоров, утвержденным решением внеочередного общего собрания акционеров от 14 декабря 2009 г., членам совета директоров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Размеры вознаграждений и компенсаций устанавливаются решением общего собрания акционеров.</w:t>
      </w:r>
    </w:p>
    <w:p w14:paraId="15030000">
      <w:pPr>
        <w:pStyle w:val="Style_10"/>
        <w:spacing w:before="220"/>
        <w:ind w:firstLine="283"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В отчетном году по результатам финансового года решений по вознаграждению не принималось, вознаграждение членам совета директоров в 2023 году не выплачивалось. </w:t>
      </w:r>
    </w:p>
    <w:p w14:paraId="16030000">
      <w:bookmarkStart w:id="24" w:name="__RefHeading___122"/>
      <w:bookmarkEnd w:id="24"/>
      <w:pPr>
        <w:pStyle w:val="Style_8"/>
        <w:numPr>
          <w:ilvl w:val="1"/>
          <w:numId w:val="15"/>
        </w:numPr>
        <w:spacing w:before="240"/>
        <w:ind w:firstLine="283" w:left="284"/>
        <w:jc w:val="both"/>
        <w:rPr>
          <w:rFonts w:ascii="Times New Roman" w:hAnsi="Times New Roman"/>
          <w:b w:val="1"/>
          <w:sz w:val="22"/>
        </w:rPr>
      </w:pPr>
      <w:bookmarkStart w:id="25" w:name="P413"/>
      <w:bookmarkEnd w:id="25"/>
      <w:r>
        <w:rPr>
          <w:rFonts w:ascii="Times New Roman" w:hAnsi="Times New Roman"/>
          <w:b w:val="1"/>
          <w:sz w:val="22"/>
        </w:rPr>
        <w:t>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14:paraId="17030000">
      <w:pPr>
        <w:ind w:firstLine="567" w:left="0"/>
        <w:jc w:val="both"/>
        <w:rPr>
          <w:rFonts w:ascii="Times New Roman" w:hAnsi="Times New Roman"/>
        </w:rPr>
      </w:pPr>
    </w:p>
    <w:p w14:paraId="1803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Общество осуществляет управление рисками, контроль за финансово-хозяйственной деятельностью, внутренний контроль и внутренний аудит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эмитента.</w:t>
      </w:r>
    </w:p>
    <w:p w14:paraId="19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Оценка надежности и управления рисками в соответствии с п.2 ст.87.1 Федерального закона от 26.12.1995 №208-ФЗ «Об акционерных обществах» в Обществе осуществляет внутренний аудит.</w:t>
      </w:r>
    </w:p>
    <w:p w14:paraId="1A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15 августа 2023 г. была утверждена решением Совета директоров Общества редакция №2 «Политика в области организации внутреннего аудита публичного акционерного общества «Северное управление строительства», которая обязательна к применению всеми структурными подразделениями Общества и определяет:</w:t>
      </w:r>
    </w:p>
    <w:p w14:paraId="1B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цели и задачи внутреннего аудита;</w:t>
      </w:r>
    </w:p>
    <w:p w14:paraId="1C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принципы осуществления внутреннего аудита;</w:t>
      </w:r>
    </w:p>
    <w:p w14:paraId="1D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функции внутреннего аудита;</w:t>
      </w:r>
    </w:p>
    <w:p w14:paraId="1E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полномочия внутренних аудиторов и корреспондирующие им обязанности руководства и работников </w:t>
      </w:r>
      <w:r>
        <w:rPr>
          <w:rFonts w:ascii="Times New Roman" w:hAnsi="Times New Roman"/>
          <w:sz w:val="24"/>
        </w:rPr>
        <w:t>аудируемых</w:t>
      </w:r>
      <w:r>
        <w:rPr>
          <w:rFonts w:ascii="Times New Roman" w:hAnsi="Times New Roman"/>
          <w:sz w:val="24"/>
        </w:rPr>
        <w:t xml:space="preserve"> подразделений;</w:t>
      </w:r>
    </w:p>
    <w:p w14:paraId="1F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кодекс этики и требования к внутренним аудиторам Общества;</w:t>
      </w:r>
    </w:p>
    <w:p w14:paraId="20030000">
      <w:pPr>
        <w:widowControl w:val="0"/>
        <w:spacing w:after="40" w:before="2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контроль за деятельностью внутренних аудиторов и предоставление отчетности.</w:t>
      </w:r>
    </w:p>
    <w:p w14:paraId="21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Комитета совета директоров (наблюдательного совета) по </w:t>
      </w:r>
      <w:r>
        <w:rPr>
          <w:rFonts w:ascii="Times New Roman" w:hAnsi="Times New Roman"/>
        </w:rPr>
        <w:t>аудиту  не</w:t>
      </w:r>
      <w:r>
        <w:rPr>
          <w:rFonts w:ascii="Times New Roman" w:hAnsi="Times New Roman"/>
        </w:rPr>
        <w:t xml:space="preserve"> создавалось.</w:t>
      </w:r>
    </w:p>
    <w:p w14:paraId="22030000">
      <w:pPr>
        <w:widowControl w:val="0"/>
        <w:spacing w:before="160"/>
        <w:ind w:firstLine="540" w:left="0"/>
        <w:jc w:val="both"/>
        <w:rPr>
          <w:rFonts w:ascii="Times New Roman" w:hAnsi="Times New Roman"/>
          <w:shd w:fill="FFE779" w:val="clear"/>
        </w:rPr>
      </w:pPr>
      <w:r>
        <w:rPr>
          <w:rFonts w:ascii="Times New Roman" w:hAnsi="Times New Roman"/>
        </w:rPr>
        <w:t xml:space="preserve">Отдельного структурного подразделения (подразделений) по управлению рисками и (или) внутреннему контролю в обществе нет. </w:t>
      </w:r>
    </w:p>
    <w:p w14:paraId="23030000">
      <w:pPr>
        <w:widowControl w:val="0"/>
        <w:spacing w:before="160"/>
        <w:ind w:firstLine="540" w:left="0"/>
        <w:jc w:val="both"/>
        <w:rPr>
          <w:rFonts w:ascii="Times New Roman" w:hAnsi="Times New Roman"/>
          <w:shd w:fill="FFE779" w:val="clear"/>
        </w:rPr>
      </w:pPr>
      <w:r>
        <w:rPr>
          <w:rFonts w:ascii="Times New Roman" w:hAnsi="Times New Roman"/>
          <w:sz w:val="24"/>
        </w:rPr>
        <w:t xml:space="preserve">Контроль за финансово - хозяйственной деятельностью общества осуществляется ревизионной комиссией общества. </w:t>
      </w:r>
    </w:p>
    <w:p w14:paraId="24030000">
      <w:pPr>
        <w:spacing w:after="40" w:before="20"/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Руководство Общества вполне осознает значение рисков, которые могут возникнуть в процессе производственно - хозяйственной деятельности, и принимает все возможные меры к их минимизации.</w:t>
      </w:r>
    </w:p>
    <w:p w14:paraId="25030000">
      <w:pPr>
        <w:spacing w:after="40" w:before="20"/>
        <w:ind w:firstLine="567" w:left="0"/>
        <w:jc w:val="both"/>
        <w:rPr>
          <w:rFonts w:ascii="Times New Roman" w:hAnsi="Times New Roman"/>
        </w:rPr>
      </w:pPr>
    </w:p>
    <w:p w14:paraId="26030000">
      <w:bookmarkStart w:id="26" w:name="__RefHeading___123"/>
      <w:bookmarkEnd w:id="26"/>
      <w:pPr>
        <w:pStyle w:val="Style_8"/>
        <w:numPr>
          <w:ilvl w:val="1"/>
          <w:numId w:val="15"/>
        </w:numPr>
        <w:spacing w:before="240"/>
        <w:ind w:firstLine="283" w:left="284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14:paraId="27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bookmarkStart w:id="27" w:name="P433"/>
      <w:bookmarkEnd w:id="27"/>
      <w:r>
        <w:rPr>
          <w:rFonts w:ascii="Times New Roman" w:hAnsi="Times New Roman"/>
          <w:sz w:val="24"/>
        </w:rPr>
        <w:t>В состав ревизионной комиссии Общества на годовом собрании акционеров в отчетном году были избраны:</w:t>
      </w:r>
    </w:p>
    <w:p w14:paraId="28030000">
      <w:pPr>
        <w:pStyle w:val="Style_10"/>
        <w:numPr>
          <w:ilvl w:val="0"/>
          <w:numId w:val="18"/>
        </w:numPr>
        <w:spacing w:after="40" w:before="20"/>
        <w:ind w:hanging="357" w:left="284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Зиновьев Андрей Николаевич</w:t>
      </w:r>
    </w:p>
    <w:p w14:paraId="29030000">
      <w:pPr>
        <w:pStyle w:val="Style_10"/>
        <w:spacing w:after="40" w:before="20"/>
        <w:ind w:firstLine="329"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Год рождения: 1978</w:t>
      </w:r>
    </w:p>
    <w:p w14:paraId="2A030000">
      <w:pPr>
        <w:ind w:firstLine="283" w:left="0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</w:t>
      </w:r>
      <w:r>
        <w:t xml:space="preserve"> </w:t>
      </w:r>
      <w:r>
        <w:rPr>
          <w:rFonts w:ascii="Times New Roman" w:hAnsi="Times New Roman"/>
        </w:rPr>
        <w:t xml:space="preserve">высшее, окончил </w:t>
      </w:r>
      <w:r>
        <w:rPr>
          <w:rStyle w:val="Style_15_ch"/>
          <w:rFonts w:ascii="Times New Roman" w:hAnsi="Times New Roman"/>
          <w:b w:val="0"/>
          <w:i w:val="0"/>
        </w:rPr>
        <w:t xml:space="preserve">Санкт-Петербургский государственный университет МВД </w:t>
      </w:r>
      <w:r>
        <w:rPr>
          <w:rStyle w:val="Style_15_ch"/>
          <w:rFonts w:ascii="Times New Roman" w:hAnsi="Times New Roman"/>
          <w:b w:val="0"/>
          <w:i w:val="0"/>
        </w:rPr>
        <w:t xml:space="preserve">России,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квалификация</w:t>
      </w:r>
      <w:r>
        <w:rPr>
          <w:rFonts w:ascii="Times New Roman" w:hAnsi="Times New Roman"/>
        </w:rPr>
        <w:t xml:space="preserve">– юрист,1999 г. </w:t>
      </w:r>
    </w:p>
    <w:p w14:paraId="2B030000">
      <w:pPr>
        <w:pStyle w:val="Style_10"/>
        <w:spacing w:after="40" w:before="20"/>
        <w:ind w:firstLine="329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2C030000">
            <w:pPr>
              <w:pStyle w:val="Style_10"/>
              <w:spacing w:after="40" w:before="20"/>
              <w:ind w:firstLine="0" w:left="284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2D030000">
            <w:pPr>
              <w:pStyle w:val="Style_10"/>
              <w:spacing w:after="40" w:before="20"/>
              <w:ind w:firstLine="0" w:left="284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2E030000">
            <w:pPr>
              <w:pStyle w:val="Style_10"/>
              <w:spacing w:after="40" w:before="20"/>
              <w:ind w:firstLine="0" w:left="284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Должность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2F030000">
            <w:pPr>
              <w:pStyle w:val="Style_10"/>
              <w:spacing w:after="40" w:before="20"/>
              <w:ind w:firstLine="0" w:left="284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0030000">
            <w:pPr>
              <w:pStyle w:val="Style_10"/>
              <w:spacing w:after="40" w:before="20"/>
              <w:ind w:firstLine="0" w:left="284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1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20.12.2019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2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настоящее</w:t>
            </w:r>
          </w:p>
          <w:p w14:paraId="33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время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4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КОНЦЕРН ТИТАН-2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5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Гл. специалист ОЭБ</w:t>
            </w:r>
          </w:p>
        </w:tc>
      </w:tr>
    </w:tbl>
    <w:p w14:paraId="36030000">
      <w:pPr>
        <w:pStyle w:val="Style_10"/>
        <w:spacing w:after="40" w:before="20"/>
        <w:ind w:firstLine="0" w:left="284"/>
        <w:jc w:val="both"/>
        <w:rPr>
          <w:rFonts w:ascii="Times New Roman" w:hAnsi="Times New Roman"/>
          <w:sz w:val="24"/>
        </w:rPr>
      </w:pPr>
    </w:p>
    <w:p w14:paraId="37030000">
      <w:pPr>
        <w:pStyle w:val="Style_10"/>
        <w:numPr>
          <w:ilvl w:val="0"/>
          <w:numId w:val="18"/>
        </w:numPr>
        <w:spacing w:after="40" w:before="20"/>
        <w:ind w:hanging="357" w:left="284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Морозов Борис Владимирович</w:t>
      </w:r>
    </w:p>
    <w:p w14:paraId="38030000">
      <w:pPr>
        <w:spacing w:after="40" w:before="20"/>
        <w:ind w:firstLine="333" w:left="284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Год рождения: 1960</w:t>
      </w:r>
    </w:p>
    <w:p w14:paraId="39030000">
      <w:pPr>
        <w:spacing w:after="40" w:before="20"/>
        <w:ind w:firstLine="333" w:left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высшее, ГОУ ВПО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Санкт-Петербургский государственный университет экономики и финансов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квалификация</w:t>
      </w:r>
      <w:r>
        <w:rPr>
          <w:rFonts w:ascii="Times New Roman" w:hAnsi="Times New Roman"/>
        </w:rPr>
        <w:t>- экономист,</w:t>
      </w:r>
    </w:p>
    <w:p w14:paraId="3A030000">
      <w:pPr>
        <w:spacing w:after="40" w:before="20"/>
        <w:ind w:firstLine="333" w:left="0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3B030000">
      <w:pPr>
        <w:pStyle w:val="Style_16"/>
        <w:rPr>
          <w:rFonts w:ascii="Times New Roman" w:hAnsi="Times New Roman"/>
          <w:sz w:val="24"/>
          <w:highlight w:val="yellow"/>
        </w:rPr>
      </w:pP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C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D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E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Должность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3F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0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1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23.04.2019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2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настоящее время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3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КОНЦЕРН ТИТАН-2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4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Зам. директора по внутреннему контролю и экономической безопасности</w:t>
            </w:r>
          </w:p>
        </w:tc>
      </w:tr>
    </w:tbl>
    <w:p w14:paraId="45030000">
      <w:pPr>
        <w:pStyle w:val="Style_13"/>
        <w:rPr>
          <w:rFonts w:ascii="Times New Roman" w:hAnsi="Times New Roman"/>
        </w:rPr>
      </w:pPr>
    </w:p>
    <w:p w14:paraId="46030000">
      <w:pPr>
        <w:pStyle w:val="Style_10"/>
        <w:numPr>
          <w:ilvl w:val="0"/>
          <w:numId w:val="18"/>
        </w:numPr>
        <w:spacing w:after="40" w:before="20"/>
        <w:ind w:hanging="357" w:left="284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Нестерчук Андрей Федорович</w:t>
      </w:r>
    </w:p>
    <w:p w14:paraId="47030000">
      <w:pPr>
        <w:pStyle w:val="Style_10"/>
        <w:spacing w:after="40" w:before="20"/>
        <w:ind w:firstLine="0"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Год рождения: 1964 </w:t>
      </w:r>
    </w:p>
    <w:p w14:paraId="48030000">
      <w:pPr>
        <w:pStyle w:val="Style_10"/>
        <w:spacing w:after="40" w:before="20"/>
        <w:ind w:firstLine="283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Образование: высшее, Ленинградский инженерно-экономический институт им. Тольятти, </w:t>
      </w:r>
      <w:r>
        <w:rPr>
          <w:rFonts w:ascii="Times New Roman" w:hAnsi="Times New Roman"/>
          <w:sz w:val="24"/>
        </w:rPr>
        <w:t>квалификация</w:t>
      </w:r>
      <w:r>
        <w:rPr>
          <w:rFonts w:ascii="Times New Roman" w:hAnsi="Times New Roman"/>
          <w:sz w:val="24"/>
        </w:rPr>
        <w:t xml:space="preserve"> – </w:t>
      </w:r>
      <w:r>
        <w:rPr>
          <w:rFonts w:ascii="Times New Roman" w:hAnsi="Times New Roman"/>
          <w:sz w:val="24"/>
        </w:rPr>
        <w:t>инжннер</w:t>
      </w:r>
      <w:r>
        <w:rPr>
          <w:rFonts w:ascii="Times New Roman" w:hAnsi="Times New Roman"/>
          <w:sz w:val="24"/>
        </w:rPr>
        <w:t>-</w:t>
      </w:r>
      <w:r>
        <w:rPr>
          <w:rFonts w:ascii="Times New Roman" w:hAnsi="Times New Roman"/>
          <w:sz w:val="24"/>
        </w:rPr>
        <w:t>экономист ,</w:t>
      </w:r>
    </w:p>
    <w:p w14:paraId="49030000">
      <w:pPr>
        <w:pStyle w:val="Style_10"/>
        <w:spacing w:after="40" w:before="20"/>
        <w:ind w:firstLine="283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A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B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C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Должность</w:t>
            </w: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D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E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F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 08.08.2021г.  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0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настоящее время</w:t>
            </w:r>
          </w:p>
        </w:tc>
        <w:tc>
          <w:tcPr>
            <w:tcW w:type="dxa" w:w="2977"/>
            <w:tcBorders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1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ООО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АДС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3226"/>
            <w:tcBorders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2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Генеральный директор (совместительство)</w:t>
            </w:r>
          </w:p>
        </w:tc>
      </w:tr>
      <w:tr>
        <w:trPr>
          <w:trHeight w:hRule="atLeast" w:val="1385"/>
        </w:trP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3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 01.11.2017 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4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настоящее время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503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КОНЦЕРН ТИТАН-2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56030000">
            <w:pPr>
              <w:widowControl w:val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заместитель генерального директора по внутреннему контролю и экономической безопасности по российским неатомным проектам.</w:t>
            </w:r>
          </w:p>
          <w:p w14:paraId="57030000">
            <w:pPr>
              <w:rPr>
                <w:rFonts w:ascii="Times New Roman" w:hAnsi="Times New Roman"/>
              </w:rPr>
            </w:pPr>
          </w:p>
        </w:tc>
      </w:tr>
    </w:tbl>
    <w:p w14:paraId="58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</w:p>
    <w:p w14:paraId="59030000">
      <w:pPr>
        <w:pStyle w:val="Style_1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b w:val="1"/>
          <w:sz w:val="24"/>
        </w:rPr>
        <w:t>Долей участия членов ревизионной комиссии</w:t>
      </w:r>
      <w:r>
        <w:rPr>
          <w:rFonts w:ascii="Times New Roman" w:hAnsi="Times New Roman"/>
          <w:sz w:val="24"/>
        </w:rPr>
        <w:t xml:space="preserve"> в уставном капитале 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(ревизору)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акции-  </w:t>
      </w:r>
      <w:r>
        <w:rPr>
          <w:rFonts w:ascii="Times New Roman" w:hAnsi="Times New Roman"/>
          <w:i w:val="1"/>
          <w:sz w:val="24"/>
        </w:rPr>
        <w:t>не имеют</w:t>
      </w:r>
    </w:p>
    <w:p w14:paraId="5A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</w:p>
    <w:p w14:paraId="5B030000">
      <w:pPr>
        <w:pStyle w:val="Style_1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b w:val="1"/>
          <w:sz w:val="24"/>
        </w:rPr>
        <w:t>Долей участия членов ревизионной комиссии</w:t>
      </w:r>
      <w:r>
        <w:rPr>
          <w:rFonts w:ascii="Times New Roman" w:hAnsi="Times New Roman"/>
          <w:sz w:val="24"/>
        </w:rPr>
        <w:t xml:space="preserve"> (ревизора) в уставном (складочном) капитале подконтрольных эмитенту организаций, имеющих для эмитента существенное значение- </w:t>
      </w:r>
      <w:r>
        <w:rPr>
          <w:rFonts w:ascii="Times New Roman" w:hAnsi="Times New Roman"/>
          <w:i w:val="1"/>
          <w:sz w:val="24"/>
        </w:rPr>
        <w:t>нет.</w:t>
      </w:r>
    </w:p>
    <w:p w14:paraId="5C030000">
      <w:pPr>
        <w:pStyle w:val="Style_1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b w:val="1"/>
          <w:sz w:val="24"/>
        </w:rPr>
        <w:t>Характера родственных связей</w:t>
      </w:r>
      <w:r>
        <w:rPr>
          <w:rFonts w:ascii="Times New Roman" w:hAnsi="Times New Roman"/>
          <w:sz w:val="24"/>
        </w:rPr>
        <w:t xml:space="preserve">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эмитента- </w:t>
      </w:r>
      <w:r>
        <w:rPr>
          <w:rFonts w:ascii="Times New Roman" w:hAnsi="Times New Roman"/>
          <w:i w:val="1"/>
          <w:sz w:val="24"/>
        </w:rPr>
        <w:t xml:space="preserve">не </w:t>
      </w:r>
      <w:r>
        <w:rPr>
          <w:rFonts w:ascii="Times New Roman" w:hAnsi="Times New Roman"/>
          <w:i w:val="1"/>
          <w:sz w:val="24"/>
        </w:rPr>
        <w:t>установлено.</w:t>
      </w:r>
    </w:p>
    <w:p w14:paraId="5D030000">
      <w:pPr>
        <w:pStyle w:val="Style_1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b w:val="1"/>
          <w:sz w:val="24"/>
        </w:rPr>
        <w:t>Сведений о привлечении члена ревизионной комиссии</w:t>
      </w:r>
      <w:r>
        <w:rPr>
          <w:rFonts w:ascii="Times New Roman" w:hAnsi="Times New Roman"/>
          <w:sz w:val="24"/>
        </w:rPr>
        <w:t xml:space="preserve"> (ревизора)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власти- </w:t>
      </w:r>
      <w:r>
        <w:rPr>
          <w:rFonts w:ascii="Times New Roman" w:hAnsi="Times New Roman"/>
          <w:i w:val="1"/>
          <w:sz w:val="24"/>
        </w:rPr>
        <w:t>нет.</w:t>
      </w:r>
    </w:p>
    <w:p w14:paraId="5E030000">
      <w:pPr>
        <w:pStyle w:val="Style_10"/>
        <w:ind w:firstLine="540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b w:val="1"/>
          <w:sz w:val="24"/>
        </w:rPr>
        <w:t xml:space="preserve">Сведений о занятии членом ревизионной комиссии </w:t>
      </w:r>
      <w:r>
        <w:rPr>
          <w:rFonts w:ascii="Times New Roman" w:hAnsi="Times New Roman"/>
          <w:sz w:val="24"/>
        </w:rPr>
        <w:t xml:space="preserve">(ревизором)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</w:t>
      </w:r>
      <w:r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О несостоятельности (банкротстве)</w:t>
      </w:r>
      <w:r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>-</w:t>
      </w:r>
      <w:r>
        <w:rPr>
          <w:rFonts w:ascii="Times New Roman" w:hAnsi="Times New Roman"/>
          <w:i w:val="1"/>
          <w:sz w:val="24"/>
        </w:rPr>
        <w:t>нет.</w:t>
      </w:r>
    </w:p>
    <w:p w14:paraId="5F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На должность специалиста по внутреннему аудиту Общества (внутренний аудитор) утверждена </w:t>
      </w:r>
      <w:r>
        <w:rPr>
          <w:rFonts w:ascii="Times New Roman" w:hAnsi="Times New Roman"/>
          <w:b w:val="1"/>
          <w:sz w:val="24"/>
        </w:rPr>
        <w:t xml:space="preserve">Дорофеева Елена Алексеевна </w:t>
      </w:r>
      <w:r>
        <w:rPr>
          <w:rFonts w:ascii="Times New Roman" w:hAnsi="Times New Roman"/>
          <w:sz w:val="24"/>
        </w:rPr>
        <w:t>(специалист по внутреннему аудиту):</w:t>
      </w:r>
    </w:p>
    <w:p w14:paraId="60030000">
      <w:pPr>
        <w:pStyle w:val="Style_10"/>
        <w:spacing w:after="40" w:before="20"/>
        <w:ind w:firstLine="539"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Год рождения: 1969 г.</w:t>
      </w:r>
    </w:p>
    <w:p w14:paraId="61030000">
      <w:pPr>
        <w:pStyle w:val="Style_10"/>
        <w:spacing w:after="40" w:before="20"/>
        <w:ind w:firstLine="539" w:left="0"/>
        <w:jc w:val="both"/>
        <w:rPr>
          <w:rFonts w:ascii="Times New Roman" w:hAnsi="Times New Roman"/>
          <w:color w:val="DD0000"/>
          <w:sz w:val="24"/>
        </w:rPr>
      </w:pPr>
      <w:r>
        <w:rPr>
          <w:rFonts w:ascii="Times New Roman" w:hAnsi="Times New Roman"/>
          <w:sz w:val="24"/>
        </w:rPr>
        <w:t xml:space="preserve">Образование: высшее, Институт экономики и финансов, квалификация - экономист, </w:t>
      </w:r>
      <w:r>
        <w:rPr>
          <w:rFonts w:ascii="Times New Roman" w:hAnsi="Times New Roman"/>
          <w:sz w:val="24"/>
        </w:rPr>
        <w:t>специальности :</w:t>
      </w:r>
      <w:r>
        <w:rPr>
          <w:rFonts w:ascii="Times New Roman" w:hAnsi="Times New Roman"/>
          <w:sz w:val="24"/>
        </w:rPr>
        <w:t xml:space="preserve"> бухгалтерский  учет и аудит</w:t>
      </w:r>
    </w:p>
    <w:p w14:paraId="62030000">
      <w:pPr>
        <w:pStyle w:val="Style_10"/>
        <w:spacing w:after="40" w:before="20"/>
        <w:ind w:firstLine="539" w:left="0"/>
        <w:jc w:val="both"/>
        <w:rPr>
          <w:rFonts w:ascii="Times New Roman" w:hAnsi="Times New Roman"/>
          <w:color w:val="DD0000"/>
          <w:sz w:val="24"/>
        </w:rPr>
      </w:pPr>
      <w:r>
        <w:rPr>
          <w:rFonts w:ascii="Times New Roman" w:hAnsi="Times New Roman"/>
          <w:sz w:val="24"/>
        </w:rPr>
        <w:t>Все должности, которые специалист занимает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1490"/>
        <w:gridCol w:w="1559"/>
        <w:gridCol w:w="2977"/>
        <w:gridCol w:w="3226"/>
      </w:tblGrid>
      <w:tr>
        <w:tc>
          <w:tcPr>
            <w:tcW w:type="dxa" w:w="3049"/>
            <w:gridSpan w:val="2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3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</w:t>
            </w:r>
          </w:p>
        </w:tc>
        <w:tc>
          <w:tcPr>
            <w:tcW w:type="dxa" w:w="2977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4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организации</w:t>
            </w:r>
          </w:p>
        </w:tc>
        <w:tc>
          <w:tcPr>
            <w:tcW w:type="dxa" w:w="3226"/>
            <w:vMerge w:val="restart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5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Должность</w:t>
            </w:r>
          </w:p>
        </w:tc>
      </w:tr>
      <w:tr>
        <w:trPr>
          <w:trHeight w:hRule="atLeast" w:val="301"/>
        </w:trP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6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7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</w:t>
            </w:r>
          </w:p>
        </w:tc>
        <w:tc>
          <w:tcPr>
            <w:tcW w:type="dxa" w:w="2977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  <w:tc>
          <w:tcPr>
            <w:tcW w:type="dxa" w:w="3226"/>
            <w:gridSpan w:val="1"/>
            <w:vMerge w:val="continue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/>
        </w:tc>
      </w:tr>
      <w:tr>
        <w:trPr>
          <w:trHeight w:hRule="atLeast" w:val="255"/>
        </w:trPr>
        <w:tc>
          <w:tcPr>
            <w:tcW w:type="dxa" w:w="1490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803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559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903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2977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A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данных нет</w:t>
            </w:r>
          </w:p>
        </w:tc>
        <w:tc>
          <w:tcPr>
            <w:tcW w:type="dxa" w:w="3226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B030000">
            <w:pPr>
              <w:ind/>
              <w:jc w:val="center"/>
              <w:rPr>
                <w:rFonts w:ascii="Times New Roman" w:hAnsi="Times New Roman"/>
              </w:rPr>
            </w:pPr>
          </w:p>
        </w:tc>
      </w:tr>
      <w:tr>
        <w:tc>
          <w:tcPr>
            <w:tcW w:type="dxa" w:w="149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C030000">
            <w:pPr>
              <w:ind w:firstLine="0" w:left="-142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15.08.2023</w:t>
            </w:r>
          </w:p>
        </w:tc>
        <w:tc>
          <w:tcPr>
            <w:tcW w:type="dxa" w:w="1559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D030000">
            <w:pPr>
              <w:ind w:firstLine="0" w:left="28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26.07.2024</w:t>
            </w:r>
          </w:p>
        </w:tc>
        <w:tc>
          <w:tcPr>
            <w:tcW w:type="dxa" w:w="2977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E030000">
            <w:pPr>
              <w:ind w:firstLine="0" w:left="28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ПАО </w:t>
            </w: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>СУС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322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6F030000">
            <w:pPr>
              <w:ind w:firstLine="0" w:left="28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Специалист по внутреннему аудиту</w:t>
            </w:r>
          </w:p>
        </w:tc>
      </w:tr>
    </w:tbl>
    <w:p w14:paraId="70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Доли участия лица в уставном (складочном)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(ревизору)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акции– н</w:t>
      </w:r>
      <w:r>
        <w:rPr>
          <w:rFonts w:ascii="Times New Roman" w:hAnsi="Times New Roman"/>
          <w:i w:val="1"/>
        </w:rPr>
        <w:t>е имеет;</w:t>
      </w:r>
    </w:p>
    <w:p w14:paraId="71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члену ревизионной комиссии </w:t>
      </w:r>
      <w:r>
        <w:rPr>
          <w:rFonts w:ascii="Times New Roman" w:hAnsi="Times New Roman"/>
        </w:rPr>
        <w:t>(ревизору)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акции: н</w:t>
      </w:r>
      <w:r>
        <w:rPr>
          <w:rFonts w:ascii="Times New Roman" w:hAnsi="Times New Roman"/>
          <w:i w:val="1"/>
        </w:rPr>
        <w:t>е имеет;</w:t>
      </w:r>
    </w:p>
    <w:p w14:paraId="72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Родственных связей (супруги, родители, дети, усыновители, усыновленные, родные братья и сестры, дедушки, бабушки, внуки) между специалистом по внутреннему аудиту, членами ревизионной комиссии и членами совета </w:t>
      </w:r>
      <w:r>
        <w:rPr>
          <w:rFonts w:ascii="Times New Roman" w:hAnsi="Times New Roman"/>
        </w:rPr>
        <w:t>директоров ,</w:t>
      </w:r>
      <w:r>
        <w:rPr>
          <w:rFonts w:ascii="Times New Roman" w:hAnsi="Times New Roman"/>
        </w:rPr>
        <w:t xml:space="preserve"> лицом, занимающим должность (осуществляющим функции) единоличного исполнительного органа эмитент</w:t>
      </w:r>
      <w:r>
        <w:t xml:space="preserve">а – </w:t>
      </w:r>
      <w:r>
        <w:rPr>
          <w:rFonts w:ascii="Times New Roman" w:hAnsi="Times New Roman"/>
          <w:i w:val="1"/>
        </w:rPr>
        <w:t>не имеет</w:t>
      </w:r>
    </w:p>
    <w:p w14:paraId="73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  <w:color w:val="DD0000"/>
          <w:shd w:fill="FFD821" w:val="clear"/>
        </w:rPr>
      </w:pPr>
      <w:r>
        <w:rPr>
          <w:rFonts w:ascii="Times New Roman" w:hAnsi="Times New Roman"/>
        </w:rPr>
        <w:t>Cведений</w:t>
      </w:r>
      <w:r>
        <w:rPr>
          <w:rFonts w:ascii="Times New Roman" w:hAnsi="Times New Roman"/>
        </w:rPr>
        <w:t xml:space="preserve"> о привлечении специалиста по внутреннему аудиту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 -</w:t>
      </w:r>
      <w:r>
        <w:rPr>
          <w:rFonts w:ascii="Times New Roman" w:hAnsi="Times New Roman"/>
          <w:i w:val="1"/>
        </w:rPr>
        <w:t>нет;</w:t>
      </w:r>
    </w:p>
    <w:p w14:paraId="7403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Сведений о занятии специалиста по внутреннему аудиту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>HYPERLINK "https://login.consultant.ru/link/?req=doc&amp;base=LAW&amp;n=483133&amp;dst=570"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t>статьей 27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Федерального закона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О несостоятельности (банкротстве)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-</w:t>
      </w:r>
      <w:r>
        <w:rPr>
          <w:rFonts w:ascii="Times New Roman" w:hAnsi="Times New Roman"/>
          <w:i w:val="1"/>
        </w:rPr>
        <w:t>нет.</w:t>
      </w:r>
    </w:p>
    <w:p w14:paraId="75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Другие структурные подразделения в т.ч. по управлению рисками и (или) внутреннему контролю, у эмитента в отчетном периоде отсутствовали.</w:t>
      </w:r>
    </w:p>
    <w:p w14:paraId="76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</w:t>
      </w:r>
      <w:r>
        <w:rPr>
          <w:rFonts w:ascii="Times New Roman" w:hAnsi="Times New Roman"/>
        </w:rPr>
        <w:t>отчетности</w:t>
      </w:r>
      <w:r>
        <w:rPr>
          <w:rFonts w:ascii="Times New Roman" w:hAnsi="Times New Roman"/>
        </w:rPr>
        <w:t xml:space="preserve"> в составе раскрытой информации не было.</w:t>
      </w:r>
    </w:p>
    <w:p w14:paraId="77030000">
      <w:pPr>
        <w:widowControl w:val="0"/>
        <w:ind w:firstLine="540" w:left="0"/>
        <w:jc w:val="both"/>
        <w:rPr>
          <w:color w:val="DD0000"/>
        </w:rPr>
      </w:pPr>
    </w:p>
    <w:p w14:paraId="78030000">
      <w:bookmarkStart w:id="28" w:name="__RefHeading___124"/>
      <w:bookmarkEnd w:id="28"/>
      <w:pPr>
        <w:pStyle w:val="Style_8"/>
        <w:numPr>
          <w:ilvl w:val="1"/>
          <w:numId w:val="15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14:paraId="79030000">
      <w:pPr>
        <w:widowControl w:val="0"/>
        <w:ind w:firstLine="540" w:left="0"/>
        <w:jc w:val="both"/>
        <w:outlineLvl w:val="3"/>
        <w:rPr>
          <w:rFonts w:ascii="Times New Roman" w:hAnsi="Times New Roman"/>
          <w:i w:val="1"/>
        </w:rPr>
      </w:pPr>
    </w:p>
    <w:p w14:paraId="7A030000">
      <w:pPr>
        <w:widowControl w:val="0"/>
        <w:ind w:firstLine="540" w:left="0"/>
        <w:jc w:val="both"/>
        <w:outlineLvl w:val="3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Какие-либо обязательства эмитента перед работниками эмитента и работниками подконтрольных эмитенту организаций, касающихся возможности их участия в уставном капитале </w:t>
      </w:r>
      <w:r>
        <w:rPr>
          <w:rFonts w:ascii="Times New Roman" w:hAnsi="Times New Roman"/>
        </w:rPr>
        <w:t>эмитента  по</w:t>
      </w:r>
      <w:r>
        <w:rPr>
          <w:rFonts w:ascii="Times New Roman" w:hAnsi="Times New Roman"/>
        </w:rPr>
        <w:t xml:space="preserve"> состоянию на отчетную дату (дату окончания отчетного периода) </w:t>
      </w:r>
      <w:r>
        <w:rPr>
          <w:rFonts w:ascii="Times New Roman" w:hAnsi="Times New Roman"/>
          <w:i w:val="1"/>
        </w:rPr>
        <w:t>отстутствуют</w:t>
      </w:r>
      <w:r>
        <w:rPr>
          <w:rFonts w:ascii="Times New Roman" w:hAnsi="Times New Roman"/>
          <w:i w:val="1"/>
        </w:rPr>
        <w:t>, соглашений не заключалось..</w:t>
      </w:r>
    </w:p>
    <w:p w14:paraId="7B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(31.12.2023) и датой раскрытия финансовой отчетности в составе раскрытой информации не было.</w:t>
      </w:r>
    </w:p>
    <w:p w14:paraId="7C030000">
      <w:bookmarkStart w:id="29" w:name="__RefHeading___125"/>
      <w:bookmarkEnd w:id="29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14:paraId="7D030000">
      <w:bookmarkStart w:id="30" w:name="__RefHeading___126"/>
      <w:bookmarkEnd w:id="30"/>
      <w:pPr>
        <w:pStyle w:val="Style_8"/>
        <w:numPr>
          <w:ilvl w:val="1"/>
          <w:numId w:val="19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1" w:name="P447"/>
      <w:bookmarkEnd w:id="31"/>
      <w:r>
        <w:rPr>
          <w:rFonts w:ascii="Times New Roman" w:hAnsi="Times New Roman"/>
          <w:b w:val="1"/>
        </w:rPr>
        <w:t>Сведения об общем количестве акционеров эмитента</w:t>
      </w:r>
    </w:p>
    <w:p w14:paraId="7E030000">
      <w:pPr>
        <w:pStyle w:val="Style_10"/>
        <w:spacing w:before="22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отчетного квартала: </w:t>
      </w:r>
      <w:r>
        <w:rPr>
          <w:rFonts w:ascii="Times New Roman" w:hAnsi="Times New Roman"/>
          <w:b w:val="1"/>
          <w:sz w:val="24"/>
        </w:rPr>
        <w:t>4 319.</w:t>
      </w:r>
    </w:p>
    <w:p w14:paraId="7F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Общее количество лиц, зарегистрированных в реестре акционеров номинальными держателями акций эмитента: 0,</w:t>
      </w:r>
    </w:p>
    <w:p w14:paraId="8003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В соответствии с пунктом 1 статьи 30.3 Закона N 39-</w:t>
      </w:r>
      <w:r>
        <w:rPr>
          <w:rFonts w:ascii="Times New Roman" w:hAnsi="Times New Roman"/>
        </w:rPr>
        <w:t>ФЗ  за</w:t>
      </w:r>
      <w:r>
        <w:rPr>
          <w:rFonts w:ascii="Times New Roman" w:hAnsi="Times New Roman"/>
        </w:rPr>
        <w:t xml:space="preserve"> эмитентами, в реестрах которых открыт лицевой счет номинального держателя центрального депозитария (счет НДЦД), закрепляется особая обязанность - предоставление информации, связанной с осуществлением прав по ценным бумагам, центральному депозитарию. При этом наличие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нулевого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остатка (отсутствие депонентов) на счете НДЦД не освобождает эмитента от исполнения этой обязанности.</w:t>
      </w:r>
    </w:p>
    <w:p w14:paraId="81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4 319</w:t>
      </w:r>
    </w:p>
    <w:p w14:paraId="82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07.06.2023</w:t>
      </w:r>
    </w:p>
    <w:p w14:paraId="83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Владельцы обыкновенных акций эмитента, которые подлежали включению в такой список: 3 429.</w:t>
      </w:r>
    </w:p>
    <w:p w14:paraId="84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Владельцы привилегированных акций эмитента, которые подлежали включению в такой список: 3 719.</w:t>
      </w:r>
    </w:p>
    <w:p w14:paraId="85030000">
      <w:pPr>
        <w:pStyle w:val="Style_1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 о количестве собственных акций, находящихся на балансе эмитента на дату окончания отчетного квартала: собственных акций, находящихся на балансе эмитента, не имеется.</w:t>
      </w:r>
    </w:p>
    <w:p w14:paraId="86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Информации об акциях,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акций, не имеется.</w:t>
      </w:r>
    </w:p>
    <w:p w14:paraId="87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Информации об акциях эмитента, принадлежащих подконтрольным ему организациям, отдельно по каждой категории (типу) акций, не имеется.</w:t>
      </w:r>
    </w:p>
    <w:p w14:paraId="88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</w:t>
      </w:r>
      <w:r>
        <w:rPr>
          <w:rFonts w:ascii="Times New Roman" w:hAnsi="Times New Roman"/>
        </w:rPr>
        <w:t>отчености</w:t>
      </w:r>
      <w:r>
        <w:rPr>
          <w:rFonts w:ascii="Times New Roman" w:hAnsi="Times New Roman"/>
        </w:rPr>
        <w:t xml:space="preserve"> в составе раскрытой информации не было.</w:t>
      </w:r>
    </w:p>
    <w:p w14:paraId="89030000">
      <w:bookmarkStart w:id="32" w:name="__RefHeading___127"/>
      <w:bookmarkEnd w:id="32"/>
      <w:pPr>
        <w:pStyle w:val="Style_8"/>
        <w:numPr>
          <w:ilvl w:val="1"/>
          <w:numId w:val="19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14:paraId="8A030000">
      <w:pPr>
        <w:widowControl w:val="0"/>
        <w:spacing w:before="22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Акционером Общества, владеющим не менее чем пятью процентами его уставного капитала и имеющим право распоряжаться не менее чем пятью процентами голосов, приходящихся на голосующие </w:t>
      </w:r>
      <w:r>
        <w:rPr>
          <w:rFonts w:ascii="Times New Roman" w:hAnsi="Times New Roman"/>
        </w:rPr>
        <w:t>акции ,</w:t>
      </w:r>
      <w:r>
        <w:rPr>
          <w:rFonts w:ascii="Times New Roman" w:hAnsi="Times New Roman"/>
        </w:rPr>
        <w:t xml:space="preserve"> составляющие уставный капитал эмитента  является юридическое лицо:</w:t>
      </w:r>
    </w:p>
    <w:p w14:paraId="8B030000">
      <w:pPr>
        <w:widowControl w:val="0"/>
        <w:spacing w:after="40" w:before="20"/>
        <w:ind w:firstLine="567" w:left="0"/>
        <w:rPr>
          <w:rFonts w:ascii="Times New Roman" w:hAnsi="Times New Roman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А</w:t>
      </w:r>
      <w:r>
        <w:rPr>
          <w:rFonts w:ascii="Times New Roman" w:hAnsi="Times New Roman"/>
          <w:b w:val="1"/>
        </w:rPr>
        <w:t xml:space="preserve">кционерное общество </w:t>
      </w:r>
      <w:r>
        <w:rPr>
          <w:rFonts w:ascii="Times New Roman" w:hAnsi="Times New Roman"/>
          <w:b w:val="1"/>
        </w:rPr>
        <w:t>«</w:t>
      </w:r>
      <w:r>
        <w:rPr>
          <w:rFonts w:ascii="Times New Roman" w:hAnsi="Times New Roman"/>
          <w:b w:val="1"/>
        </w:rPr>
        <w:t>ТИТАН-2</w:t>
      </w:r>
      <w:r>
        <w:rPr>
          <w:rFonts w:ascii="Times New Roman" w:hAnsi="Times New Roman"/>
          <w:b w:val="1"/>
        </w:rPr>
        <w:t>»</w:t>
      </w:r>
    </w:p>
    <w:p w14:paraId="8C030000">
      <w:pPr>
        <w:widowControl w:val="0"/>
        <w:spacing w:after="40" w:before="20"/>
        <w:ind w:firstLine="367" w:left="200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0"/>
          <w:i w:val="1"/>
        </w:rPr>
        <w:t xml:space="preserve"> </w:t>
      </w:r>
      <w:r>
        <w:rPr>
          <w:rFonts w:ascii="Times New Roman" w:hAnsi="Times New Roman"/>
          <w:b w:val="0"/>
        </w:rPr>
        <w:t xml:space="preserve">АО </w:t>
      </w:r>
      <w:r>
        <w:rPr>
          <w:rFonts w:ascii="Times New Roman" w:hAnsi="Times New Roman"/>
          <w:b w:val="0"/>
        </w:rPr>
        <w:t>«</w:t>
      </w:r>
      <w:r>
        <w:rPr>
          <w:rFonts w:ascii="Times New Roman" w:hAnsi="Times New Roman"/>
          <w:b w:val="0"/>
        </w:rPr>
        <w:t>ТИТАН-2</w:t>
      </w:r>
      <w:r>
        <w:rPr>
          <w:rFonts w:ascii="Times New Roman" w:hAnsi="Times New Roman"/>
          <w:b w:val="0"/>
        </w:rPr>
        <w:t>»</w:t>
      </w:r>
    </w:p>
    <w:p w14:paraId="8D030000">
      <w:pPr>
        <w:widowControl w:val="0"/>
        <w:spacing w:after="40" w:before="240"/>
        <w:ind w:firstLine="367" w:left="0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b w:val="0"/>
        </w:rPr>
        <w:t xml:space="preserve">188540 Российская Федерация, Ленинградская область, г. Сосновый Бор, </w:t>
      </w:r>
      <w:r>
        <w:rPr>
          <w:rFonts w:ascii="Times New Roman" w:hAnsi="Times New Roman"/>
          <w:b w:val="0"/>
        </w:rPr>
        <w:t>Копорское</w:t>
      </w:r>
      <w:r>
        <w:rPr>
          <w:rFonts w:ascii="Times New Roman" w:hAnsi="Times New Roman"/>
          <w:b w:val="0"/>
        </w:rPr>
        <w:t xml:space="preserve"> шоссе 64</w:t>
      </w:r>
    </w:p>
    <w:p w14:paraId="8E030000">
      <w:pPr>
        <w:widowControl w:val="0"/>
        <w:spacing w:after="40" w:before="20"/>
        <w:ind w:firstLine="367" w:left="0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ИНН:</w:t>
      </w:r>
      <w:r>
        <w:rPr>
          <w:rFonts w:ascii="Times New Roman" w:hAnsi="Times New Roman"/>
          <w:b w:val="0"/>
          <w:i w:val="1"/>
        </w:rPr>
        <w:t xml:space="preserve"> </w:t>
      </w:r>
      <w:r>
        <w:rPr>
          <w:rFonts w:ascii="Times New Roman" w:hAnsi="Times New Roman"/>
          <w:b w:val="0"/>
        </w:rPr>
        <w:t xml:space="preserve">4714020401    </w:t>
      </w:r>
      <w:r>
        <w:rPr>
          <w:rFonts w:ascii="Times New Roman" w:hAnsi="Times New Roman"/>
          <w:b w:val="0"/>
        </w:rPr>
        <w:t>ОГРН:</w:t>
      </w:r>
      <w:r>
        <w:rPr>
          <w:rFonts w:ascii="Times New Roman" w:hAnsi="Times New Roman"/>
          <w:b w:val="0"/>
          <w:i w:val="1"/>
        </w:rPr>
        <w:t xml:space="preserve"> </w:t>
      </w:r>
      <w:r>
        <w:rPr>
          <w:rFonts w:ascii="Times New Roman" w:hAnsi="Times New Roman"/>
          <w:b w:val="0"/>
        </w:rPr>
        <w:t>1074714000570</w:t>
      </w:r>
    </w:p>
    <w:p w14:paraId="8F030000">
      <w:pPr>
        <w:widowControl w:val="0"/>
        <w:spacing w:after="40" w:before="20"/>
        <w:ind w:firstLine="367"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Размер доли голосов в </w:t>
      </w:r>
      <w:r>
        <w:rPr>
          <w:rFonts w:ascii="Times New Roman" w:hAnsi="Times New Roman"/>
        </w:rPr>
        <w:t>процентах 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приходящхся</w:t>
      </w:r>
      <w:r>
        <w:rPr>
          <w:rFonts w:ascii="Times New Roman" w:hAnsi="Times New Roman"/>
        </w:rPr>
        <w:t xml:space="preserve"> на голосующие акции, составляющие уставный капитал эмитента, которой имеет право распоряжаться лицо: </w:t>
      </w:r>
      <w:r>
        <w:rPr>
          <w:rFonts w:ascii="Times New Roman" w:hAnsi="Times New Roman"/>
          <w:b w:val="1"/>
        </w:rPr>
        <w:t>99.5149%</w:t>
      </w:r>
    </w:p>
    <w:p w14:paraId="90030000">
      <w:pPr>
        <w:widowControl w:val="0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эмитента: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99.7228%</w:t>
      </w:r>
    </w:p>
    <w:p w14:paraId="91030000">
      <w:pPr>
        <w:widowControl w:val="0"/>
        <w:spacing w:before="160"/>
        <w:ind w:firstLine="425" w:left="1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Вид права распоряжения голосами, приходящимися на голосующие акции (доли), составляющие </w:t>
      </w:r>
      <w:r>
        <w:rPr>
          <w:rFonts w:ascii="Times New Roman" w:hAnsi="Times New Roman"/>
        </w:rPr>
        <w:t>уставный  капитал</w:t>
      </w:r>
      <w:r>
        <w:rPr>
          <w:rFonts w:ascii="Times New Roman" w:hAnsi="Times New Roman"/>
        </w:rPr>
        <w:t xml:space="preserve"> эмитента, которым обладает лицо-прямое распоряжение.</w:t>
      </w:r>
    </w:p>
    <w:p w14:paraId="92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Лица, контролирующие акционера эмитента, владеющего не менее чем 5 процентами его уставного (складочного) капитала или не менее чем 5 процентами его обыкновенных акций отсутствуют.</w:t>
      </w:r>
    </w:p>
    <w:p w14:paraId="93030000">
      <w:pPr>
        <w:widowControl w:val="0"/>
        <w:spacing w:before="160"/>
        <w:ind w:firstLine="540" w:left="1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Сведения о лицах, владеющих не менее чем 20 процентами уставного капитала или не менее чем 20 процентами обыкновенных акций акционера эмитента– 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ТИТАН-2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>, который владеет не менее чем 5 процентами уставного (складочного) капитала эмитента или не менее чем 5 процентами его обыкновенных акций:</w:t>
      </w:r>
    </w:p>
    <w:p w14:paraId="94030000">
      <w:pPr>
        <w:widowControl w:val="0"/>
        <w:numPr>
          <w:ilvl w:val="0"/>
          <w:numId w:val="20"/>
        </w:numPr>
        <w:spacing w:after="40" w:before="2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 xml:space="preserve">Закрытое акционерное общество </w:t>
      </w:r>
      <w:r>
        <w:rPr>
          <w:rFonts w:ascii="Times New Roman" w:hAnsi="Times New Roman"/>
          <w:b w:val="1"/>
        </w:rPr>
        <w:t>«</w:t>
      </w:r>
      <w:r>
        <w:rPr>
          <w:rFonts w:ascii="Times New Roman" w:hAnsi="Times New Roman"/>
          <w:b w:val="1"/>
        </w:rPr>
        <w:t>Н-2</w:t>
      </w:r>
      <w:r>
        <w:rPr>
          <w:rFonts w:ascii="Times New Roman" w:hAnsi="Times New Roman"/>
          <w:b w:val="1"/>
        </w:rPr>
        <w:t>»</w:t>
      </w:r>
    </w:p>
    <w:p w14:paraId="95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 xml:space="preserve">ЗАО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Н-2</w:t>
      </w:r>
      <w:r>
        <w:rPr>
          <w:rFonts w:ascii="Times New Roman" w:hAnsi="Times New Roman"/>
        </w:rPr>
        <w:t>»</w:t>
      </w:r>
    </w:p>
    <w:p w14:paraId="96030000">
      <w:pPr>
        <w:widowControl w:val="0"/>
        <w:spacing w:after="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i w:val="1"/>
        </w:rPr>
        <w:t>1</w:t>
      </w:r>
      <w:r>
        <w:rPr>
          <w:rFonts w:ascii="Times New Roman" w:hAnsi="Times New Roman"/>
        </w:rPr>
        <w:t xml:space="preserve">88540 Российская Федерация, Ленинградская o6n., r. </w:t>
      </w:r>
      <w:r>
        <w:rPr>
          <w:rFonts w:ascii="Times New Roman" w:hAnsi="Times New Roman"/>
        </w:rPr>
        <w:t>Cocновый</w:t>
      </w:r>
      <w:r>
        <w:rPr>
          <w:rFonts w:ascii="Times New Roman" w:hAnsi="Times New Roman"/>
        </w:rPr>
        <w:t xml:space="preserve"> Бор, ул. Ленинградская 32</w:t>
      </w:r>
    </w:p>
    <w:p w14:paraId="97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4714020257     ОГРН: 1074714000283</w:t>
      </w:r>
    </w:p>
    <w:p w14:paraId="98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Размер </w:t>
      </w:r>
      <w:r>
        <w:rPr>
          <w:rFonts w:ascii="Times New Roman" w:hAnsi="Times New Roman"/>
        </w:rPr>
        <w:t>доли  лица</w:t>
      </w:r>
      <w:r>
        <w:rPr>
          <w:rFonts w:ascii="Times New Roman" w:hAnsi="Times New Roman"/>
        </w:rPr>
        <w:t xml:space="preserve"> в уставном капитале акционера эмитента. %:50</w:t>
      </w:r>
    </w:p>
    <w:p w14:paraId="99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принадлежащих ему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9A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9B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9C030000">
      <w:pPr>
        <w:widowControl w:val="0"/>
        <w:spacing w:after="40" w:before="20"/>
        <w:ind w:firstLine="0" w:left="200"/>
        <w:rPr>
          <w:rFonts w:ascii="Times New Roman" w:hAnsi="Times New Roman"/>
        </w:rPr>
      </w:pPr>
    </w:p>
    <w:p w14:paraId="9D030000">
      <w:pPr>
        <w:widowControl w:val="0"/>
        <w:numPr>
          <w:ilvl w:val="0"/>
          <w:numId w:val="20"/>
        </w:numPr>
        <w:spacing w:after="40" w:before="24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 xml:space="preserve">Закрытое акционерное общество </w:t>
      </w:r>
      <w:r>
        <w:rPr>
          <w:rFonts w:ascii="Times New Roman" w:hAnsi="Times New Roman"/>
          <w:b w:val="1"/>
        </w:rPr>
        <w:t>«</w:t>
      </w:r>
      <w:r>
        <w:rPr>
          <w:rFonts w:ascii="Times New Roman" w:hAnsi="Times New Roman"/>
          <w:b w:val="1"/>
        </w:rPr>
        <w:t>СЛ-ЦЕНТР</w:t>
      </w:r>
      <w:r>
        <w:rPr>
          <w:rFonts w:ascii="Times New Roman" w:hAnsi="Times New Roman"/>
          <w:b w:val="1"/>
        </w:rPr>
        <w:t>»</w:t>
      </w:r>
    </w:p>
    <w:p w14:paraId="9E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 xml:space="preserve">ЗАО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СЛ-ЦЕНТР</w:t>
      </w:r>
      <w:r>
        <w:rPr>
          <w:rFonts w:ascii="Times New Roman" w:hAnsi="Times New Roman"/>
        </w:rPr>
        <w:t>»</w:t>
      </w:r>
    </w:p>
    <w:p w14:paraId="9F030000">
      <w:pPr>
        <w:widowControl w:val="0"/>
        <w:spacing w:after="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191025, Российская Федерация, г. </w:t>
      </w:r>
      <w:r>
        <w:rPr>
          <w:rFonts w:ascii="Times New Roman" w:hAnsi="Times New Roman"/>
        </w:rPr>
        <w:t>Caнкт</w:t>
      </w:r>
      <w:r>
        <w:rPr>
          <w:rFonts w:ascii="Times New Roman" w:hAnsi="Times New Roman"/>
        </w:rPr>
        <w:t xml:space="preserve"> - </w:t>
      </w:r>
      <w:r>
        <w:rPr>
          <w:rFonts w:ascii="Times New Roman" w:hAnsi="Times New Roman"/>
        </w:rPr>
        <w:t>Пeтербург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np</w:t>
      </w:r>
      <w:r>
        <w:rPr>
          <w:rFonts w:ascii="Times New Roman" w:hAnsi="Times New Roman"/>
        </w:rPr>
        <w:t xml:space="preserve"> - </w:t>
      </w:r>
      <w:r>
        <w:rPr>
          <w:rFonts w:ascii="Times New Roman" w:hAnsi="Times New Roman"/>
        </w:rPr>
        <w:t>кт</w:t>
      </w:r>
      <w:r>
        <w:rPr>
          <w:rFonts w:ascii="Times New Roman" w:hAnsi="Times New Roman"/>
        </w:rPr>
        <w:t xml:space="preserve"> Невский 104, стр. лит. А</w:t>
      </w:r>
    </w:p>
    <w:p w14:paraId="A0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7</w:t>
      </w:r>
      <w:r>
        <w:rPr>
          <w:rFonts w:ascii="Times New Roman" w:hAnsi="Times New Roman"/>
        </w:rPr>
        <w:t>841355332    ОГРН: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1077847050258</w:t>
      </w:r>
    </w:p>
    <w:p w14:paraId="A1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Размер доли такого лица в уставном (складочном) </w:t>
      </w:r>
      <w:r>
        <w:rPr>
          <w:rFonts w:ascii="Times New Roman" w:hAnsi="Times New Roman"/>
        </w:rPr>
        <w:t>капитале  акционера</w:t>
      </w:r>
      <w:r>
        <w:rPr>
          <w:rFonts w:ascii="Times New Roman" w:hAnsi="Times New Roman"/>
        </w:rPr>
        <w:t xml:space="preserve"> эмитента, %:</w:t>
      </w:r>
      <w:r>
        <w:rPr>
          <w:rFonts w:ascii="Times New Roman" w:hAnsi="Times New Roman"/>
          <w:b w:val="1"/>
          <w:i w:val="1"/>
        </w:rPr>
        <w:t>50</w:t>
      </w:r>
    </w:p>
    <w:p w14:paraId="A2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A3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A403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A5030000">
      <w:pPr>
        <w:widowControl w:val="0"/>
        <w:spacing w:before="220"/>
        <w:ind w:firstLine="284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Иные сведения, указываемые эмитентом по собственному усмотрению: </w:t>
      </w:r>
      <w:r>
        <w:rPr>
          <w:rFonts w:ascii="Times New Roman" w:hAnsi="Times New Roman"/>
          <w:i w:val="1"/>
        </w:rPr>
        <w:t>иные сведения</w:t>
      </w:r>
      <w:r>
        <w:rPr>
          <w:rFonts w:ascii="Times New Roman" w:hAnsi="Times New Roman"/>
          <w:i w:val="1"/>
        </w:rPr>
        <w:t xml:space="preserve"> отсутствуют.</w:t>
      </w:r>
    </w:p>
    <w:p w14:paraId="A6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</w:t>
      </w:r>
      <w:r>
        <w:rPr>
          <w:rFonts w:ascii="Times New Roman" w:hAnsi="Times New Roman"/>
        </w:rPr>
        <w:t>отчености</w:t>
      </w:r>
      <w:r>
        <w:rPr>
          <w:rFonts w:ascii="Times New Roman" w:hAnsi="Times New Roman"/>
        </w:rPr>
        <w:t xml:space="preserve"> в составе раскрытой информации не было.</w:t>
      </w:r>
    </w:p>
    <w:p w14:paraId="A7030000">
      <w:bookmarkStart w:id="33" w:name="__RefHeading___128"/>
      <w:bookmarkEnd w:id="33"/>
      <w:pPr>
        <w:pStyle w:val="Style_8"/>
        <w:numPr>
          <w:ilvl w:val="1"/>
          <w:numId w:val="19"/>
        </w:numPr>
        <w:spacing w:before="240"/>
        <w:ind w:hanging="425" w:left="567"/>
        <w:jc w:val="both"/>
        <w:rPr>
          <w:rFonts w:ascii="Times New Roman" w:hAnsi="Times New Roman"/>
          <w:b w:val="1"/>
        </w:rPr>
      </w:pPr>
      <w:bookmarkStart w:id="34" w:name="P486"/>
      <w:bookmarkEnd w:id="34"/>
      <w:r>
        <w:rPr>
          <w:rFonts w:ascii="Times New Roman" w:hAnsi="Times New Roman"/>
          <w:b w:val="1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</w:t>
      </w:r>
      <w:r>
        <w:rPr>
          <w:rFonts w:ascii="Times New Roman" w:hAnsi="Times New Roman"/>
          <w:b w:val="1"/>
        </w:rPr>
        <w:t>«</w:t>
      </w:r>
      <w:r>
        <w:rPr>
          <w:rFonts w:ascii="Times New Roman" w:hAnsi="Times New Roman"/>
          <w:b w:val="1"/>
        </w:rPr>
        <w:t>золотой акции</w:t>
      </w:r>
      <w:r>
        <w:rPr>
          <w:rFonts w:ascii="Times New Roman" w:hAnsi="Times New Roman"/>
          <w:b w:val="1"/>
        </w:rPr>
        <w:t>»</w:t>
      </w:r>
      <w:r>
        <w:rPr>
          <w:rFonts w:ascii="Times New Roman" w:hAnsi="Times New Roman"/>
          <w:b w:val="1"/>
        </w:rPr>
        <w:t>)</w:t>
      </w:r>
    </w:p>
    <w:p w14:paraId="A8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Сведения об управляющих государственными, муниципальными пакетами акций: Указанных лиц нет.</w:t>
      </w:r>
    </w:p>
    <w:p w14:paraId="A9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эмитента: Указанных лиц нет.</w:t>
      </w:r>
    </w:p>
    <w:p w14:paraId="AA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уставного капитала эмитента, находящейся в государственной собственности (федеральной, субъектов Российской Федерации), муниципальной собственности - 0%;</w:t>
      </w:r>
    </w:p>
    <w:p w14:paraId="AB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</w:t>
      </w:r>
      <w:r>
        <w:rPr>
          <w:rFonts w:ascii="Times New Roman" w:hAnsi="Times New Roman"/>
          <w:sz w:val="24"/>
        </w:rPr>
        <w:t>обществом ('золотой акции'), срок действия специального права ('золотой акции'): Указанное право не предусмотрено.</w:t>
      </w:r>
    </w:p>
    <w:p w14:paraId="AC03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</w:t>
      </w:r>
      <w:r>
        <w:rPr>
          <w:rFonts w:ascii="Times New Roman" w:hAnsi="Times New Roman"/>
        </w:rPr>
        <w:t>отчености</w:t>
      </w:r>
      <w:r>
        <w:rPr>
          <w:rFonts w:ascii="Times New Roman" w:hAnsi="Times New Roman"/>
        </w:rPr>
        <w:t xml:space="preserve"> в составе раскрытой информации не было.</w:t>
      </w:r>
    </w:p>
    <w:p w14:paraId="AD030000">
      <w:bookmarkStart w:id="35" w:name="__RefHeading___129"/>
      <w:bookmarkEnd w:id="35"/>
      <w:pPr>
        <w:pStyle w:val="Style_8"/>
        <w:numPr>
          <w:ilvl w:val="1"/>
          <w:numId w:val="19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6" w:name="P492"/>
      <w:bookmarkEnd w:id="36"/>
      <w:r>
        <w:rPr>
          <w:rFonts w:ascii="Times New Roman" w:hAnsi="Times New Roman"/>
          <w:b w:val="1"/>
        </w:rPr>
        <w:t>Сделки эмитента, в совершении которых имелась заинтересованность</w:t>
      </w:r>
    </w:p>
    <w:p w14:paraId="AE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Не заполняется, так как акции эмитента не допущены к организованным торгам.</w:t>
      </w:r>
    </w:p>
    <w:p w14:paraId="AF030000">
      <w:bookmarkStart w:id="37" w:name="__RefHeading___130"/>
      <w:bookmarkEnd w:id="37"/>
      <w:pPr>
        <w:pStyle w:val="Style_8"/>
        <w:numPr>
          <w:ilvl w:val="1"/>
          <w:numId w:val="19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8" w:name="P497"/>
      <w:bookmarkEnd w:id="38"/>
      <w:r>
        <w:rPr>
          <w:rFonts w:ascii="Times New Roman" w:hAnsi="Times New Roman"/>
          <w:b w:val="1"/>
        </w:rPr>
        <w:t>Крупные сделки эмитента</w:t>
      </w:r>
    </w:p>
    <w:p w14:paraId="B0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Не заполняется, так как акции эмитента не допущены к организованным торгам. </w:t>
      </w:r>
    </w:p>
    <w:p w14:paraId="B1030000">
      <w:bookmarkStart w:id="39" w:name="__RefHeading___131"/>
      <w:bookmarkEnd w:id="39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4. Дополнительные сведения об эмитенте и о размещенных им ценных бумагах</w:t>
      </w:r>
    </w:p>
    <w:p w14:paraId="B2030000">
      <w:bookmarkStart w:id="40" w:name="__RefHeading___132"/>
      <w:bookmarkEnd w:id="40"/>
      <w:pPr>
        <w:pStyle w:val="Style_8"/>
        <w:numPr>
          <w:ilvl w:val="1"/>
          <w:numId w:val="21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1" w:name="P511"/>
      <w:bookmarkEnd w:id="41"/>
      <w:r>
        <w:rPr>
          <w:rFonts w:ascii="Times New Roman" w:hAnsi="Times New Roman"/>
          <w:b w:val="1"/>
        </w:rPr>
        <w:t>Подконтрольные эмитенту организации, имеющие для него существенное значение</w:t>
      </w:r>
    </w:p>
    <w:p w14:paraId="B3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имеет подконтрольные эмитенту организации, имеющие для него существенное значение:</w:t>
      </w:r>
    </w:p>
    <w:p w14:paraId="B4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4.1.1 Российские компании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2586"/>
        <w:gridCol w:w="1350"/>
        <w:gridCol w:w="1701"/>
        <w:gridCol w:w="2190"/>
        <w:gridCol w:w="1743"/>
      </w:tblGrid>
      <w:tr>
        <w:tc>
          <w:tcPr>
            <w:tcW w:type="dxa" w:w="25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5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полное и сокращенное (при наличии) наименования</w:t>
            </w:r>
          </w:p>
        </w:tc>
        <w:tc>
          <w:tcPr>
            <w:tcW w:type="dxa" w:w="135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6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ИНН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7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ОГРН</w:t>
            </w:r>
          </w:p>
        </w:tc>
        <w:tc>
          <w:tcPr>
            <w:tcW w:type="dxa" w:w="2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8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место нахождения</w:t>
            </w:r>
          </w:p>
          <w:p w14:paraId="B903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4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A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вид контроля, под которым находится организация</w:t>
            </w:r>
          </w:p>
        </w:tc>
      </w:tr>
      <w:tr>
        <w:tc>
          <w:tcPr>
            <w:tcW w:type="dxa" w:w="25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B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Открытое акционерное общество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>Управление промышленных предприятий</w:t>
            </w:r>
            <w:r>
              <w:rPr>
                <w:rFonts w:ascii="Times New Roman" w:hAnsi="Times New Roman"/>
                <w:sz w:val="22"/>
              </w:rPr>
              <w:t>»</w:t>
            </w:r>
            <w:r>
              <w:rPr>
                <w:rFonts w:ascii="Times New Roman" w:hAnsi="Times New Roman"/>
                <w:sz w:val="22"/>
              </w:rPr>
              <w:t xml:space="preserve"> (ОАО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>УПП</w:t>
            </w:r>
            <w:r>
              <w:rPr>
                <w:rFonts w:ascii="Times New Roman" w:hAnsi="Times New Roman"/>
                <w:sz w:val="22"/>
              </w:rPr>
              <w:t>»</w:t>
            </w:r>
            <w:r>
              <w:rPr>
                <w:rFonts w:ascii="Times New Roman" w:hAnsi="Times New Roman"/>
                <w:sz w:val="22"/>
              </w:rPr>
              <w:t>)</w:t>
            </w:r>
          </w:p>
        </w:tc>
        <w:tc>
          <w:tcPr>
            <w:tcW w:type="dxa" w:w="135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C03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4714001737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D03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1024701760313</w:t>
            </w:r>
          </w:p>
        </w:tc>
        <w:tc>
          <w:tcPr>
            <w:tcW w:type="dxa" w:w="2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E03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г. Сосновый Бор, </w:t>
            </w:r>
            <w:r>
              <w:rPr>
                <w:rFonts w:ascii="Times New Roman" w:hAnsi="Times New Roman"/>
                <w:sz w:val="22"/>
              </w:rPr>
              <w:t>Копорское</w:t>
            </w:r>
            <w:r>
              <w:rPr>
                <w:rFonts w:ascii="Times New Roman" w:hAnsi="Times New Roman"/>
                <w:sz w:val="22"/>
              </w:rPr>
              <w:t xml:space="preserve"> шоссе д.56</w:t>
            </w:r>
          </w:p>
        </w:tc>
        <w:tc>
          <w:tcPr>
            <w:tcW w:type="dxa" w:w="174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F03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c>
          <w:tcPr>
            <w:tcW w:type="dxa" w:w="25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0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Общество с ограниченной ответственностью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>УМИАТ</w:t>
            </w:r>
            <w:r>
              <w:rPr>
                <w:rFonts w:ascii="Times New Roman" w:hAnsi="Times New Roman"/>
                <w:sz w:val="22"/>
              </w:rPr>
              <w:t>»</w:t>
            </w:r>
            <w:r>
              <w:rPr>
                <w:rFonts w:ascii="Times New Roman" w:hAnsi="Times New Roman"/>
                <w:sz w:val="22"/>
              </w:rPr>
              <w:t xml:space="preserve"> (ООО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>УМИАТ</w:t>
            </w:r>
            <w:r>
              <w:rPr>
                <w:rFonts w:ascii="Times New Roman" w:hAnsi="Times New Roman"/>
                <w:sz w:val="22"/>
              </w:rPr>
              <w:t>»</w:t>
            </w:r>
            <w:r>
              <w:rPr>
                <w:rFonts w:ascii="Times New Roman" w:hAnsi="Times New Roman"/>
                <w:sz w:val="22"/>
              </w:rPr>
              <w:t>)</w:t>
            </w:r>
          </w:p>
        </w:tc>
        <w:tc>
          <w:tcPr>
            <w:tcW w:type="dxa" w:w="135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1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4707051789</w:t>
            </w:r>
          </w:p>
        </w:tc>
        <w:tc>
          <w:tcPr>
            <w:tcW w:type="dxa" w:w="170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2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1234700019179</w:t>
            </w:r>
          </w:p>
        </w:tc>
        <w:tc>
          <w:tcPr>
            <w:tcW w:type="dxa" w:w="2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3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г. Сосновый Бор, </w:t>
            </w:r>
            <w:r>
              <w:rPr>
                <w:rFonts w:ascii="Times New Roman" w:hAnsi="Times New Roman"/>
                <w:sz w:val="22"/>
              </w:rPr>
              <w:t>Копорское</w:t>
            </w:r>
            <w:r>
              <w:rPr>
                <w:rFonts w:ascii="Times New Roman" w:hAnsi="Times New Roman"/>
                <w:sz w:val="22"/>
              </w:rPr>
              <w:t xml:space="preserve"> шоссе д.30, помещ.1</w:t>
            </w:r>
          </w:p>
        </w:tc>
        <w:tc>
          <w:tcPr>
            <w:tcW w:type="dxa" w:w="174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4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</w:tbl>
    <w:p w14:paraId="C503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Признак осуществления эмитентом контроля над организацией, в отношении которой он является контролирующим лицом- право прямо распоряжаться в силу участия в подконтрольной организации более 50 % голосов в высшем органе управления подконтрольной эмитенту организации; право назначать (избирать) единоличный исполнительный орган подконтрольной эмитенту организации.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1549"/>
        <w:gridCol w:w="1461"/>
        <w:gridCol w:w="1455"/>
        <w:gridCol w:w="1797"/>
        <w:gridCol w:w="3308"/>
      </w:tblGrid>
      <w:tr>
        <w:tc>
          <w:tcPr>
            <w:tcW w:type="dxa" w:w="1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6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type="dxa" w:w="146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7030000">
            <w:pPr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Размер доли,</w:t>
            </w:r>
          </w:p>
        </w:tc>
        <w:tc>
          <w:tcPr>
            <w:tcW w:type="dxa" w:w="145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8030000">
            <w:pPr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количество</w:t>
            </w:r>
          </w:p>
        </w:tc>
        <w:tc>
          <w:tcPr>
            <w:tcW w:type="dxa" w:w="179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9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общая номинальная стоимость,</w:t>
            </w:r>
          </w:p>
          <w:p w14:paraId="CA030000">
            <w:pPr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type="dxa" w:w="330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B030000">
            <w:pPr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общая балансовая стоимость обыкновенных акций подконтрольной организации, принадлежащих эмитенту</w:t>
            </w:r>
          </w:p>
        </w:tc>
      </w:tr>
      <w:tr>
        <w:tc>
          <w:tcPr>
            <w:tcW w:type="dxa" w:w="1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C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ОАО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>УПП</w:t>
            </w:r>
            <w:r>
              <w:rPr>
                <w:rFonts w:ascii="Times New Roman" w:hAnsi="Times New Roman"/>
                <w:sz w:val="22"/>
              </w:rPr>
              <w:t>»</w:t>
            </w:r>
          </w:p>
        </w:tc>
        <w:tc>
          <w:tcPr>
            <w:tcW w:type="dxa" w:w="146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D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45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E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4 120 000</w:t>
            </w:r>
          </w:p>
        </w:tc>
        <w:tc>
          <w:tcPr>
            <w:tcW w:type="dxa" w:w="179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F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20 600 000,00 </w:t>
            </w:r>
          </w:p>
        </w:tc>
        <w:tc>
          <w:tcPr>
            <w:tcW w:type="dxa" w:w="330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0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20 600 000,00 руб.</w:t>
            </w:r>
          </w:p>
        </w:tc>
      </w:tr>
      <w:tr>
        <w:tc>
          <w:tcPr>
            <w:tcW w:type="dxa" w:w="1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1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ООО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>УМИАТ</w:t>
            </w:r>
            <w:r>
              <w:rPr>
                <w:rFonts w:ascii="Times New Roman" w:hAnsi="Times New Roman"/>
                <w:sz w:val="22"/>
              </w:rPr>
              <w:t>»</w:t>
            </w:r>
          </w:p>
        </w:tc>
        <w:tc>
          <w:tcPr>
            <w:tcW w:type="dxa" w:w="146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2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45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303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79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4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1 000 000,00</w:t>
            </w:r>
          </w:p>
        </w:tc>
        <w:tc>
          <w:tcPr>
            <w:tcW w:type="dxa" w:w="330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5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1 000 000,00 </w:t>
            </w:r>
            <w:r>
              <w:rPr>
                <w:rFonts w:ascii="Times New Roman" w:hAnsi="Times New Roman"/>
                <w:sz w:val="22"/>
              </w:rPr>
              <w:t>руб</w:t>
            </w:r>
            <w:r>
              <w:rPr>
                <w:rFonts w:ascii="Times New Roman" w:hAnsi="Times New Roman"/>
                <w:sz w:val="22"/>
              </w:rPr>
              <w:t xml:space="preserve"> </w:t>
            </w:r>
          </w:p>
        </w:tc>
      </w:tr>
    </w:tbl>
    <w:p w14:paraId="D6030000">
      <w:pPr>
        <w:pStyle w:val="Style_10"/>
        <w:spacing w:before="120"/>
        <w:ind w:firstLine="539" w:left="0"/>
        <w:jc w:val="both"/>
        <w:rPr>
          <w:rFonts w:ascii="Times New Roman" w:hAnsi="Times New Roman"/>
          <w:sz w:val="24"/>
        </w:rPr>
      </w:pPr>
    </w:p>
    <w:tbl>
      <w:tblPr>
        <w:tblStyle w:val="Style_17"/>
        <w:tblW w:type="auto" w:w="0"/>
        <w:tblLayout w:type="fixed"/>
      </w:tblPr>
      <w:tblGrid>
        <w:gridCol w:w="3510"/>
        <w:gridCol w:w="2835"/>
        <w:gridCol w:w="3225"/>
      </w:tblGrid>
      <w:tr>
        <w:trPr>
          <w:trHeight w:hRule="atLeast" w:val="295"/>
        </w:trPr>
        <w:tc>
          <w:tcPr>
            <w:tcW w:type="dxa" w:w="351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7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type="dxa" w:w="28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803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ОАО </w:t>
            </w:r>
            <w:r>
              <w:rPr>
                <w:rFonts w:ascii="Times New Roman" w:hAnsi="Times New Roman"/>
                <w:sz w:val="24"/>
              </w:rPr>
              <w:t>«</w:t>
            </w:r>
            <w:r>
              <w:rPr>
                <w:rFonts w:ascii="Times New Roman" w:hAnsi="Times New Roman"/>
                <w:sz w:val="24"/>
              </w:rPr>
              <w:t>УПП</w:t>
            </w:r>
            <w:r>
              <w:rPr>
                <w:rFonts w:ascii="Times New Roman" w:hAnsi="Times New Roman"/>
                <w:sz w:val="24"/>
              </w:rPr>
              <w:t>»</w:t>
            </w:r>
          </w:p>
        </w:tc>
        <w:tc>
          <w:tcPr>
            <w:tcW w:type="dxa" w:w="322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903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ООО </w:t>
            </w:r>
            <w:r>
              <w:rPr>
                <w:rFonts w:ascii="Times New Roman" w:hAnsi="Times New Roman"/>
                <w:sz w:val="24"/>
              </w:rPr>
              <w:t>«</w:t>
            </w:r>
            <w:r>
              <w:rPr>
                <w:rFonts w:ascii="Times New Roman" w:hAnsi="Times New Roman"/>
                <w:sz w:val="24"/>
              </w:rPr>
              <w:t>УМИАТ</w:t>
            </w:r>
            <w:r>
              <w:rPr>
                <w:rFonts w:ascii="Times New Roman" w:hAnsi="Times New Roman"/>
                <w:sz w:val="24"/>
              </w:rPr>
              <w:t>»</w:t>
            </w:r>
          </w:p>
        </w:tc>
      </w:tr>
      <w:tr>
        <w:trPr>
          <w:trHeight w:hRule="atLeast" w:val="736"/>
        </w:trPr>
        <w:tc>
          <w:tcPr>
            <w:tcW w:type="dxa" w:w="351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A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Основной вид деятельности подконтрольной эмитенту организации</w:t>
            </w:r>
          </w:p>
        </w:tc>
        <w:tc>
          <w:tcPr>
            <w:tcW w:type="dxa" w:w="28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B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производство товарного бетона (23.63)</w:t>
            </w:r>
          </w:p>
        </w:tc>
        <w:tc>
          <w:tcPr>
            <w:tcW w:type="dxa" w:w="322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C030000">
            <w:bookmarkStart w:id="42" w:name="__RefHeading___133"/>
            <w:bookmarkEnd w:id="42"/>
            <w:pPr>
              <w:widowControl w:val="0"/>
              <w:ind w:hanging="33" w:left="33"/>
              <w:outlineLvl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деятельность автомобильного грузового транспорта (49.41)</w:t>
            </w:r>
          </w:p>
        </w:tc>
      </w:tr>
      <w:tr>
        <w:trPr>
          <w:trHeight w:hRule="atLeast" w:val="581"/>
        </w:trPr>
        <w:tc>
          <w:tcPr>
            <w:tcW w:type="dxa" w:w="351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D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Совет директоров у подконтрольной организации</w:t>
            </w:r>
          </w:p>
        </w:tc>
        <w:tc>
          <w:tcPr>
            <w:tcW w:type="dxa" w:w="28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E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 предусмотрен</w:t>
            </w:r>
          </w:p>
        </w:tc>
        <w:tc>
          <w:tcPr>
            <w:tcW w:type="dxa" w:w="322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F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 предусмотрен</w:t>
            </w:r>
          </w:p>
        </w:tc>
      </w:tr>
      <w:tr>
        <w:trPr>
          <w:trHeight w:hRule="atLeast" w:val="20"/>
        </w:trPr>
        <w:tc>
          <w:tcPr>
            <w:tcW w:type="dxa" w:w="351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0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Коллегиальный исполнительный орган</w:t>
            </w:r>
          </w:p>
        </w:tc>
        <w:tc>
          <w:tcPr>
            <w:tcW w:type="dxa" w:w="28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103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уставом не предусмотрен</w:t>
            </w:r>
          </w:p>
          <w:p w14:paraId="E2030000">
            <w:pPr>
              <w:ind/>
              <w:jc w:val="both"/>
              <w:rPr>
                <w:rFonts w:ascii="Times New Roman" w:hAnsi="Times New Roman"/>
              </w:rPr>
            </w:pPr>
          </w:p>
        </w:tc>
        <w:tc>
          <w:tcPr>
            <w:tcW w:type="dxa" w:w="322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303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уставом не предусмотрен</w:t>
            </w:r>
          </w:p>
          <w:p w14:paraId="E4030000">
            <w:pPr>
              <w:ind/>
              <w:jc w:val="both"/>
              <w:rPr>
                <w:rFonts w:ascii="Times New Roman" w:hAnsi="Times New Roman"/>
              </w:rPr>
            </w:pPr>
          </w:p>
        </w:tc>
      </w:tr>
      <w:tr>
        <w:trPr>
          <w:trHeight w:hRule="atLeast" w:val="20"/>
        </w:trPr>
        <w:tc>
          <w:tcPr>
            <w:tcW w:type="dxa" w:w="351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5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Лицо, занимающее должность (осуществляющее функции) </w:t>
            </w:r>
          </w:p>
        </w:tc>
        <w:tc>
          <w:tcPr>
            <w:tcW w:type="dxa" w:w="28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6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Арканов Сергей Александрович</w:t>
            </w:r>
          </w:p>
        </w:tc>
        <w:tc>
          <w:tcPr>
            <w:tcW w:type="dxa" w:w="322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7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Шелемехов Сергей Сергеевич</w:t>
            </w:r>
          </w:p>
        </w:tc>
      </w:tr>
      <w:tr>
        <w:trPr>
          <w:trHeight w:hRule="atLeast" w:val="20"/>
        </w:trPr>
        <w:tc>
          <w:tcPr>
            <w:tcW w:type="dxa" w:w="351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803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Доля, принадлежащая указанному лицу обыкновенных акций эмитента</w:t>
            </w:r>
          </w:p>
        </w:tc>
        <w:tc>
          <w:tcPr>
            <w:tcW w:type="dxa" w:w="28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903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  <w:tc>
          <w:tcPr>
            <w:tcW w:type="dxa" w:w="322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EA03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</w:tr>
    </w:tbl>
    <w:p w14:paraId="EB030000">
      <w:pPr>
        <w:pStyle w:val="Style_10"/>
        <w:spacing w:after="240"/>
        <w:ind w:firstLine="567" w:left="0"/>
        <w:jc w:val="both"/>
        <w:rPr>
          <w:rFonts w:ascii="Times New Roman" w:hAnsi="Times New Roman"/>
          <w:sz w:val="24"/>
        </w:rPr>
      </w:pPr>
    </w:p>
    <w:p w14:paraId="EC030000">
      <w:pPr>
        <w:pStyle w:val="Style_10"/>
        <w:ind w:firstLine="567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4.1.2. Иностранные компании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2518"/>
        <w:gridCol w:w="2044"/>
        <w:gridCol w:w="1642"/>
        <w:gridCol w:w="1842"/>
        <w:gridCol w:w="1567"/>
      </w:tblGrid>
      <w:tr>
        <w:trPr>
          <w:trHeight w:hRule="atLeast" w:val="1250"/>
        </w:trPr>
        <w:tc>
          <w:tcPr>
            <w:tcW w:type="dxa" w:w="25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D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полное и сокращенное (при наличии) наименования</w:t>
            </w:r>
          </w:p>
        </w:tc>
        <w:tc>
          <w:tcPr>
            <w:tcW w:type="dxa" w:w="20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E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налоговый</w:t>
            </w:r>
          </w:p>
          <w:p w14:paraId="EF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номер</w:t>
            </w:r>
          </w:p>
        </w:tc>
        <w:tc>
          <w:tcPr>
            <w:tcW w:type="dxa" w:w="164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0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рег. номер</w:t>
            </w:r>
          </w:p>
        </w:tc>
        <w:tc>
          <w:tcPr>
            <w:tcW w:type="dxa" w:w="184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1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место нахождения</w:t>
            </w:r>
          </w:p>
          <w:p w14:paraId="F203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56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303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вид контроля, под которым находится организация</w:t>
            </w:r>
          </w:p>
        </w:tc>
      </w:tr>
      <w:tr>
        <w:trPr>
          <w:trHeight w:hRule="atLeast" w:val="1250"/>
        </w:trPr>
        <w:tc>
          <w:tcPr>
            <w:tcW w:type="dxa" w:w="25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4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СУС Египет управление проектами. </w:t>
            </w:r>
          </w:p>
        </w:tc>
        <w:tc>
          <w:tcPr>
            <w:tcW w:type="dxa" w:w="20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5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701 – 775 – 017      11\10\2022      10\10\ 2023</w:t>
            </w:r>
          </w:p>
        </w:tc>
        <w:tc>
          <w:tcPr>
            <w:tcW w:type="dxa" w:w="164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6030000">
            <w:pPr>
              <w:ind w:right="190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10530  00001</w:t>
            </w:r>
            <w:r>
              <w:rPr>
                <w:rFonts w:ascii="Times New Roman" w:hAnsi="Times New Roman"/>
                <w:sz w:val="22"/>
              </w:rPr>
              <w:t xml:space="preserve"> 95055</w:t>
            </w:r>
          </w:p>
          <w:p w14:paraId="F703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84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8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Каир, город </w:t>
            </w:r>
            <w:r>
              <w:rPr>
                <w:rFonts w:ascii="Times New Roman" w:hAnsi="Times New Roman"/>
                <w:sz w:val="22"/>
              </w:rPr>
              <w:t>Насср</w:t>
            </w:r>
            <w:r>
              <w:rPr>
                <w:rFonts w:ascii="Times New Roman" w:hAnsi="Times New Roman"/>
                <w:sz w:val="22"/>
              </w:rPr>
              <w:t xml:space="preserve">, </w:t>
            </w:r>
          </w:p>
          <w:p w14:paraId="F9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24 ул. Аль </w:t>
            </w:r>
            <w:r>
              <w:rPr>
                <w:rFonts w:ascii="Times New Roman" w:hAnsi="Times New Roman"/>
                <w:sz w:val="22"/>
              </w:rPr>
              <w:t>Таяран</w:t>
            </w:r>
            <w:r>
              <w:rPr>
                <w:rFonts w:ascii="Times New Roman" w:hAnsi="Times New Roman"/>
                <w:sz w:val="22"/>
              </w:rPr>
              <w:t xml:space="preserve"> – пятый этаж- кв. 11</w:t>
            </w:r>
          </w:p>
        </w:tc>
        <w:tc>
          <w:tcPr>
            <w:tcW w:type="dxa" w:w="156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A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rPr>
          <w:trHeight w:hRule="atLeast" w:val="1250"/>
        </w:trPr>
        <w:tc>
          <w:tcPr>
            <w:tcW w:type="dxa" w:w="251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B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Общества с ограниченной ответственностью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 xml:space="preserve">SUS </w:t>
            </w:r>
            <w:r>
              <w:rPr>
                <w:rFonts w:ascii="Times New Roman" w:hAnsi="Times New Roman"/>
                <w:sz w:val="22"/>
              </w:rPr>
              <w:t>Hungary</w:t>
            </w:r>
            <w:r>
              <w:rPr>
                <w:rFonts w:ascii="Times New Roman" w:hAnsi="Times New Roman"/>
                <w:sz w:val="22"/>
              </w:rPr>
              <w:t>»</w:t>
            </w:r>
            <w:r>
              <w:rPr>
                <w:rFonts w:ascii="Times New Roman" w:hAnsi="Times New Roman"/>
                <w:sz w:val="22"/>
              </w:rPr>
              <w:t xml:space="preserve"> (ООО </w:t>
            </w:r>
            <w:r>
              <w:rPr>
                <w:rFonts w:ascii="Times New Roman" w:hAnsi="Times New Roman"/>
                <w:sz w:val="22"/>
              </w:rPr>
              <w:t>«</w:t>
            </w:r>
            <w:r>
              <w:rPr>
                <w:rFonts w:ascii="Times New Roman" w:hAnsi="Times New Roman"/>
                <w:sz w:val="22"/>
              </w:rPr>
              <w:t xml:space="preserve">SUS </w:t>
            </w:r>
            <w:r>
              <w:rPr>
                <w:rFonts w:ascii="Times New Roman" w:hAnsi="Times New Roman"/>
                <w:sz w:val="22"/>
              </w:rPr>
              <w:t>Hungary</w:t>
            </w:r>
            <w:r>
              <w:rPr>
                <w:rFonts w:ascii="Times New Roman" w:hAnsi="Times New Roman"/>
                <w:sz w:val="22"/>
              </w:rPr>
              <w:t>»</w:t>
            </w:r>
            <w:r>
              <w:rPr>
                <w:rFonts w:ascii="Times New Roman" w:hAnsi="Times New Roman"/>
                <w:sz w:val="22"/>
              </w:rPr>
              <w:t>)</w:t>
            </w:r>
          </w:p>
        </w:tc>
        <w:tc>
          <w:tcPr>
            <w:tcW w:type="dxa" w:w="20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C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32130962-2-17</w:t>
            </w:r>
          </w:p>
        </w:tc>
        <w:tc>
          <w:tcPr>
            <w:tcW w:type="dxa" w:w="164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D03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17-09-013472</w:t>
            </w:r>
          </w:p>
        </w:tc>
        <w:tc>
          <w:tcPr>
            <w:tcW w:type="dxa" w:w="184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E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7030 </w:t>
            </w:r>
            <w:r>
              <w:rPr>
                <w:rFonts w:ascii="Times New Roman" w:hAnsi="Times New Roman"/>
                <w:sz w:val="22"/>
              </w:rPr>
              <w:t>Пакш</w:t>
            </w:r>
            <w:r>
              <w:rPr>
                <w:rFonts w:ascii="Times New Roman" w:hAnsi="Times New Roman"/>
                <w:sz w:val="22"/>
              </w:rPr>
              <w:t xml:space="preserve">, парк </w:t>
            </w:r>
            <w:r>
              <w:rPr>
                <w:rFonts w:ascii="Times New Roman" w:hAnsi="Times New Roman"/>
                <w:sz w:val="22"/>
              </w:rPr>
              <w:t>Ипари</w:t>
            </w:r>
            <w:r>
              <w:rPr>
                <w:rFonts w:ascii="Times New Roman" w:hAnsi="Times New Roman"/>
                <w:sz w:val="22"/>
              </w:rPr>
              <w:t>, 4703/28</w:t>
            </w:r>
          </w:p>
        </w:tc>
        <w:tc>
          <w:tcPr>
            <w:tcW w:type="dxa" w:w="156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F03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</w:tbl>
    <w:p w14:paraId="00040000">
      <w:pPr>
        <w:pStyle w:val="Style_10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Признак осуществления эмитентом контроля над организацией, в отношении которой он является контролирующим лицом- право прямо распоряжаться в силу участия в подконтрольной организации более 50 процентами голосов в высшем органе управления подконтрольной эмитенту организации; право назначать (избирать) единоличный исполнительный орган подконтрольной эмитенту организации:</w:t>
      </w:r>
    </w:p>
    <w:tbl>
      <w:tblPr>
        <w:tblStyle w:val="Style_17"/>
        <w:tblW w:type="auto" w:w="0"/>
        <w:tblLayout w:type="fixed"/>
      </w:tblPr>
      <w:tblGrid>
        <w:gridCol w:w="3190"/>
        <w:gridCol w:w="3190"/>
        <w:gridCol w:w="3190"/>
      </w:tblGrid>
      <w:tr>
        <w:trPr>
          <w:trHeight w:hRule="atLeast" w:val="295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1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2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СУС Египет управление проектами.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3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ООО </w:t>
            </w:r>
            <w:r>
              <w:rPr>
                <w:rFonts w:ascii="Times New Roman" w:hAnsi="Times New Roman"/>
                <w:sz w:val="24"/>
              </w:rPr>
              <w:t>«</w:t>
            </w:r>
            <w:r>
              <w:rPr>
                <w:rFonts w:ascii="Times New Roman" w:hAnsi="Times New Roman"/>
                <w:sz w:val="24"/>
              </w:rPr>
              <w:t xml:space="preserve">SUS </w:t>
            </w:r>
            <w:r>
              <w:rPr>
                <w:rFonts w:ascii="Times New Roman" w:hAnsi="Times New Roman"/>
                <w:sz w:val="24"/>
              </w:rPr>
              <w:t>Hungary</w:t>
            </w:r>
            <w:r>
              <w:rPr>
                <w:rFonts w:ascii="Times New Roman" w:hAnsi="Times New Roman"/>
                <w:sz w:val="24"/>
              </w:rPr>
              <w:t>»</w:t>
            </w:r>
          </w:p>
        </w:tc>
      </w:tr>
      <w:tr>
        <w:trPr>
          <w:trHeight w:hRule="atLeast" w:val="20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4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Размер доли, %%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5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100%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6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100%</w:t>
            </w:r>
          </w:p>
        </w:tc>
      </w:tr>
      <w:tr>
        <w:trPr>
          <w:trHeight w:hRule="atLeast" w:val="20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7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общая номинальная стоимость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8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35 000 </w:t>
            </w:r>
            <w:r>
              <w:rPr>
                <w:rFonts w:ascii="Times New Roman" w:hAnsi="Times New Roman"/>
                <w:sz w:val="24"/>
              </w:rPr>
              <w:t>долл</w:t>
            </w:r>
            <w:r>
              <w:rPr>
                <w:rFonts w:ascii="Times New Roman" w:hAnsi="Times New Roman"/>
                <w:sz w:val="24"/>
              </w:rPr>
              <w:t xml:space="preserve"> США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9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3 000 000 HUF</w:t>
            </w:r>
          </w:p>
        </w:tc>
      </w:tr>
      <w:tr>
        <w:trPr>
          <w:trHeight w:hRule="atLeast" w:val="1982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A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Основной вид деятельности подконтрольной эмитенту организации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B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Открытие и эксплуатация сервисных центров ремонта и установки погрузочно-разгрузочное оборудования для материалов, машин, транспортных средств, а также установка промышленных машин и оборудования.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C040000">
            <w:pPr>
              <w:widowControl w:val="0"/>
              <w:tabs>
                <w:tab w:leader="none" w:pos="1105" w:val="left"/>
              </w:tabs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Производство горнодобывающей и строительной техники</w:t>
            </w:r>
          </w:p>
          <w:p w14:paraId="0D040000">
            <w:pPr>
              <w:widowControl w:val="0"/>
              <w:ind w:firstLine="0" w:left="1985"/>
              <w:outlineLvl w:val="0"/>
              <w:rPr>
                <w:rFonts w:ascii="Times New Roman" w:hAnsi="Times New Roman"/>
              </w:rPr>
            </w:pPr>
          </w:p>
        </w:tc>
      </w:tr>
      <w:tr>
        <w:trPr>
          <w:trHeight w:hRule="atLeast" w:val="20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E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Совет директоров у подконтрольной организации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F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0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</w:tr>
      <w:tr>
        <w:trPr>
          <w:trHeight w:hRule="atLeast" w:val="20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1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Коллегиальный исполнительный орган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2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3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</w:tr>
      <w:tr>
        <w:trPr>
          <w:trHeight w:hRule="atLeast" w:val="20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4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Лицо, занимающее должность (осуществляющее функции) 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5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6"/>
                <w:sz w:val="24"/>
              </w:rPr>
              <w:t>Антон Карташов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6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Петё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Жолт</w:t>
            </w:r>
          </w:p>
        </w:tc>
      </w:tr>
      <w:tr>
        <w:trPr>
          <w:trHeight w:hRule="atLeast" w:val="20"/>
        </w:trPr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7040000">
            <w:pPr>
              <w:pStyle w:val="Style_10"/>
              <w:spacing w:before="240"/>
              <w:ind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8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  <w:tc>
          <w:tcPr>
            <w:tcW w:type="dxa" w:w="319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9040000">
            <w:pPr>
              <w:pStyle w:val="Style_10"/>
              <w:spacing w:before="240"/>
              <w:ind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</w:tr>
    </w:tbl>
    <w:p w14:paraId="1A04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отчетности в составе раскрытой информации не было.</w:t>
      </w:r>
    </w:p>
    <w:p w14:paraId="1B040000">
      <w:bookmarkStart w:id="43" w:name="__RefHeading___134"/>
      <w:bookmarkEnd w:id="43"/>
      <w:pPr>
        <w:pStyle w:val="Style_8"/>
        <w:numPr>
          <w:ilvl w:val="1"/>
          <w:numId w:val="21"/>
        </w:numPr>
        <w:spacing w:before="240"/>
        <w:ind w:hanging="283" w:left="283"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 xml:space="preserve">Дополнительные </w:t>
      </w:r>
      <w:r>
        <w:rPr>
          <w:rFonts w:ascii="Times New Roman" w:hAnsi="Times New Roman"/>
          <w:b w:val="1"/>
        </w:rPr>
        <w:t>сведения,</w:t>
      </w:r>
      <w:r>
        <w:rPr>
          <w:b w:val="1"/>
        </w:rPr>
        <w:t>,</w:t>
      </w:r>
      <w:r>
        <w:rPr>
          <w:rFonts w:ascii="Times New Roman" w:hAnsi="Times New Roman"/>
          <w:b w:val="1"/>
        </w:rPr>
        <w:t xml:space="preserve"> раскрываемые эмитентами зеленых облигаций, социальных облигаций, облигаций устойчивого развития, адаптационных облигаций</w:t>
      </w:r>
    </w:p>
    <w:p w14:paraId="1C040000">
      <w:bookmarkStart w:id="44" w:name="__RefHeading___135"/>
      <w:bookmarkEnd w:id="44"/>
      <w:pPr>
        <w:pStyle w:val="Style_8"/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>Эмитент не идентифицирует выпуск облигаций.</w:t>
      </w:r>
    </w:p>
    <w:p w14:paraId="1D040000">
      <w:bookmarkStart w:id="45" w:name="__RefHeading___136"/>
      <w:bookmarkEnd w:id="45"/>
      <w:pPr>
        <w:pStyle w:val="Style_8"/>
        <w:numPr>
          <w:ilvl w:val="1"/>
          <w:numId w:val="21"/>
        </w:numPr>
        <w:spacing w:before="240"/>
        <w:ind w:hanging="283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14:paraId="1E040000">
      <w:pPr>
        <w:pStyle w:val="Style_10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регистрировал проспект или публично не размещал (размещение путем открытой подписки) облигаций с обеспечением.</w:t>
      </w:r>
    </w:p>
    <w:p w14:paraId="1F04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отчетности в составе раскрытой информации не было.</w:t>
      </w:r>
    </w:p>
    <w:p w14:paraId="20040000">
      <w:bookmarkStart w:id="46" w:name="__RefHeading___137"/>
      <w:bookmarkEnd w:id="46"/>
      <w:pPr>
        <w:pStyle w:val="Style_8"/>
        <w:numPr>
          <w:ilvl w:val="1"/>
          <w:numId w:val="21"/>
        </w:numPr>
        <w:spacing w:before="240"/>
        <w:ind w:hanging="283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объявленных и выплаченных дивидендах по акциям эмитента</w:t>
      </w:r>
    </w:p>
    <w:p w14:paraId="21040000">
      <w:pPr>
        <w:pStyle w:val="Style_10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Решение о выплате (объявлении) дивидендов эмитентом не принималось.</w:t>
      </w:r>
    </w:p>
    <w:p w14:paraId="22040000">
      <w:bookmarkStart w:id="47" w:name="__RefHeading___138"/>
      <w:bookmarkEnd w:id="47"/>
      <w:pPr>
        <w:pStyle w:val="Style_8"/>
        <w:numPr>
          <w:ilvl w:val="1"/>
          <w:numId w:val="21"/>
        </w:numPr>
        <w:spacing w:before="240"/>
        <w:ind w:hanging="283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организациях, осуществляющих учет прав на эмиссионные ценные бумаги эмитента</w:t>
      </w:r>
    </w:p>
    <w:p w14:paraId="23040000">
      <w:bookmarkStart w:id="48" w:name="__RefHeading___139"/>
      <w:bookmarkEnd w:id="48"/>
      <w:pPr>
        <w:pStyle w:val="Style_8"/>
        <w:numPr>
          <w:ilvl w:val="2"/>
          <w:numId w:val="22"/>
        </w:numPr>
        <w:spacing w:before="240"/>
        <w:ind w:hanging="567" w:left="567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регистраторе, осуществляющем ведение реестра владельцев ценных бумаг эмитента</w:t>
      </w:r>
    </w:p>
    <w:p w14:paraId="24040000">
      <w:pPr>
        <w:ind w:firstLine="283" w:left="0"/>
        <w:jc w:val="both"/>
        <w:rPr>
          <w:rFonts w:ascii="Times New Roman" w:hAnsi="Times New Roman"/>
          <w:color w:val="333333"/>
        </w:rPr>
      </w:pPr>
      <w:r>
        <w:rPr>
          <w:rFonts w:ascii="Times New Roman" w:hAnsi="Times New Roman"/>
        </w:rPr>
        <w:t>Регистратором общества в соответствии с заключенным договором об оказании услуг по ведению реестра владельцев ценных бумаг №2018/78-ДВР-641 является А</w:t>
      </w:r>
      <w:r>
        <w:rPr>
          <w:rFonts w:ascii="Times New Roman" w:hAnsi="Times New Roman"/>
          <w:b w:val="1"/>
        </w:rPr>
        <w:t xml:space="preserve">кционерное общество </w:t>
      </w:r>
      <w:r>
        <w:rPr>
          <w:rFonts w:ascii="Times New Roman" w:hAnsi="Times New Roman"/>
          <w:b w:val="1"/>
        </w:rPr>
        <w:t>«</w:t>
      </w:r>
      <w:r>
        <w:rPr>
          <w:rFonts w:ascii="Times New Roman" w:hAnsi="Times New Roman"/>
          <w:b w:val="1"/>
        </w:rPr>
        <w:t>Независимая регистрационная компания Р.О.С.Т.</w:t>
      </w:r>
      <w:r>
        <w:rPr>
          <w:rFonts w:ascii="Times New Roman" w:hAnsi="Times New Roman"/>
          <w:b w:val="1"/>
        </w:rPr>
        <w:t>»</w:t>
      </w:r>
      <w:r>
        <w:rPr>
          <w:rFonts w:ascii="Times New Roman" w:hAnsi="Times New Roman"/>
        </w:rPr>
        <w:t xml:space="preserve"> (</w:t>
      </w:r>
      <w:r>
        <w:rPr>
          <w:rFonts w:ascii="Times New Roman" w:hAnsi="Times New Roman"/>
          <w:color w:val="333333"/>
        </w:rPr>
        <w:t xml:space="preserve">АО </w:t>
      </w:r>
      <w:r>
        <w:rPr>
          <w:rFonts w:ascii="Times New Roman" w:hAnsi="Times New Roman"/>
          <w:color w:val="333333"/>
        </w:rPr>
        <w:t>«</w:t>
      </w:r>
      <w:r>
        <w:rPr>
          <w:rFonts w:ascii="Times New Roman" w:hAnsi="Times New Roman"/>
          <w:color w:val="333333"/>
        </w:rPr>
        <w:t>НРК - Р.О.С.Т.</w:t>
      </w:r>
      <w:r>
        <w:rPr>
          <w:rFonts w:ascii="Times New Roman" w:hAnsi="Times New Roman"/>
          <w:color w:val="333333"/>
        </w:rPr>
        <w:t>»</w:t>
      </w:r>
      <w:r>
        <w:rPr>
          <w:rFonts w:ascii="Times New Roman" w:hAnsi="Times New Roman"/>
          <w:color w:val="333333"/>
        </w:rPr>
        <w:t>)</w:t>
      </w:r>
    </w:p>
    <w:p w14:paraId="25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Адрес реестродержателя в соответствии с ЕГРЮЛ: 107996, г. Москва, ул. Стромынка, д.18, корп. 5 Б, пом. 9</w:t>
      </w:r>
    </w:p>
    <w:p w14:paraId="26040000">
      <w:pPr>
        <w:ind/>
        <w:jc w:val="both"/>
        <w:rPr>
          <w:rFonts w:ascii="Times New Roman" w:hAnsi="Times New Roman"/>
          <w:color w:val="333333"/>
        </w:rPr>
      </w:pPr>
      <w:r>
        <w:rPr>
          <w:rFonts w:ascii="Times New Roman" w:hAnsi="Times New Roman"/>
        </w:rPr>
        <w:t xml:space="preserve">Место нахождения Сосновоборского филиала: </w:t>
      </w:r>
      <w:r>
        <w:rPr>
          <w:rFonts w:ascii="Times New Roman" w:hAnsi="Times New Roman"/>
          <w:color w:val="333333"/>
        </w:rPr>
        <w:t>188544, Ленинградская обл., г. Сосновый Бор, ул. Петра Великого, 9, пом. 303</w:t>
      </w:r>
    </w:p>
    <w:p w14:paraId="27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ИНН 7726030449, ОГРН 1027739216757, </w:t>
      </w:r>
    </w:p>
    <w:p w14:paraId="28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Контактные телефоны регистратора (общий центр информационной поддержки эмитентов): +7 (495) 780-73-65.</w:t>
      </w:r>
    </w:p>
    <w:p w14:paraId="29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</w:t>
      </w:r>
      <w:r>
        <w:rPr>
          <w:rFonts w:ascii="Times New Roman" w:hAnsi="Times New Roman"/>
        </w:rPr>
        <w:t>дрес электронной почты: contact-center@rrost.ru</w:t>
      </w:r>
    </w:p>
    <w:p w14:paraId="2A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Адрес страницы в сети Интернет: http://www.rrost.com</w:t>
      </w:r>
    </w:p>
    <w:p w14:paraId="2B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Номер, дата выдачи, срок действия лицензии на осуществление деятельности по ведению реестра владельцев ценных бумаг: Лицензия ФКЦБ России на осуществление деятельности по ведению реестра владельцев ценных бумаг № 045-13976-000001 от 03.12.2002 г. без ограничений срока действия.</w:t>
      </w:r>
    </w:p>
    <w:p w14:paraId="2C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Н</w:t>
      </w:r>
      <w:r>
        <w:rPr>
          <w:rFonts w:ascii="Times New Roman" w:hAnsi="Times New Roman"/>
        </w:rPr>
        <w:t>аименование органа, выдавшего лицензию Центральный банк Российской Федерации</w:t>
      </w:r>
    </w:p>
    <w:p w14:paraId="2D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(БАНК РОССИИ)</w:t>
      </w:r>
    </w:p>
    <w:p w14:paraId="2E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Дата, с которой регистратор осуществляет ведение реестра владельцев ценных бумаг публичного акционерного общества: </w:t>
      </w:r>
      <w:r>
        <w:rPr>
          <w:rFonts w:ascii="Times New Roman" w:hAnsi="Times New Roman"/>
        </w:rPr>
        <w:t>«</w:t>
      </w:r>
      <w:r>
        <w:rPr>
          <w:rFonts w:ascii="Times New Roman" w:hAnsi="Times New Roman"/>
        </w:rPr>
        <w:t>26</w:t>
      </w:r>
      <w:r>
        <w:rPr>
          <w:rFonts w:ascii="Times New Roman" w:hAnsi="Times New Roman"/>
        </w:rPr>
        <w:t>»</w:t>
      </w:r>
      <w:r>
        <w:rPr>
          <w:rFonts w:ascii="Times New Roman" w:hAnsi="Times New Roman"/>
        </w:rPr>
        <w:t xml:space="preserve"> марта 2018 г.</w:t>
      </w:r>
    </w:p>
    <w:p w14:paraId="2F04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Информация опубликована эмитентом на странице в сети Интернет: </w:t>
      </w:r>
      <w:r>
        <w:rPr>
          <w:rFonts w:ascii="Times New Roman" w:hAnsi="Times New Roman"/>
          <w:b w:val="1"/>
          <w:i w:val="1"/>
        </w:rPr>
        <w:t xml:space="preserve">disclosure.1prime.ru/ </w:t>
      </w:r>
      <w:r>
        <w:rPr>
          <w:rFonts w:ascii="Times New Roman" w:hAnsi="Times New Roman"/>
          <w:b w:val="1"/>
          <w:i w:val="1"/>
        </w:rPr>
        <w:t>Portal</w:t>
      </w:r>
      <w:r>
        <w:rPr>
          <w:rFonts w:ascii="Times New Roman" w:hAnsi="Times New Roman"/>
          <w:b w:val="1"/>
          <w:i w:val="1"/>
        </w:rPr>
        <w:t>/</w:t>
      </w:r>
      <w:r>
        <w:rPr>
          <w:rFonts w:ascii="Times New Roman" w:hAnsi="Times New Roman"/>
          <w:b w:val="1"/>
          <w:i w:val="1"/>
        </w:rPr>
        <w:t>Default.aspx?emId</w:t>
      </w:r>
      <w:r>
        <w:rPr>
          <w:rFonts w:ascii="Times New Roman" w:hAnsi="Times New Roman"/>
          <w:b w:val="1"/>
          <w:i w:val="1"/>
        </w:rPr>
        <w:t>=4714000211</w:t>
      </w:r>
    </w:p>
    <w:p w14:paraId="30040000">
      <w:bookmarkStart w:id="49" w:name="__RefHeading___140"/>
      <w:bookmarkEnd w:id="49"/>
      <w:pPr>
        <w:pStyle w:val="Style_8"/>
        <w:numPr>
          <w:ilvl w:val="2"/>
          <w:numId w:val="22"/>
        </w:numPr>
        <w:spacing w:before="240"/>
        <w:ind w:hanging="567" w:left="567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депозитарии, осуществляющем централизованный учет прав на ценные бумаги эмитента</w:t>
      </w:r>
    </w:p>
    <w:p w14:paraId="31040000">
      <w:pPr>
        <w:spacing w:before="240"/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настоящее время в обращении у эмитента нет ценных бумаг с централизованным учетом прав.</w:t>
      </w:r>
    </w:p>
    <w:p w14:paraId="3204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отчетности в составе раскрытой информации не было.</w:t>
      </w:r>
    </w:p>
    <w:p w14:paraId="33040000">
      <w:bookmarkStart w:id="50" w:name="__RefHeading___141"/>
      <w:bookmarkEnd w:id="50"/>
      <w:pPr>
        <w:pStyle w:val="Style_8"/>
        <w:numPr>
          <w:ilvl w:val="1"/>
          <w:numId w:val="21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51" w:name="P1125"/>
      <w:bookmarkEnd w:id="51"/>
      <w:r>
        <w:rPr>
          <w:rFonts w:ascii="Times New Roman" w:hAnsi="Times New Roman"/>
          <w:b w:val="1"/>
        </w:rPr>
        <w:t>Информация об аудиторе эмитента</w:t>
      </w:r>
    </w:p>
    <w:p w14:paraId="34040000">
      <w:pPr>
        <w:widowControl w:val="0"/>
        <w:spacing w:after="40" w:before="240"/>
        <w:ind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Общество с ограниченной ответственностью </w:t>
      </w:r>
      <w:r>
        <w:rPr>
          <w:rFonts w:ascii="Times New Roman" w:hAnsi="Times New Roman"/>
          <w:b w:val="1"/>
          <w:i w:val="1"/>
        </w:rPr>
        <w:t>«</w:t>
      </w:r>
      <w:r>
        <w:rPr>
          <w:rFonts w:ascii="Times New Roman" w:hAnsi="Times New Roman"/>
          <w:b w:val="1"/>
          <w:i w:val="1"/>
        </w:rPr>
        <w:t>Центр налогового аудита</w:t>
      </w:r>
      <w:r>
        <w:rPr>
          <w:rFonts w:ascii="Times New Roman" w:hAnsi="Times New Roman"/>
          <w:b w:val="1"/>
          <w:i w:val="1"/>
        </w:rPr>
        <w:t>»</w:t>
      </w:r>
      <w:r>
        <w:rPr>
          <w:rFonts w:ascii="Times New Roman" w:hAnsi="Times New Roman"/>
          <w:b w:val="1"/>
          <w:i w:val="1"/>
        </w:rPr>
        <w:t xml:space="preserve">  </w:t>
      </w:r>
    </w:p>
    <w:p w14:paraId="3504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1"/>
          <w:i w:val="1"/>
        </w:rPr>
        <w:t xml:space="preserve"> ООО </w:t>
      </w:r>
      <w:r>
        <w:rPr>
          <w:rFonts w:ascii="Times New Roman" w:hAnsi="Times New Roman"/>
          <w:b w:val="1"/>
          <w:i w:val="1"/>
        </w:rPr>
        <w:t>«</w:t>
      </w:r>
      <w:r>
        <w:rPr>
          <w:rFonts w:ascii="Times New Roman" w:hAnsi="Times New Roman"/>
          <w:b w:val="1"/>
          <w:i w:val="1"/>
        </w:rPr>
        <w:t>ЦНА</w:t>
      </w:r>
      <w:r>
        <w:rPr>
          <w:rFonts w:ascii="Times New Roman" w:hAnsi="Times New Roman"/>
          <w:i w:val="1"/>
        </w:rPr>
        <w:t>»</w:t>
      </w:r>
      <w:r>
        <w:rPr>
          <w:rFonts w:ascii="Times New Roman" w:hAnsi="Times New Roman"/>
        </w:rPr>
        <w:t xml:space="preserve"> </w:t>
      </w:r>
    </w:p>
    <w:p w14:paraId="36040000">
      <w:pPr>
        <w:widowControl w:val="0"/>
        <w:spacing w:after="40" w:before="20"/>
        <w:ind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Место нахождения: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i w:val="1"/>
        </w:rPr>
        <w:t xml:space="preserve">192281, Санкт-Петербург, ул. Ярослава Гашека,4,3,36). </w:t>
      </w:r>
    </w:p>
    <w:p w14:paraId="3704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ИНН/КПП: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i w:val="1"/>
        </w:rPr>
        <w:t>7816445173/781601001</w:t>
      </w:r>
    </w:p>
    <w:p w14:paraId="3804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ОГРН: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i w:val="1"/>
        </w:rPr>
        <w:t>1089847256311</w:t>
      </w:r>
    </w:p>
    <w:p w14:paraId="3904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Телефон: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:</w:t>
      </w:r>
      <w:r>
        <w:rPr>
          <w:rFonts w:ascii="Times New Roman" w:hAnsi="Times New Roman"/>
          <w:i w:val="1"/>
        </w:rPr>
        <w:t>(921) 649-1577</w:t>
      </w:r>
    </w:p>
    <w:p w14:paraId="3A04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i w:val="1"/>
        </w:rPr>
        <w:t>Адреса электронной почты &lt;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>HYPERLINK "mailto:ivanovaandpartners@yandex.ru"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t>ivanovaandpartners@yandex.ru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b w:val="1"/>
          <w:i w:val="1"/>
        </w:rPr>
        <w:t>&gt;</w:t>
      </w:r>
    </w:p>
    <w:p w14:paraId="3B04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Данные о членстве аудитора в саморегулируемых организациях аудиторов</w:t>
      </w:r>
    </w:p>
    <w:p w14:paraId="3C040000">
      <w:pPr>
        <w:widowControl w:val="0"/>
        <w:spacing w:after="40" w:before="20"/>
        <w:ind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Полное наименование:</w:t>
      </w:r>
      <w:r>
        <w:rPr>
          <w:rFonts w:ascii="Times New Roman" w:hAnsi="Times New Roman"/>
          <w:i w:val="1"/>
        </w:rPr>
        <w:t xml:space="preserve"> СРО ААС </w:t>
      </w:r>
    </w:p>
    <w:p w14:paraId="3D040000">
      <w:pPr>
        <w:widowControl w:val="0"/>
        <w:spacing w:after="40" w:before="20"/>
        <w:ind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b w:val="1"/>
          <w:i w:val="1"/>
        </w:rPr>
        <w:t>1</w:t>
      </w:r>
      <w:r>
        <w:rPr>
          <w:rFonts w:ascii="Times New Roman" w:hAnsi="Times New Roman"/>
          <w:i w:val="1"/>
        </w:rPr>
        <w:t>19192. Россия, Москва, Мичуринский проспект, дом 21, корпус 4,</w:t>
      </w:r>
    </w:p>
    <w:p w14:paraId="3E040000">
      <w:pPr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О</w:t>
      </w:r>
      <w:r>
        <w:rPr>
          <w:rFonts w:ascii="Times New Roman" w:hAnsi="Times New Roman"/>
        </w:rPr>
        <w:t>тчетный год и (или) иной</w:t>
      </w:r>
      <w:r>
        <w:rPr>
          <w:rFonts w:ascii="Times New Roman" w:hAnsi="Times New Roman"/>
          <w:b w:val="1"/>
        </w:rPr>
        <w:t xml:space="preserve"> отчетный период</w:t>
      </w:r>
      <w:r>
        <w:rPr>
          <w:rFonts w:ascii="Times New Roman" w:hAnsi="Times New Roman"/>
        </w:rPr>
        <w:t xml:space="preserve"> из числа последних </w:t>
      </w:r>
      <w:r>
        <w:rPr>
          <w:rFonts w:ascii="Times New Roman" w:hAnsi="Times New Roman"/>
          <w:b w:val="1"/>
        </w:rPr>
        <w:t>трех з</w:t>
      </w:r>
      <w:r>
        <w:rPr>
          <w:rFonts w:ascii="Times New Roman" w:hAnsi="Times New Roman"/>
        </w:rPr>
        <w:t>авершенных отчетных лет и текущего года, за который аудитором проводилась (будет проводиться) проверка отчетности эмитента:</w:t>
      </w:r>
    </w:p>
    <w:p w14:paraId="3F040000">
      <w:pPr>
        <w:ind/>
        <w:jc w:val="both"/>
        <w:rPr>
          <w:rFonts w:ascii="Times New Roman" w:hAnsi="Times New Roman"/>
        </w:rPr>
      </w:pPr>
    </w:p>
    <w:tbl>
      <w:tblPr>
        <w:tblStyle w:val="Style_2"/>
        <w:tblW w:type="auto" w:w="0"/>
        <w:tblInd w:type="dxa" w:w="356"/>
        <w:tblLayout w:type="fixed"/>
        <w:tblCellMar>
          <w:left w:type="dxa" w:w="72"/>
          <w:right w:type="dxa" w:w="72"/>
        </w:tblCellMar>
      </w:tblPr>
      <w:tblGrid>
        <w:gridCol w:w="2410"/>
        <w:gridCol w:w="2346"/>
      </w:tblGrid>
      <w:tr>
        <w:tc>
          <w:tcPr>
            <w:tcW w:type="dxa" w:w="2410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004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Бухгалтерская (финансовая) отчетность, Год</w:t>
            </w:r>
          </w:p>
        </w:tc>
        <w:tc>
          <w:tcPr>
            <w:tcW w:type="dxa" w:w="2346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104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Консолидированная финансовая отчетность, Год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2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3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4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5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6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4704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</w:tbl>
    <w:p w14:paraId="48040000">
      <w:pPr>
        <w:ind/>
        <w:jc w:val="both"/>
        <w:rPr>
          <w:rFonts w:ascii="Times New Roman" w:hAnsi="Times New Roman"/>
        </w:rPr>
      </w:pPr>
    </w:p>
    <w:p w14:paraId="4904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Вид отчетности эмитента,</w:t>
      </w:r>
      <w:r>
        <w:rPr>
          <w:rFonts w:ascii="Times New Roman" w:hAnsi="Times New Roman"/>
        </w:rPr>
        <w:t xml:space="preserve">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отчетность): </w:t>
      </w:r>
    </w:p>
    <w:p w14:paraId="4A040000">
      <w:pPr>
        <w:ind w:firstLine="0" w:left="283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i w:val="1"/>
        </w:rPr>
        <w:t>-бухгалтерский баланс по состоянию на 31 декабря 2023 г,</w:t>
      </w:r>
    </w:p>
    <w:p w14:paraId="4B040000">
      <w:pPr>
        <w:ind w:firstLine="0" w:left="283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i w:val="1"/>
        </w:rPr>
        <w:t>-отчет о финансовых результатах за 2023 год,</w:t>
      </w:r>
    </w:p>
    <w:p w14:paraId="4C040000">
      <w:pPr>
        <w:numPr>
          <w:ilvl w:val="0"/>
          <w:numId w:val="23"/>
        </w:numPr>
        <w:ind w:hanging="283" w:left="283"/>
        <w:rPr>
          <w:rFonts w:ascii="Times New Roman" w:hAnsi="Times New Roman"/>
          <w:i w:val="1"/>
        </w:rPr>
      </w:pPr>
      <w:r>
        <w:rPr>
          <w:rFonts w:ascii="Times New Roman" w:hAnsi="Times New Roman"/>
          <w:i w:val="1"/>
        </w:rPr>
        <w:t>приложения к бухгалтерскому балансу и отчету о финансовых результатах в т. ч. отчет об изменениях капитала за 2023 г. и отчет о движении денежных средств,</w:t>
      </w:r>
    </w:p>
    <w:p w14:paraId="4D040000">
      <w:pPr>
        <w:numPr>
          <w:ilvl w:val="0"/>
          <w:numId w:val="23"/>
        </w:numPr>
        <w:ind w:hanging="283" w:left="283"/>
        <w:rPr>
          <w:rFonts w:ascii="Times New Roman" w:hAnsi="Times New Roman"/>
          <w:i w:val="1"/>
        </w:rPr>
      </w:pPr>
      <w:r>
        <w:rPr>
          <w:rFonts w:ascii="Times New Roman" w:hAnsi="Times New Roman"/>
          <w:i w:val="1"/>
        </w:rPr>
        <w:t>пояснения к бухгалтерскому балансу и отчету о финансовых результатах.</w:t>
      </w:r>
    </w:p>
    <w:p w14:paraId="4E040000">
      <w:pPr>
        <w:widowControl w:val="0"/>
        <w:spacing w:before="160"/>
        <w:ind w:firstLine="540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b w:val="1"/>
        </w:rPr>
        <w:t>Cопутствующие</w:t>
      </w:r>
      <w:r>
        <w:rPr>
          <w:rFonts w:ascii="Times New Roman" w:hAnsi="Times New Roman"/>
          <w:b w:val="1"/>
        </w:rPr>
        <w:t xml:space="preserve"> аудиту</w:t>
      </w:r>
      <w:r>
        <w:rPr>
          <w:rFonts w:ascii="Times New Roman" w:hAnsi="Times New Roman"/>
        </w:rPr>
        <w:t xml:space="preserve"> и прочие связанные с аудиторской деятельностью</w:t>
      </w:r>
      <w:r>
        <w:rPr>
          <w:rFonts w:ascii="Times New Roman" w:hAnsi="Times New Roman"/>
          <w:b w:val="1"/>
        </w:rPr>
        <w:t xml:space="preserve"> услуги, </w:t>
      </w:r>
      <w:r>
        <w:rPr>
          <w:rFonts w:ascii="Times New Roman" w:hAnsi="Times New Roman"/>
        </w:rPr>
        <w:t xml:space="preserve">которые оказывались (будут оказываться) эмитенту в течение последних трех завершенных отчетных лет и текущего года аудитором: </w:t>
      </w:r>
      <w:r>
        <w:rPr>
          <w:rFonts w:ascii="Times New Roman" w:hAnsi="Times New Roman"/>
          <w:i w:val="1"/>
        </w:rPr>
        <w:t>не оказывались и не будут оказываться</w:t>
      </w:r>
    </w:p>
    <w:p w14:paraId="4F040000">
      <w:pPr>
        <w:widowControl w:val="0"/>
        <w:spacing w:before="160"/>
        <w:ind w:firstLine="540" w:left="0"/>
        <w:jc w:val="both"/>
        <w:rPr>
          <w:rFonts w:ascii="Times New Roman" w:hAnsi="Times New Roman"/>
          <w:color w:val="DD0000"/>
        </w:rPr>
      </w:pPr>
    </w:p>
    <w:p w14:paraId="50040000">
      <w:pPr>
        <w:ind w:firstLine="283" w:left="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b w:val="1"/>
        </w:rPr>
        <w:t>Факторов, которые могут оказать влияние</w:t>
      </w:r>
      <w:r>
        <w:rPr>
          <w:rFonts w:ascii="Times New Roman" w:hAnsi="Times New Roman"/>
        </w:rPr>
        <w:t xml:space="preserve">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– </w:t>
      </w:r>
      <w:r>
        <w:rPr>
          <w:rFonts w:ascii="Times New Roman" w:hAnsi="Times New Roman"/>
          <w:i w:val="1"/>
        </w:rPr>
        <w:t>нет</w:t>
      </w:r>
    </w:p>
    <w:p w14:paraId="51040000">
      <w:pPr>
        <w:ind w:firstLine="283" w:left="0"/>
        <w:jc w:val="both"/>
        <w:rPr>
          <w:rFonts w:ascii="Times New Roman" w:hAnsi="Times New Roman"/>
          <w:b w:val="1"/>
          <w:i w:val="1"/>
        </w:rPr>
      </w:pPr>
    </w:p>
    <w:p w14:paraId="52040000">
      <w:pPr>
        <w:ind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  <w:i w:val="1"/>
        </w:rPr>
        <w:t>Порядок выбора аудитора эмитента</w:t>
      </w:r>
      <w:r>
        <w:rPr>
          <w:rFonts w:ascii="Times New Roman" w:hAnsi="Times New Roman"/>
          <w:b w:val="1"/>
          <w:i w:val="1"/>
        </w:rPr>
        <w:t>:</w:t>
      </w:r>
    </w:p>
    <w:p w14:paraId="53040000">
      <w:pPr>
        <w:ind/>
        <w:jc w:val="both"/>
        <w:rPr>
          <w:rFonts w:ascii="Times New Roman" w:hAnsi="Times New Roman"/>
          <w:b w:val="0"/>
          <w:i w:val="1"/>
        </w:rPr>
      </w:pPr>
      <w:r>
        <w:rPr>
          <w:rFonts w:ascii="Times New Roman" w:hAnsi="Times New Roman"/>
        </w:rPr>
        <w:t xml:space="preserve">Наличие процедуры тендера, связанного с выбором аудитора, </w:t>
      </w:r>
      <w:r>
        <w:rPr>
          <w:rFonts w:ascii="Times New Roman" w:hAnsi="Times New Roman"/>
          <w:b w:val="0"/>
          <w:i w:val="1"/>
        </w:rPr>
        <w:t>не предусмотрено</w:t>
      </w:r>
    </w:p>
    <w:p w14:paraId="54040000">
      <w:pPr>
        <w:ind/>
        <w:jc w:val="both"/>
        <w:rPr>
          <w:rFonts w:ascii="Times New Roman" w:hAnsi="Times New Roman"/>
          <w:b w:val="1"/>
        </w:rPr>
      </w:pPr>
    </w:p>
    <w:p w14:paraId="5504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i w:val="1"/>
        </w:rPr>
        <w:t>Процедура выдвижения кандидатуры аудитора</w:t>
      </w:r>
      <w:r>
        <w:rPr>
          <w:rFonts w:ascii="Times New Roman" w:hAnsi="Times New Roman"/>
        </w:rPr>
        <w:t xml:space="preserve"> для утверждения собранием акционеров (участников), в том числе орган управления, принимающий соответствующее решение:</w:t>
      </w:r>
      <w:r>
        <w:rPr>
          <w:rFonts w:ascii="Times New Roman" w:hAnsi="Times New Roman"/>
        </w:rPr>
        <w:br/>
      </w:r>
    </w:p>
    <w:p w14:paraId="5604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Совет директоров определяет размер оплаты услуг аудитора. Утверждение аудитора Общества относится к исключительной компетенции общего собрания акционеров.</w:t>
      </w:r>
    </w:p>
    <w:p w14:paraId="5704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Аудитор Общества утвержден общим собранием акционеров 30.06.2023 г. Размер оплаты услуг аудитора по аудиту годовой бухгалтерской отчетности Общества за 2023 год в сумме не более 680 000 руб.</w:t>
      </w:r>
    </w:p>
    <w:p w14:paraId="58040000">
      <w:pPr>
        <w:ind/>
        <w:jc w:val="both"/>
        <w:rPr>
          <w:rFonts w:ascii="Times New Roman" w:hAnsi="Times New Roman"/>
        </w:rPr>
      </w:pPr>
    </w:p>
    <w:p w14:paraId="59040000">
      <w:pPr>
        <w:ind w:firstLine="283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Отложенных или просроченных платежей за оказанные аудитором </w:t>
      </w:r>
      <w:r>
        <w:rPr>
          <w:rFonts w:ascii="Times New Roman" w:hAnsi="Times New Roman"/>
        </w:rPr>
        <w:t xml:space="preserve">услуги  </w:t>
      </w:r>
      <w:r>
        <w:rPr>
          <w:rFonts w:ascii="Times New Roman" w:hAnsi="Times New Roman"/>
          <w:i w:val="1"/>
        </w:rPr>
        <w:t>нет</w:t>
      </w:r>
      <w:r>
        <w:rPr>
          <w:rFonts w:ascii="Times New Roman" w:hAnsi="Times New Roman"/>
          <w:i w:val="1"/>
        </w:rPr>
        <w:t>,</w:t>
      </w:r>
      <w:r>
        <w:rPr>
          <w:rFonts w:ascii="Times New Roman" w:hAnsi="Times New Roman"/>
        </w:rPr>
        <w:t xml:space="preserve"> в том числе   прочих связанных с аудиторской деятельностью услуг (не оказывались).</w:t>
      </w:r>
    </w:p>
    <w:p w14:paraId="5A040000">
      <w:pPr>
        <w:widowControl w:val="0"/>
        <w:spacing w:before="16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информации изменений за период между отчетной датой (31.12.2023</w:t>
      </w:r>
      <w:r>
        <w:rPr>
          <w:rFonts w:ascii="Times New Roman" w:hAnsi="Times New Roman"/>
        </w:rPr>
        <w:t>)  и</w:t>
      </w:r>
      <w:r>
        <w:rPr>
          <w:rFonts w:ascii="Times New Roman" w:hAnsi="Times New Roman"/>
        </w:rPr>
        <w:t xml:space="preserve"> датой раскрытия финансовой отчетности в составе раскрытой информации не было.</w:t>
      </w:r>
    </w:p>
    <w:p w14:paraId="5B040000">
      <w:bookmarkStart w:id="52" w:name="__RefHeading___142"/>
      <w:bookmarkEnd w:id="52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5. Финансовая отчетность, бухгалтерская (финансовая) отчетность эмитента</w:t>
      </w:r>
    </w:p>
    <w:p w14:paraId="5C040000">
      <w:bookmarkStart w:id="53" w:name="__RefHeading___143"/>
      <w:bookmarkEnd w:id="53"/>
      <w:pPr>
        <w:pStyle w:val="Style_8"/>
        <w:numPr>
          <w:ilvl w:val="2"/>
          <w:numId w:val="24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Финансовая отчетность эмитента</w:t>
      </w:r>
    </w:p>
    <w:p w14:paraId="5D040000">
      <w:pPr>
        <w:pStyle w:val="Style_10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составляет и не раскрывают консолидированную финансовую отчетность (финансовую отчетность).</w:t>
      </w:r>
    </w:p>
    <w:p w14:paraId="5E040000">
      <w:bookmarkStart w:id="54" w:name="__RefHeading___144"/>
      <w:bookmarkEnd w:id="54"/>
      <w:pPr>
        <w:pStyle w:val="Style_8"/>
        <w:numPr>
          <w:ilvl w:val="2"/>
          <w:numId w:val="24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Бухгалтерская (финансовая) отчетность</w:t>
      </w:r>
    </w:p>
    <w:p w14:paraId="5F040000">
      <w:pPr>
        <w:rPr>
          <w:rFonts w:ascii="Times New Roman" w:hAnsi="Times New Roman"/>
        </w:rPr>
      </w:pPr>
    </w:p>
    <w:p w14:paraId="6004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Годовая бухгалтерская (финансовая) </w:t>
      </w:r>
      <w:r>
        <w:rPr>
          <w:rFonts w:ascii="Times New Roman" w:hAnsi="Times New Roman"/>
        </w:rPr>
        <w:t>отчетность  с</w:t>
      </w:r>
      <w:r>
        <w:rPr>
          <w:rFonts w:ascii="Times New Roman" w:hAnsi="Times New Roman"/>
        </w:rPr>
        <w:t xml:space="preserve"> аудиторским заключением к ней опубликованы 25.04.2024 эмитентом на странице в сети Интернет: disclosure.1prime.ru/ </w:t>
      </w:r>
      <w:r>
        <w:rPr>
          <w:rFonts w:ascii="Times New Roman" w:hAnsi="Times New Roman"/>
        </w:rPr>
        <w:t>Portal</w:t>
      </w:r>
      <w:r>
        <w:rPr>
          <w:rFonts w:ascii="Times New Roman" w:hAnsi="Times New Roman"/>
        </w:rPr>
        <w:t>/</w:t>
      </w:r>
      <w:r>
        <w:rPr>
          <w:rFonts w:ascii="Times New Roman" w:hAnsi="Times New Roman"/>
        </w:rPr>
        <w:t>Default.aspx?emId</w:t>
      </w:r>
      <w:r>
        <w:rPr>
          <w:rFonts w:ascii="Times New Roman" w:hAnsi="Times New Roman"/>
        </w:rPr>
        <w:t>=4714000211.</w:t>
      </w:r>
    </w:p>
    <w:sectPr>
      <w:footerReference r:id="rId1" w:type="default"/>
      <w:pgSz w:h="16838" w:orient="portrait" w:w="11906"/>
      <w:pgMar w:bottom="567" w:footer="397" w:gutter="0" w:header="397" w:left="1559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ind w:firstLine="0" w:left="720"/>
    </w:pPr>
  </w:p>
</w:ftr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3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4000000">
    <w:pPr>
      <w:pStyle w:val="Style_1"/>
      <w:ind w:firstLine="0" w:left="720"/>
    </w:pPr>
  </w:p>
</w:ftr>
</file>

<file path=word/footer3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5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6000000">
    <w:pPr>
      <w:pStyle w:val="Style_1"/>
      <w:ind w:firstLine="0" w:left="720"/>
    </w:pPr>
  </w:p>
</w:ft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abstractNum w:abstractNumId="1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abstractNum w:abstractNumId="2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abstractNum w:abstractNumId="3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abstractNum w:abstractNumId="4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abstractNum w:abstractNumId="5">
    <w:lvl w:ilvl="0">
      <w:start w:val="1"/>
      <w:numFmt w:val="bullet"/>
      <w:lvlText w:val=""/>
      <w:lvlJc w:val="left"/>
      <w:pPr>
        <w:ind w:hanging="360" w:left="144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8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60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2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4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8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200"/>
      </w:pPr>
      <w:rPr>
        <w:rFonts w:ascii="Wingdings" w:hAnsi="Wingdings"/>
      </w:rPr>
    </w:lvl>
  </w:abstractNum>
  <w:abstractNum w:abstractNumId="6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7">
    <w:lvl w:ilvl="0">
      <w:start w:val="1"/>
      <w:numFmt w:val="bullet"/>
      <w:lvlText w:val=""/>
      <w:lvlJc w:val="left"/>
      <w:pPr>
        <w:ind w:hanging="360" w:left="1429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49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69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589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09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29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49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69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189"/>
      </w:pPr>
      <w:rPr>
        <w:rFonts w:ascii="Wingdings" w:hAnsi="Wingdings"/>
      </w:rPr>
    </w:lvl>
  </w:abstractNum>
  <w:abstractNum w:abstractNumId="8">
    <w:lvl w:ilvl="0">
      <w:start w:val="1"/>
      <w:numFmt w:val="bullet"/>
      <w:lvlText w:val=""/>
      <w:lvlJc w:val="left"/>
      <w:pPr>
        <w:ind w:hanging="360" w:left="1429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49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69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589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09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29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49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69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189"/>
      </w:pPr>
      <w:rPr>
        <w:rFonts w:ascii="Wingdings" w:hAnsi="Wingdings"/>
      </w:rPr>
    </w:lvl>
  </w:abstractNum>
  <w:abstractNum w:abstractNumId="9">
    <w:lvl w:ilvl="0">
      <w:start w:val="1"/>
      <w:numFmt w:val="bullet"/>
      <w:lvlText w:val=""/>
      <w:lvlJc w:val="left"/>
      <w:pPr>
        <w:ind w:hanging="360" w:left="1429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49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69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589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09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29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49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69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189"/>
      </w:pPr>
      <w:rPr>
        <w:rFonts w:ascii="Wingdings" w:hAnsi="Wingdings"/>
      </w:rPr>
    </w:lvl>
  </w:abstractNum>
  <w:abstractNum w:abstractNumId="10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11">
    <w:lvl w:ilvl="0">
      <w:start w:val="1"/>
      <w:numFmt w:val="bullet"/>
      <w:lvlText w:val=""/>
      <w:lvlJc w:val="left"/>
      <w:pPr>
        <w:ind w:hanging="360" w:left="144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8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60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2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4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8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200"/>
      </w:pPr>
      <w:rPr>
        <w:rFonts w:ascii="Wingdings" w:hAnsi="Wingdings"/>
      </w:rPr>
    </w:lvl>
  </w:abstractNum>
  <w:abstractNum w:abstractNumId="12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13">
    <w:lvl w:ilvl="0">
      <w:start w:val="1"/>
      <w:numFmt w:val="bullet"/>
      <w:lvlText w:val=""/>
      <w:lvlJc w:val="left"/>
      <w:pPr>
        <w:ind w:hanging="360" w:left="360"/>
      </w:pPr>
      <w:rPr>
        <w:rFonts w:ascii="Symbol" w:hAnsi="Symbol"/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14">
    <w:lvl w:ilvl="0">
      <w:start w:val="1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2.%2."/>
      <w:lvlJc w:val="left"/>
      <w:pPr>
        <w:ind w:hanging="360" w:left="644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15">
    <w:lvl w:ilvl="0">
      <w:start w:val="1"/>
      <w:numFmt w:val="decimal"/>
      <w:lvlText w:val="%1."/>
      <w:lvlJc w:val="left"/>
      <w:pPr>
        <w:ind w:hanging="360" w:left="644"/>
      </w:pPr>
    </w:lvl>
    <w:lvl w:ilvl="1">
      <w:start w:val="1"/>
      <w:numFmt w:val="lowerLetter"/>
      <w:lvlText w:val="%2."/>
      <w:lvlJc w:val="left"/>
      <w:pPr>
        <w:ind w:hanging="360" w:left="1364"/>
      </w:pPr>
    </w:lvl>
    <w:lvl w:ilvl="2">
      <w:start w:val="1"/>
      <w:numFmt w:val="lowerRoman"/>
      <w:lvlText w:val="%3."/>
      <w:lvlJc w:val="right"/>
      <w:pPr>
        <w:ind w:hanging="180" w:left="2084"/>
      </w:pPr>
    </w:lvl>
    <w:lvl w:ilvl="3">
      <w:start w:val="1"/>
      <w:numFmt w:val="decimal"/>
      <w:lvlText w:val="%4."/>
      <w:lvlJc w:val="left"/>
      <w:pPr>
        <w:ind w:hanging="360" w:left="2804"/>
      </w:pPr>
    </w:lvl>
    <w:lvl w:ilvl="4">
      <w:start w:val="1"/>
      <w:numFmt w:val="lowerLetter"/>
      <w:lvlText w:val="%5."/>
      <w:lvlJc w:val="left"/>
      <w:pPr>
        <w:ind w:hanging="360" w:left="3524"/>
      </w:pPr>
    </w:lvl>
    <w:lvl w:ilvl="5">
      <w:start w:val="1"/>
      <w:numFmt w:val="lowerRoman"/>
      <w:lvlText w:val="%6."/>
      <w:lvlJc w:val="right"/>
      <w:pPr>
        <w:ind w:hanging="180" w:left="4244"/>
      </w:pPr>
    </w:lvl>
    <w:lvl w:ilvl="6">
      <w:start w:val="1"/>
      <w:numFmt w:val="decimal"/>
      <w:lvlText w:val="%7."/>
      <w:lvlJc w:val="left"/>
      <w:pPr>
        <w:ind w:hanging="360" w:left="4964"/>
      </w:pPr>
    </w:lvl>
    <w:lvl w:ilvl="7">
      <w:start w:val="1"/>
      <w:numFmt w:val="lowerLetter"/>
      <w:lvlText w:val="%8."/>
      <w:lvlJc w:val="left"/>
      <w:pPr>
        <w:ind w:hanging="360" w:left="5684"/>
      </w:pPr>
    </w:lvl>
    <w:lvl w:ilvl="8">
      <w:start w:val="1"/>
      <w:numFmt w:val="lowerRoman"/>
      <w:lvlText w:val="%9."/>
      <w:lvlJc w:val="right"/>
      <w:pPr>
        <w:ind w:hanging="180" w:left="6404"/>
      </w:pPr>
    </w:lvl>
  </w:abstractNum>
  <w:abstractNum w:abstractNumId="16">
    <w:lvl w:ilvl="0">
      <w:start w:val="1"/>
      <w:numFmt w:val="decimal"/>
      <w:lvlText w:val="%1."/>
      <w:lvlJc w:val="left"/>
      <w:pPr>
        <w:ind w:hanging="360" w:left="1004"/>
      </w:pPr>
    </w:lvl>
    <w:lvl w:ilvl="1">
      <w:start w:val="1"/>
      <w:numFmt w:val="lowerLetter"/>
      <w:lvlText w:val="%2."/>
      <w:lvlJc w:val="left"/>
      <w:pPr>
        <w:ind w:hanging="360" w:left="1724"/>
      </w:pPr>
    </w:lvl>
    <w:lvl w:ilvl="2">
      <w:start w:val="1"/>
      <w:numFmt w:val="lowerRoman"/>
      <w:lvlText w:val="%3."/>
      <w:lvlJc w:val="right"/>
      <w:pPr>
        <w:ind w:hanging="180" w:left="2444"/>
      </w:pPr>
    </w:lvl>
    <w:lvl w:ilvl="3">
      <w:start w:val="1"/>
      <w:numFmt w:val="decimal"/>
      <w:lvlText w:val="%4."/>
      <w:lvlJc w:val="left"/>
      <w:pPr>
        <w:ind w:hanging="360" w:left="3164"/>
      </w:pPr>
    </w:lvl>
    <w:lvl w:ilvl="4">
      <w:start w:val="1"/>
      <w:numFmt w:val="lowerLetter"/>
      <w:lvlText w:val="%5."/>
      <w:lvlJc w:val="left"/>
      <w:pPr>
        <w:ind w:hanging="360" w:left="3884"/>
      </w:pPr>
    </w:lvl>
    <w:lvl w:ilvl="5">
      <w:start w:val="1"/>
      <w:numFmt w:val="lowerRoman"/>
      <w:lvlText w:val="%6."/>
      <w:lvlJc w:val="right"/>
      <w:pPr>
        <w:ind w:hanging="180" w:left="4604"/>
      </w:pPr>
    </w:lvl>
    <w:lvl w:ilvl="6">
      <w:start w:val="1"/>
      <w:numFmt w:val="decimal"/>
      <w:lvlText w:val="%7."/>
      <w:lvlJc w:val="left"/>
      <w:pPr>
        <w:ind w:hanging="360" w:left="5324"/>
      </w:pPr>
    </w:lvl>
    <w:lvl w:ilvl="7">
      <w:start w:val="1"/>
      <w:numFmt w:val="lowerLetter"/>
      <w:lvlText w:val="%8."/>
      <w:lvlJc w:val="left"/>
      <w:pPr>
        <w:ind w:hanging="360" w:left="6044"/>
      </w:pPr>
    </w:lvl>
    <w:lvl w:ilvl="8">
      <w:start w:val="1"/>
      <w:numFmt w:val="lowerRoman"/>
      <w:lvlText w:val="%9."/>
      <w:lvlJc w:val="right"/>
      <w:pPr>
        <w:ind w:hanging="180" w:left="6764"/>
      </w:pPr>
    </w:lvl>
  </w:abstractNum>
  <w:abstractNum w:abstractNumId="17">
    <w:lvl w:ilvl="0">
      <w:start w:val="1"/>
      <w:numFmt w:val="decimal"/>
      <w:lvlText w:val="%1."/>
      <w:lvlJc w:val="left"/>
      <w:pPr>
        <w:ind w:hanging="360" w:left="927"/>
      </w:pPr>
    </w:lvl>
    <w:lvl w:ilvl="1">
      <w:start w:val="1"/>
      <w:numFmt w:val="lowerLetter"/>
      <w:lvlText w:val="%2."/>
      <w:lvlJc w:val="left"/>
      <w:pPr>
        <w:ind w:hanging="360" w:left="1336"/>
      </w:pPr>
    </w:lvl>
    <w:lvl w:ilvl="2">
      <w:start w:val="1"/>
      <w:numFmt w:val="lowerRoman"/>
      <w:lvlText w:val="%3."/>
      <w:lvlJc w:val="right"/>
      <w:pPr>
        <w:ind w:hanging="180" w:left="2056"/>
      </w:pPr>
    </w:lvl>
    <w:lvl w:ilvl="3">
      <w:start w:val="1"/>
      <w:numFmt w:val="decimal"/>
      <w:lvlText w:val="%4."/>
      <w:lvlJc w:val="left"/>
      <w:pPr>
        <w:ind w:hanging="360" w:left="2776"/>
      </w:pPr>
    </w:lvl>
    <w:lvl w:ilvl="4">
      <w:start w:val="1"/>
      <w:numFmt w:val="lowerLetter"/>
      <w:lvlText w:val="%5."/>
      <w:lvlJc w:val="left"/>
      <w:pPr>
        <w:ind w:hanging="360" w:left="3496"/>
      </w:pPr>
    </w:lvl>
    <w:lvl w:ilvl="5">
      <w:start w:val="1"/>
      <w:numFmt w:val="lowerRoman"/>
      <w:lvlText w:val="%6."/>
      <w:lvlJc w:val="right"/>
      <w:pPr>
        <w:ind w:hanging="180" w:left="4216"/>
      </w:pPr>
    </w:lvl>
    <w:lvl w:ilvl="6">
      <w:start w:val="1"/>
      <w:numFmt w:val="decimal"/>
      <w:lvlText w:val="%7."/>
      <w:lvlJc w:val="left"/>
      <w:pPr>
        <w:ind w:hanging="360" w:left="4936"/>
      </w:pPr>
    </w:lvl>
    <w:lvl w:ilvl="7">
      <w:start w:val="1"/>
      <w:numFmt w:val="lowerLetter"/>
      <w:lvlText w:val="%8."/>
      <w:lvlJc w:val="left"/>
      <w:pPr>
        <w:ind w:hanging="360" w:left="5656"/>
      </w:pPr>
    </w:lvl>
    <w:lvl w:ilvl="8">
      <w:start w:val="1"/>
      <w:numFmt w:val="lowerRoman"/>
      <w:lvlText w:val="%9."/>
      <w:lvlJc w:val="right"/>
      <w:pPr>
        <w:ind w:hanging="180" w:left="6376"/>
      </w:pPr>
    </w:lvl>
  </w:abstractNum>
  <w:abstractNum w:abstractNumId="18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19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36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36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360" w:left="6480"/>
      </w:pPr>
    </w:lvl>
  </w:abstractNum>
  <w:abstractNum w:abstractNumId="20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%1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21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5"/>
      <w:numFmt w:val="decimal"/>
      <w:lvlText w:val="%1.%2."/>
      <w:lvlJc w:val="left"/>
      <w:pPr>
        <w:ind w:hanging="360" w:left="760"/>
      </w:pPr>
      <w:rPr>
        <w:b w:val="1"/>
        <w:i w:val="1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0"/>
        <w:sz w:val="22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22">
    <w:lvl w:ilvl="0">
      <w:numFmt w:val="bullet"/>
      <w:lvlText w:val="-"/>
      <w:lvlJc w:val="left"/>
      <w:pPr>
        <w:ind w:hanging="360" w:left="720"/>
      </w:pPr>
      <w:rPr>
        <w:rFonts w:ascii="Calibri" w:hAnsi="Calibri"/>
      </w:rPr>
    </w:lvl>
    <w:lvl w:ilvl="1"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numFmt w:val="bullet"/>
      <w:lvlText w:val="-"/>
      <w:lvlJc w:val="left"/>
      <w:pPr>
        <w:ind w:hanging="360" w:left="2880"/>
      </w:pPr>
      <w:rPr>
        <w:rFonts w:ascii="Calibri" w:hAnsi="Calibri"/>
      </w:rPr>
    </w:lvl>
    <w:lvl w:ilvl="4"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numFmt w:val="bullet"/>
      <w:lvlText w:val="-"/>
      <w:lvlJc w:val="left"/>
      <w:pPr>
        <w:ind w:hanging="360" w:left="5040"/>
      </w:pPr>
      <w:rPr>
        <w:rFonts w:ascii="Calibri" w:hAnsi="Calibri"/>
      </w:rPr>
    </w:lvl>
    <w:lvl w:ilvl="7"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23">
    <w:lvl w:ilvl="0">
      <w:start w:val="5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5.1."/>
      <w:lvlJc w:val="left"/>
      <w:pPr>
        <w:ind w:hanging="360" w:left="360"/>
      </w:pPr>
      <w:rPr>
        <w:b w:val="1"/>
        <w:i w:val="0"/>
      </w:rPr>
    </w:lvl>
    <w:lvl w:ilvl="2">
      <w:start w:val="1"/>
      <w:numFmt w:val="decimal"/>
      <w:lvlText w:val="%1.%2%3."/>
      <w:lvlJc w:val="left"/>
      <w:pPr>
        <w:ind w:hanging="720" w:left="1520"/>
      </w:pPr>
      <w:rPr>
        <w:b w:val="1"/>
        <w:i w:val="0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rPr>
      <w:sz w:val="24"/>
    </w:rPr>
  </w:style>
  <w:style w:default="1" w:styleId="Style_4_ch" w:type="character">
    <w:name w:val="Normal"/>
    <w:link w:val="Style_4"/>
    <w:rPr>
      <w:sz w:val="24"/>
    </w:rPr>
  </w:style>
  <w:style w:styleId="Style_18" w:type="paragraph">
    <w:name w:val="ConsNonformat"/>
    <w:link w:val="Style_18_ch"/>
    <w:pPr>
      <w:widowControl w:val="0"/>
      <w:ind/>
    </w:pPr>
    <w:rPr>
      <w:rFonts w:ascii="Courier New" w:hAnsi="Courier New"/>
      <w:sz w:val="22"/>
    </w:rPr>
  </w:style>
  <w:style w:styleId="Style_18_ch" w:type="character">
    <w:name w:val="ConsNonformat"/>
    <w:link w:val="Style_18"/>
    <w:rPr>
      <w:rFonts w:ascii="Courier New" w:hAnsi="Courier New"/>
      <w:sz w:val="22"/>
    </w:rPr>
  </w:style>
  <w:style w:styleId="Style_7" w:type="paragraph">
    <w:name w:val="toc 2"/>
    <w:basedOn w:val="Style_4"/>
    <w:next w:val="Style_4"/>
    <w:link w:val="Style_7_ch"/>
    <w:uiPriority w:val="39"/>
    <w:pPr>
      <w:ind w:firstLine="0" w:left="200"/>
    </w:pPr>
    <w:rPr>
      <w:rFonts w:ascii="Times New Roman" w:hAnsi="Times New Roman"/>
    </w:rPr>
  </w:style>
  <w:style w:styleId="Style_7_ch" w:type="character">
    <w:name w:val="toc 2"/>
    <w:basedOn w:val="Style_4_ch"/>
    <w:link w:val="Style_7"/>
    <w:rPr>
      <w:rFonts w:ascii="Times New Roman" w:hAnsi="Times New Roman"/>
    </w:rPr>
  </w:style>
  <w:style w:styleId="Style_19" w:type="paragraph">
    <w:name w:val="header"/>
    <w:basedOn w:val="Style_4"/>
    <w:link w:val="Style_19_ch"/>
    <w:pPr>
      <w:tabs>
        <w:tab w:leader="none" w:pos="4153" w:val="center"/>
        <w:tab w:leader="none" w:pos="8306" w:val="right"/>
      </w:tabs>
      <w:ind/>
    </w:pPr>
  </w:style>
  <w:style w:styleId="Style_19_ch" w:type="character">
    <w:name w:val="header"/>
    <w:basedOn w:val="Style_4_ch"/>
    <w:link w:val="Style_19"/>
  </w:style>
  <w:style w:styleId="Style_1" w:type="paragraph">
    <w:name w:val="footer"/>
    <w:basedOn w:val="Style_4"/>
    <w:link w:val="Style_1_ch"/>
    <w:pPr>
      <w:tabs>
        <w:tab w:leader="none" w:pos="4153" w:val="center"/>
        <w:tab w:leader="none" w:pos="8306" w:val="right"/>
      </w:tabs>
      <w:ind/>
    </w:pPr>
  </w:style>
  <w:style w:styleId="Style_1_ch" w:type="character">
    <w:name w:val="footer"/>
    <w:basedOn w:val="Style_4_ch"/>
    <w:link w:val="Style_1"/>
  </w:style>
  <w:style w:styleId="Style_20" w:type="paragraph">
    <w:name w:val="toc 4"/>
    <w:next w:val="Style_4"/>
    <w:link w:val="Style_20_ch"/>
    <w:uiPriority w:val="39"/>
    <w:pPr>
      <w:ind w:firstLine="0" w:left="600"/>
    </w:pPr>
    <w:rPr>
      <w:rFonts w:ascii="XO Thames" w:hAnsi="XO Thames"/>
      <w:sz w:val="28"/>
    </w:rPr>
  </w:style>
  <w:style w:styleId="Style_20_ch" w:type="character">
    <w:name w:val="toc 4"/>
    <w:link w:val="Style_20"/>
    <w:rPr>
      <w:rFonts w:ascii="XO Thames" w:hAnsi="XO Thames"/>
      <w:sz w:val="28"/>
    </w:rPr>
  </w:style>
  <w:style w:styleId="Style_21" w:type="paragraph">
    <w:name w:val="heading 7"/>
    <w:basedOn w:val="Style_4"/>
    <w:next w:val="Style_4"/>
    <w:link w:val="Style_21_ch"/>
    <w:uiPriority w:val="9"/>
    <w:qFormat/>
    <w:pPr>
      <w:spacing w:after="60" w:before="240"/>
      <w:ind/>
      <w:outlineLvl w:val="6"/>
    </w:pPr>
  </w:style>
  <w:style w:styleId="Style_21_ch" w:type="character">
    <w:name w:val="heading 7"/>
    <w:basedOn w:val="Style_4_ch"/>
    <w:link w:val="Style_21"/>
  </w:style>
  <w:style w:styleId="Style_22" w:type="paragraph">
    <w:name w:val="Название книги1"/>
    <w:basedOn w:val="Style_23"/>
    <w:link w:val="Style_22_ch"/>
    <w:rPr>
      <w:rFonts w:ascii="Cambria" w:hAnsi="Cambria"/>
      <w:b w:val="1"/>
      <w:i w:val="1"/>
      <w:sz w:val="24"/>
    </w:rPr>
  </w:style>
  <w:style w:styleId="Style_22_ch" w:type="character">
    <w:name w:val="Название книги1"/>
    <w:basedOn w:val="Style_23_ch"/>
    <w:link w:val="Style_22"/>
    <w:rPr>
      <w:rFonts w:ascii="Cambria" w:hAnsi="Cambria"/>
      <w:b w:val="1"/>
      <w:i w:val="1"/>
      <w:sz w:val="24"/>
    </w:rPr>
  </w:style>
  <w:style w:styleId="Style_24" w:type="paragraph">
    <w:name w:val="Default Paragraph Font"/>
    <w:link w:val="Style_24_ch"/>
  </w:style>
  <w:style w:styleId="Style_24_ch" w:type="character">
    <w:name w:val="Default Paragraph Font"/>
    <w:link w:val="Style_24"/>
  </w:style>
  <w:style w:styleId="Style_25" w:type="paragraph">
    <w:name w:val="toc 6"/>
    <w:next w:val="Style_4"/>
    <w:link w:val="Style_25_ch"/>
    <w:uiPriority w:val="39"/>
    <w:pPr>
      <w:ind w:firstLine="0" w:left="1000"/>
    </w:pPr>
    <w:rPr>
      <w:rFonts w:ascii="XO Thames" w:hAnsi="XO Thames"/>
      <w:sz w:val="28"/>
    </w:rPr>
  </w:style>
  <w:style w:styleId="Style_25_ch" w:type="character">
    <w:name w:val="toc 6"/>
    <w:link w:val="Style_25"/>
    <w:rPr>
      <w:rFonts w:ascii="XO Thames" w:hAnsi="XO Thames"/>
      <w:sz w:val="28"/>
    </w:rPr>
  </w:style>
  <w:style w:styleId="Style_26" w:type="paragraph">
    <w:name w:val="toc 7"/>
    <w:next w:val="Style_4"/>
    <w:link w:val="Style_26_ch"/>
    <w:uiPriority w:val="39"/>
    <w:pPr>
      <w:ind w:firstLine="0" w:left="1200"/>
    </w:pPr>
    <w:rPr>
      <w:rFonts w:ascii="XO Thames" w:hAnsi="XO Thames"/>
      <w:sz w:val="28"/>
    </w:rPr>
  </w:style>
  <w:style w:styleId="Style_26_ch" w:type="character">
    <w:name w:val="toc 7"/>
    <w:link w:val="Style_26"/>
    <w:rPr>
      <w:rFonts w:ascii="XO Thames" w:hAnsi="XO Thames"/>
      <w:sz w:val="28"/>
    </w:rPr>
  </w:style>
  <w:style w:styleId="Style_27" w:type="paragraph">
    <w:name w:val="Body Text"/>
    <w:basedOn w:val="Style_4"/>
    <w:link w:val="Style_27_ch"/>
    <w:pPr>
      <w:widowControl w:val="0"/>
      <w:ind w:firstLine="4" w:left="117"/>
    </w:pPr>
    <w:rPr>
      <w:sz w:val="18"/>
    </w:rPr>
  </w:style>
  <w:style w:styleId="Style_27_ch" w:type="character">
    <w:name w:val="Body Text"/>
    <w:basedOn w:val="Style_4_ch"/>
    <w:link w:val="Style_27"/>
    <w:rPr>
      <w:sz w:val="18"/>
    </w:rPr>
  </w:style>
  <w:style w:styleId="Style_14" w:type="paragraph">
    <w:name w:val="Основной текст50"/>
    <w:basedOn w:val="Style_4"/>
    <w:link w:val="Style_14_ch"/>
    <w:pPr>
      <w:spacing w:before="360" w:line="446" w:lineRule="exact"/>
      <w:ind w:hanging="580" w:left="580"/>
      <w:jc w:val="right"/>
    </w:pPr>
    <w:rPr>
      <w:rFonts w:ascii="Times New Roman" w:hAnsi="Times New Roman"/>
      <w:sz w:val="23"/>
    </w:rPr>
  </w:style>
  <w:style w:styleId="Style_14_ch" w:type="character">
    <w:name w:val="Основной текст50"/>
    <w:basedOn w:val="Style_4_ch"/>
    <w:link w:val="Style_14"/>
    <w:rPr>
      <w:rFonts w:ascii="Times New Roman" w:hAnsi="Times New Roman"/>
      <w:sz w:val="23"/>
    </w:rPr>
  </w:style>
  <w:style w:styleId="Style_28" w:type="paragraph">
    <w:name w:val="Endnote"/>
    <w:basedOn w:val="Style_4"/>
    <w:link w:val="Style_28_ch"/>
  </w:style>
  <w:style w:styleId="Style_28_ch" w:type="character">
    <w:name w:val="Endnote"/>
    <w:basedOn w:val="Style_4_ch"/>
    <w:link w:val="Style_28"/>
  </w:style>
  <w:style w:styleId="Style_29" w:type="paragraph">
    <w:name w:val="heading 3"/>
    <w:basedOn w:val="Style_4"/>
    <w:next w:val="Style_4"/>
    <w:link w:val="Style_29_ch"/>
    <w:uiPriority w:val="9"/>
    <w:qFormat/>
    <w:pPr>
      <w:keepNext w:val="1"/>
      <w:spacing w:after="60" w:before="240"/>
      <w:ind/>
      <w:outlineLvl w:val="2"/>
    </w:pPr>
    <w:rPr>
      <w:rFonts w:ascii="Cambria" w:hAnsi="Cambria"/>
      <w:b w:val="1"/>
      <w:sz w:val="26"/>
    </w:rPr>
  </w:style>
  <w:style w:styleId="Style_29_ch" w:type="character">
    <w:name w:val="heading 3"/>
    <w:basedOn w:val="Style_4_ch"/>
    <w:link w:val="Style_29"/>
    <w:rPr>
      <w:rFonts w:ascii="Cambria" w:hAnsi="Cambria"/>
      <w:b w:val="1"/>
      <w:sz w:val="26"/>
    </w:rPr>
  </w:style>
  <w:style w:styleId="Style_30" w:type="paragraph">
    <w:name w:val="Intense Quote"/>
    <w:basedOn w:val="Style_4"/>
    <w:next w:val="Style_4"/>
    <w:link w:val="Style_30_ch"/>
    <w:pPr>
      <w:ind w:firstLine="0" w:left="720" w:right="720"/>
    </w:pPr>
    <w:rPr>
      <w:b w:val="1"/>
      <w:i w:val="1"/>
    </w:rPr>
  </w:style>
  <w:style w:styleId="Style_30_ch" w:type="character">
    <w:name w:val="Intense Quote"/>
    <w:basedOn w:val="Style_4_ch"/>
    <w:link w:val="Style_30"/>
    <w:rPr>
      <w:b w:val="1"/>
      <w:i w:val="1"/>
    </w:rPr>
  </w:style>
  <w:style w:styleId="Style_31" w:type="paragraph">
    <w:name w:val="Quote"/>
    <w:basedOn w:val="Style_4"/>
    <w:next w:val="Style_4"/>
    <w:link w:val="Style_31_ch"/>
    <w:rPr>
      <w:i w:val="1"/>
    </w:rPr>
  </w:style>
  <w:style w:styleId="Style_31_ch" w:type="character">
    <w:name w:val="Quote"/>
    <w:basedOn w:val="Style_4_ch"/>
    <w:link w:val="Style_31"/>
    <w:rPr>
      <w:i w:val="1"/>
    </w:rPr>
  </w:style>
  <w:style w:styleId="Style_32" w:type="paragraph">
    <w:name w:val="heading 9"/>
    <w:basedOn w:val="Style_4"/>
    <w:next w:val="Style_4"/>
    <w:link w:val="Style_32_ch"/>
    <w:uiPriority w:val="9"/>
    <w:qFormat/>
    <w:pPr>
      <w:spacing w:after="60" w:before="240"/>
      <w:ind/>
      <w:outlineLvl w:val="8"/>
    </w:pPr>
    <w:rPr>
      <w:rFonts w:ascii="Cambria" w:hAnsi="Cambria"/>
      <w:sz w:val="22"/>
    </w:rPr>
  </w:style>
  <w:style w:styleId="Style_32_ch" w:type="character">
    <w:name w:val="heading 9"/>
    <w:basedOn w:val="Style_4_ch"/>
    <w:link w:val="Style_32"/>
    <w:rPr>
      <w:rFonts w:ascii="Cambria" w:hAnsi="Cambria"/>
      <w:sz w:val="22"/>
    </w:rPr>
  </w:style>
  <w:style w:styleId="Style_33" w:type="paragraph">
    <w:name w:val="Сильная ссылка1"/>
    <w:basedOn w:val="Style_23"/>
    <w:link w:val="Style_33_ch"/>
    <w:rPr>
      <w:b w:val="1"/>
      <w:sz w:val="24"/>
      <w:u w:val="single"/>
    </w:rPr>
  </w:style>
  <w:style w:styleId="Style_33_ch" w:type="character">
    <w:name w:val="Сильная ссылка1"/>
    <w:basedOn w:val="Style_23_ch"/>
    <w:link w:val="Style_33"/>
    <w:rPr>
      <w:b w:val="1"/>
      <w:sz w:val="24"/>
      <w:u w:val="single"/>
    </w:rPr>
  </w:style>
  <w:style w:styleId="Style_34" w:type="paragraph">
    <w:name w:val="Обычный1"/>
    <w:link w:val="Style_34_ch"/>
    <w:rPr>
      <w:sz w:val="24"/>
    </w:rPr>
  </w:style>
  <w:style w:styleId="Style_34_ch" w:type="character">
    <w:name w:val="Обычный1"/>
    <w:link w:val="Style_34"/>
    <w:rPr>
      <w:sz w:val="24"/>
    </w:rPr>
  </w:style>
  <w:style w:styleId="Style_23" w:type="paragraph">
    <w:name w:val="Основной шрифт абзаца1"/>
    <w:link w:val="Style_23_ch"/>
  </w:style>
  <w:style w:styleId="Style_23_ch" w:type="character">
    <w:name w:val="Основной шрифт абзаца1"/>
    <w:link w:val="Style_23"/>
  </w:style>
  <w:style w:styleId="Style_15" w:type="paragraph">
    <w:name w:val="Subst"/>
    <w:link w:val="Style_15_ch"/>
    <w:rPr>
      <w:b w:val="1"/>
      <w:i w:val="1"/>
    </w:rPr>
  </w:style>
  <w:style w:styleId="Style_15_ch" w:type="character">
    <w:name w:val="Subst"/>
    <w:link w:val="Style_15"/>
    <w:rPr>
      <w:b w:val="1"/>
      <w:i w:val="1"/>
    </w:rPr>
  </w:style>
  <w:style w:styleId="Style_16" w:type="paragraph">
    <w:name w:val="Thin Delim"/>
    <w:link w:val="Style_16_ch"/>
    <w:pPr>
      <w:widowControl w:val="0"/>
      <w:ind/>
    </w:pPr>
    <w:rPr>
      <w:sz w:val="16"/>
    </w:rPr>
  </w:style>
  <w:style w:styleId="Style_16_ch" w:type="character">
    <w:name w:val="Thin Delim"/>
    <w:link w:val="Style_16"/>
    <w:rPr>
      <w:sz w:val="16"/>
    </w:rPr>
  </w:style>
  <w:style w:styleId="Style_35" w:type="paragraph">
    <w:name w:val="Знак сноски1"/>
    <w:basedOn w:val="Style_23"/>
    <w:link w:val="Style_35_ch"/>
    <w:rPr>
      <w:vertAlign w:val="superscript"/>
    </w:rPr>
  </w:style>
  <w:style w:styleId="Style_35_ch" w:type="character">
    <w:name w:val="Знак сноски1"/>
    <w:basedOn w:val="Style_23_ch"/>
    <w:link w:val="Style_35"/>
    <w:rPr>
      <w:vertAlign w:val="superscript"/>
    </w:rPr>
  </w:style>
  <w:style w:styleId="Style_36" w:type="paragraph">
    <w:name w:val="toc 3"/>
    <w:basedOn w:val="Style_4"/>
    <w:next w:val="Style_4"/>
    <w:link w:val="Style_36_ch"/>
    <w:uiPriority w:val="39"/>
    <w:pPr>
      <w:spacing w:after="100" w:line="264" w:lineRule="auto"/>
      <w:ind w:firstLine="0" w:left="440"/>
    </w:pPr>
    <w:rPr>
      <w:rFonts w:ascii="Times New Roman" w:hAnsi="Times New Roman"/>
      <w:sz w:val="22"/>
    </w:rPr>
  </w:style>
  <w:style w:styleId="Style_36_ch" w:type="character">
    <w:name w:val="toc 3"/>
    <w:basedOn w:val="Style_4_ch"/>
    <w:link w:val="Style_36"/>
    <w:rPr>
      <w:rFonts w:ascii="Times New Roman" w:hAnsi="Times New Roman"/>
      <w:sz w:val="22"/>
    </w:rPr>
  </w:style>
  <w:style w:styleId="Style_37" w:type="paragraph">
    <w:name w:val="Слабая ссылка1"/>
    <w:basedOn w:val="Style_23"/>
    <w:link w:val="Style_37_ch"/>
    <w:rPr>
      <w:sz w:val="24"/>
      <w:u w:val="single"/>
    </w:rPr>
  </w:style>
  <w:style w:styleId="Style_37_ch" w:type="character">
    <w:name w:val="Слабая ссылка1"/>
    <w:basedOn w:val="Style_23_ch"/>
    <w:link w:val="Style_37"/>
    <w:rPr>
      <w:sz w:val="24"/>
      <w:u w:val="single"/>
    </w:rPr>
  </w:style>
  <w:style w:styleId="Style_38" w:type="paragraph">
    <w:name w:val="Сильное выделение1"/>
    <w:basedOn w:val="Style_23"/>
    <w:link w:val="Style_38_ch"/>
    <w:rPr>
      <w:b w:val="1"/>
      <w:i w:val="1"/>
      <w:sz w:val="24"/>
      <w:u w:val="single"/>
    </w:rPr>
  </w:style>
  <w:style w:styleId="Style_38_ch" w:type="character">
    <w:name w:val="Сильное выделение1"/>
    <w:basedOn w:val="Style_23_ch"/>
    <w:link w:val="Style_38"/>
    <w:rPr>
      <w:b w:val="1"/>
      <w:i w:val="1"/>
      <w:sz w:val="24"/>
      <w:u w:val="single"/>
    </w:rPr>
  </w:style>
  <w:style w:styleId="Style_39" w:type="paragraph">
    <w:name w:val="Основной шрифт абзаца1"/>
    <w:link w:val="Style_39_ch"/>
  </w:style>
  <w:style w:styleId="Style_39_ch" w:type="character">
    <w:name w:val="Основной шрифт абзаца1"/>
    <w:link w:val="Style_39"/>
  </w:style>
  <w:style w:styleId="Style_40" w:type="paragraph">
    <w:name w:val="ConsNormal"/>
    <w:link w:val="Style_40_ch"/>
    <w:pPr>
      <w:ind w:firstLine="539" w:left="0" w:right="19771"/>
    </w:pPr>
    <w:rPr>
      <w:rFonts w:ascii="Courier New" w:hAnsi="Courier New"/>
      <w:sz w:val="22"/>
    </w:rPr>
  </w:style>
  <w:style w:styleId="Style_40_ch" w:type="character">
    <w:name w:val="ConsNormal"/>
    <w:link w:val="Style_40"/>
    <w:rPr>
      <w:rFonts w:ascii="Courier New" w:hAnsi="Courier New"/>
      <w:sz w:val="22"/>
    </w:rPr>
  </w:style>
  <w:style w:styleId="Style_41" w:type="paragraph">
    <w:name w:val="heading 5"/>
    <w:basedOn w:val="Style_4"/>
    <w:next w:val="Style_4"/>
    <w:link w:val="Style_41_ch"/>
    <w:uiPriority w:val="9"/>
    <w:qFormat/>
    <w:pPr>
      <w:spacing w:after="60" w:before="240"/>
      <w:ind/>
      <w:outlineLvl w:val="4"/>
    </w:pPr>
    <w:rPr>
      <w:b w:val="1"/>
      <w:i w:val="1"/>
      <w:sz w:val="26"/>
    </w:rPr>
  </w:style>
  <w:style w:styleId="Style_41_ch" w:type="character">
    <w:name w:val="heading 5"/>
    <w:basedOn w:val="Style_4_ch"/>
    <w:link w:val="Style_41"/>
    <w:rPr>
      <w:b w:val="1"/>
      <w:i w:val="1"/>
      <w:sz w:val="26"/>
    </w:rPr>
  </w:style>
  <w:style w:styleId="Style_42" w:type="paragraph">
    <w:name w:val="heading 1"/>
    <w:basedOn w:val="Style_4"/>
    <w:next w:val="Style_4"/>
    <w:link w:val="Style_42_ch"/>
    <w:uiPriority w:val="9"/>
    <w:qFormat/>
    <w:pPr>
      <w:keepNext w:val="1"/>
      <w:spacing w:after="60" w:before="240"/>
      <w:ind/>
      <w:outlineLvl w:val="0"/>
    </w:pPr>
    <w:rPr>
      <w:rFonts w:ascii="Cambria" w:hAnsi="Cambria"/>
      <w:b w:val="1"/>
      <w:sz w:val="32"/>
    </w:rPr>
  </w:style>
  <w:style w:styleId="Style_42_ch" w:type="character">
    <w:name w:val="heading 1"/>
    <w:basedOn w:val="Style_4_ch"/>
    <w:link w:val="Style_42"/>
    <w:rPr>
      <w:rFonts w:ascii="Cambria" w:hAnsi="Cambria"/>
      <w:b w:val="1"/>
      <w:sz w:val="32"/>
    </w:rPr>
  </w:style>
  <w:style w:styleId="Style_5" w:type="paragraph">
    <w:name w:val="TOC Heading"/>
    <w:basedOn w:val="Style_42"/>
    <w:next w:val="Style_4"/>
    <w:link w:val="Style_5_ch"/>
    <w:pPr>
      <w:ind/>
      <w:outlineLvl w:val="8"/>
    </w:pPr>
  </w:style>
  <w:style w:styleId="Style_5_ch" w:type="character">
    <w:name w:val="TOC Heading"/>
    <w:basedOn w:val="Style_42_ch"/>
    <w:link w:val="Style_5"/>
  </w:style>
  <w:style w:styleId="Style_3" w:type="paragraph">
    <w:name w:val="Hyperlink"/>
    <w:link w:val="Style_3_ch"/>
    <w:rPr>
      <w:color w:val="0000FF"/>
      <w:u w:val="single"/>
    </w:rPr>
  </w:style>
  <w:style w:styleId="Style_3_ch" w:type="character">
    <w:name w:val="Hyperlink"/>
    <w:link w:val="Style_3"/>
    <w:rPr>
      <w:color w:val="0000FF"/>
      <w:u w:val="single"/>
    </w:rPr>
  </w:style>
  <w:style w:styleId="Style_43" w:type="paragraph">
    <w:name w:val="Footnote"/>
    <w:basedOn w:val="Style_4"/>
    <w:link w:val="Style_43_ch"/>
  </w:style>
  <w:style w:styleId="Style_43_ch" w:type="character">
    <w:name w:val="Footnote"/>
    <w:basedOn w:val="Style_4_ch"/>
    <w:link w:val="Style_43"/>
  </w:style>
  <w:style w:styleId="Style_44" w:type="paragraph">
    <w:name w:val="heading 8"/>
    <w:basedOn w:val="Style_4"/>
    <w:next w:val="Style_4"/>
    <w:link w:val="Style_44_ch"/>
    <w:uiPriority w:val="9"/>
    <w:qFormat/>
    <w:pPr>
      <w:spacing w:after="60" w:before="240"/>
      <w:ind/>
      <w:outlineLvl w:val="7"/>
    </w:pPr>
    <w:rPr>
      <w:i w:val="1"/>
    </w:rPr>
  </w:style>
  <w:style w:styleId="Style_44_ch" w:type="character">
    <w:name w:val="heading 8"/>
    <w:basedOn w:val="Style_4_ch"/>
    <w:link w:val="Style_44"/>
    <w:rPr>
      <w:i w:val="1"/>
    </w:rPr>
  </w:style>
  <w:style w:styleId="Style_45" w:type="paragraph">
    <w:name w:val="Строгий1"/>
    <w:basedOn w:val="Style_23"/>
    <w:link w:val="Style_45_ch"/>
    <w:rPr>
      <w:b w:val="1"/>
    </w:rPr>
  </w:style>
  <w:style w:styleId="Style_45_ch" w:type="character">
    <w:name w:val="Строгий1"/>
    <w:basedOn w:val="Style_23_ch"/>
    <w:link w:val="Style_45"/>
    <w:rPr>
      <w:b w:val="1"/>
    </w:rPr>
  </w:style>
  <w:style w:styleId="Style_6" w:type="paragraph">
    <w:name w:val="toc 1"/>
    <w:basedOn w:val="Style_4"/>
    <w:next w:val="Style_4"/>
    <w:link w:val="Style_6_ch"/>
    <w:uiPriority w:val="39"/>
    <w:rPr>
      <w:rFonts w:ascii="Times New Roman" w:hAnsi="Times New Roman"/>
    </w:rPr>
  </w:style>
  <w:style w:styleId="Style_6_ch" w:type="character">
    <w:name w:val="toc 1"/>
    <w:basedOn w:val="Style_4_ch"/>
    <w:link w:val="Style_6"/>
    <w:rPr>
      <w:rFonts w:ascii="Times New Roman" w:hAnsi="Times New Roman"/>
    </w:rPr>
  </w:style>
  <w:style w:styleId="Style_46" w:type="paragraph">
    <w:name w:val="Header and Footer"/>
    <w:link w:val="Style_46_ch"/>
    <w:pPr>
      <w:ind/>
      <w:jc w:val="both"/>
    </w:pPr>
    <w:rPr>
      <w:rFonts w:ascii="XO Thames" w:hAnsi="XO Thames"/>
      <w:sz w:val="28"/>
    </w:rPr>
  </w:style>
  <w:style w:styleId="Style_46_ch" w:type="character">
    <w:name w:val="Header and Footer"/>
    <w:link w:val="Style_46"/>
    <w:rPr>
      <w:rFonts w:ascii="XO Thames" w:hAnsi="XO Thames"/>
      <w:sz w:val="28"/>
    </w:rPr>
  </w:style>
  <w:style w:styleId="Style_47" w:type="paragraph">
    <w:name w:val="Знак концевой сноски1"/>
    <w:basedOn w:val="Style_23"/>
    <w:link w:val="Style_47_ch"/>
    <w:rPr>
      <w:vertAlign w:val="superscript"/>
    </w:rPr>
  </w:style>
  <w:style w:styleId="Style_47_ch" w:type="character">
    <w:name w:val="Знак концевой сноски1"/>
    <w:basedOn w:val="Style_23_ch"/>
    <w:link w:val="Style_47"/>
    <w:rPr>
      <w:vertAlign w:val="superscript"/>
    </w:rPr>
  </w:style>
  <w:style w:styleId="Style_12" w:type="paragraph">
    <w:name w:val="Normal (Web)"/>
    <w:basedOn w:val="Style_4"/>
    <w:link w:val="Style_12_ch"/>
    <w:pPr>
      <w:spacing w:afterAutospacing="on" w:beforeAutospacing="on"/>
      <w:ind/>
    </w:pPr>
  </w:style>
  <w:style w:styleId="Style_12_ch" w:type="character">
    <w:name w:val="Normal (Web)"/>
    <w:basedOn w:val="Style_4_ch"/>
    <w:link w:val="Style_12"/>
  </w:style>
  <w:style w:styleId="Style_48" w:type="paragraph">
    <w:name w:val="Balloon Text"/>
    <w:basedOn w:val="Style_4"/>
    <w:link w:val="Style_48_ch"/>
    <w:rPr>
      <w:rFonts w:ascii="Segoe UI" w:hAnsi="Segoe UI"/>
      <w:sz w:val="18"/>
    </w:rPr>
  </w:style>
  <w:style w:styleId="Style_48_ch" w:type="character">
    <w:name w:val="Balloon Text"/>
    <w:basedOn w:val="Style_4_ch"/>
    <w:link w:val="Style_48"/>
    <w:rPr>
      <w:rFonts w:ascii="Segoe UI" w:hAnsi="Segoe UI"/>
      <w:sz w:val="18"/>
    </w:rPr>
  </w:style>
  <w:style w:styleId="Style_49" w:type="paragraph">
    <w:name w:val="toc 9"/>
    <w:next w:val="Style_4"/>
    <w:link w:val="Style_49_ch"/>
    <w:uiPriority w:val="39"/>
    <w:pPr>
      <w:ind w:firstLine="0" w:left="1600"/>
    </w:pPr>
    <w:rPr>
      <w:rFonts w:ascii="XO Thames" w:hAnsi="XO Thames"/>
      <w:sz w:val="28"/>
    </w:rPr>
  </w:style>
  <w:style w:styleId="Style_49_ch" w:type="character">
    <w:name w:val="toc 9"/>
    <w:link w:val="Style_49"/>
    <w:rPr>
      <w:rFonts w:ascii="XO Thames" w:hAnsi="XO Thames"/>
      <w:sz w:val="28"/>
    </w:rPr>
  </w:style>
  <w:style w:styleId="Style_50" w:type="paragraph">
    <w:name w:val="Гиперссылка2"/>
    <w:link w:val="Style_50_ch"/>
    <w:rPr>
      <w:color w:val="0000FF"/>
      <w:u w:val="single"/>
    </w:rPr>
  </w:style>
  <w:style w:styleId="Style_50_ch" w:type="character">
    <w:name w:val="Гиперссылка2"/>
    <w:link w:val="Style_50"/>
    <w:rPr>
      <w:color w:val="0000FF"/>
      <w:u w:val="single"/>
    </w:rPr>
  </w:style>
  <w:style w:styleId="Style_51" w:type="paragraph">
    <w:name w:val="toc 8"/>
    <w:next w:val="Style_4"/>
    <w:link w:val="Style_51_ch"/>
    <w:uiPriority w:val="39"/>
    <w:pPr>
      <w:ind w:firstLine="0" w:left="1400"/>
    </w:pPr>
    <w:rPr>
      <w:rFonts w:ascii="XO Thames" w:hAnsi="XO Thames"/>
      <w:sz w:val="28"/>
    </w:rPr>
  </w:style>
  <w:style w:styleId="Style_51_ch" w:type="character">
    <w:name w:val="toc 8"/>
    <w:link w:val="Style_51"/>
    <w:rPr>
      <w:rFonts w:ascii="XO Thames" w:hAnsi="XO Thames"/>
      <w:sz w:val="28"/>
    </w:rPr>
  </w:style>
  <w:style w:styleId="Style_10" w:type="paragraph">
    <w:name w:val="ConsPlusNormal"/>
    <w:link w:val="Style_10_ch"/>
    <w:pPr>
      <w:widowControl w:val="0"/>
      <w:ind/>
    </w:pPr>
    <w:rPr>
      <w:sz w:val="22"/>
    </w:rPr>
  </w:style>
  <w:style w:styleId="Style_10_ch" w:type="character">
    <w:name w:val="ConsPlusNormal"/>
    <w:link w:val="Style_10"/>
    <w:rPr>
      <w:sz w:val="22"/>
    </w:rPr>
  </w:style>
  <w:style w:styleId="Style_52" w:type="paragraph">
    <w:name w:val="Обычный1"/>
    <w:link w:val="Style_52_ch"/>
    <w:rPr>
      <w:sz w:val="24"/>
    </w:rPr>
  </w:style>
  <w:style w:styleId="Style_52_ch" w:type="character">
    <w:name w:val="Обычный1"/>
    <w:link w:val="Style_52"/>
    <w:rPr>
      <w:sz w:val="24"/>
    </w:rPr>
  </w:style>
  <w:style w:styleId="Style_53" w:type="paragraph">
    <w:name w:val="No Spacing"/>
    <w:basedOn w:val="Style_4"/>
    <w:link w:val="Style_53_ch"/>
  </w:style>
  <w:style w:styleId="Style_53_ch" w:type="character">
    <w:name w:val="No Spacing"/>
    <w:basedOn w:val="Style_4_ch"/>
    <w:link w:val="Style_53"/>
  </w:style>
  <w:style w:styleId="Style_54" w:type="paragraph">
    <w:name w:val="toc 5"/>
    <w:next w:val="Style_4"/>
    <w:link w:val="Style_54_ch"/>
    <w:uiPriority w:val="39"/>
    <w:pPr>
      <w:ind w:firstLine="0" w:left="800"/>
    </w:pPr>
    <w:rPr>
      <w:rFonts w:ascii="XO Thames" w:hAnsi="XO Thames"/>
      <w:sz w:val="28"/>
    </w:rPr>
  </w:style>
  <w:style w:styleId="Style_54_ch" w:type="character">
    <w:name w:val="toc 5"/>
    <w:link w:val="Style_54"/>
    <w:rPr>
      <w:rFonts w:ascii="XO Thames" w:hAnsi="XO Thames"/>
      <w:sz w:val="28"/>
    </w:rPr>
  </w:style>
  <w:style w:styleId="Style_9" w:type="paragraph">
    <w:name w:val="Sub Heading"/>
    <w:link w:val="Style_9_ch"/>
    <w:pPr>
      <w:widowControl w:val="0"/>
      <w:spacing w:after="40" w:before="240"/>
      <w:ind/>
    </w:pPr>
    <w:rPr>
      <w:sz w:val="22"/>
    </w:rPr>
  </w:style>
  <w:style w:styleId="Style_9_ch" w:type="character">
    <w:name w:val="Sub Heading"/>
    <w:link w:val="Style_9"/>
    <w:rPr>
      <w:sz w:val="22"/>
    </w:rPr>
  </w:style>
  <w:style w:styleId="Style_13" w:type="paragraph">
    <w:name w:val="List Paragraph"/>
    <w:basedOn w:val="Style_4"/>
    <w:link w:val="Style_13_ch"/>
    <w:pPr>
      <w:ind w:firstLine="0" w:left="720"/>
      <w:contextualSpacing w:val="1"/>
    </w:pPr>
  </w:style>
  <w:style w:styleId="Style_13_ch" w:type="character">
    <w:name w:val="List Paragraph"/>
    <w:basedOn w:val="Style_4_ch"/>
    <w:link w:val="Style_13"/>
  </w:style>
  <w:style w:styleId="Style_55" w:type="paragraph">
    <w:name w:val="Гиперссылка1"/>
    <w:basedOn w:val="Style_23"/>
    <w:link w:val="Style_55_ch"/>
    <w:rPr>
      <w:color w:val="0563C1"/>
      <w:u w:val="single"/>
    </w:rPr>
  </w:style>
  <w:style w:styleId="Style_55_ch" w:type="character">
    <w:name w:val="Гиперссылка1"/>
    <w:basedOn w:val="Style_23_ch"/>
    <w:link w:val="Style_55"/>
    <w:rPr>
      <w:color w:val="0563C1"/>
      <w:u w:val="single"/>
    </w:rPr>
  </w:style>
  <w:style w:styleId="Style_56" w:type="paragraph">
    <w:name w:val="Выделение1"/>
    <w:basedOn w:val="Style_23"/>
    <w:link w:val="Style_56_ch"/>
    <w:rPr>
      <w:b w:val="1"/>
      <w:i w:val="1"/>
    </w:rPr>
  </w:style>
  <w:style w:styleId="Style_56_ch" w:type="character">
    <w:name w:val="Выделение1"/>
    <w:basedOn w:val="Style_23_ch"/>
    <w:link w:val="Style_56"/>
    <w:rPr>
      <w:b w:val="1"/>
      <w:i w:val="1"/>
    </w:rPr>
  </w:style>
  <w:style w:styleId="Style_57" w:type="paragraph">
    <w:name w:val="Слабое выделение1"/>
    <w:basedOn w:val="Style_23"/>
    <w:link w:val="Style_57_ch"/>
    <w:rPr>
      <w:i w:val="1"/>
      <w:color w:val="5A5A5A"/>
    </w:rPr>
  </w:style>
  <w:style w:styleId="Style_57_ch" w:type="character">
    <w:name w:val="Слабое выделение1"/>
    <w:basedOn w:val="Style_23_ch"/>
    <w:link w:val="Style_57"/>
    <w:rPr>
      <w:i w:val="1"/>
      <w:color w:val="5A5A5A"/>
    </w:rPr>
  </w:style>
  <w:style w:styleId="Style_8" w:type="paragraph">
    <w:name w:val="Subtitle"/>
    <w:basedOn w:val="Style_4"/>
    <w:next w:val="Style_4"/>
    <w:link w:val="Style_8_ch"/>
    <w:uiPriority w:val="11"/>
    <w:qFormat/>
    <w:pPr>
      <w:spacing w:after="60"/>
      <w:ind/>
      <w:jc w:val="center"/>
      <w:outlineLvl w:val="1"/>
    </w:pPr>
    <w:rPr>
      <w:rFonts w:ascii="Cambria" w:hAnsi="Cambria"/>
    </w:rPr>
  </w:style>
  <w:style w:styleId="Style_8_ch" w:type="character">
    <w:name w:val="Subtitle"/>
    <w:basedOn w:val="Style_4_ch"/>
    <w:link w:val="Style_8"/>
    <w:rPr>
      <w:rFonts w:ascii="Cambria" w:hAnsi="Cambria"/>
    </w:rPr>
  </w:style>
  <w:style w:styleId="Style_11" w:type="paragraph">
    <w:name w:val="Default"/>
    <w:link w:val="Style_11_ch"/>
    <w:rPr>
      <w:sz w:val="24"/>
    </w:rPr>
  </w:style>
  <w:style w:styleId="Style_11_ch" w:type="character">
    <w:name w:val="Default"/>
    <w:link w:val="Style_11"/>
    <w:rPr>
      <w:sz w:val="24"/>
    </w:rPr>
  </w:style>
  <w:style w:styleId="Style_58" w:type="paragraph">
    <w:name w:val="Title"/>
    <w:basedOn w:val="Style_4"/>
    <w:next w:val="Style_4"/>
    <w:link w:val="Style_58_ch"/>
    <w:uiPriority w:val="10"/>
    <w:qFormat/>
    <w:pPr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58_ch" w:type="character">
    <w:name w:val="Title"/>
    <w:basedOn w:val="Style_4_ch"/>
    <w:link w:val="Style_58"/>
    <w:rPr>
      <w:rFonts w:ascii="Cambria" w:hAnsi="Cambria"/>
      <w:b w:val="1"/>
      <w:sz w:val="32"/>
    </w:rPr>
  </w:style>
  <w:style w:styleId="Style_59" w:type="paragraph">
    <w:name w:val="heading 4"/>
    <w:basedOn w:val="Style_4"/>
    <w:next w:val="Style_4"/>
    <w:link w:val="Style_59_ch"/>
    <w:uiPriority w:val="9"/>
    <w:qFormat/>
    <w:pPr>
      <w:keepNext w:val="1"/>
      <w:spacing w:after="60" w:before="240"/>
      <w:ind/>
      <w:outlineLvl w:val="3"/>
    </w:pPr>
    <w:rPr>
      <w:b w:val="1"/>
      <w:sz w:val="28"/>
    </w:rPr>
  </w:style>
  <w:style w:styleId="Style_59_ch" w:type="character">
    <w:name w:val="heading 4"/>
    <w:basedOn w:val="Style_4_ch"/>
    <w:link w:val="Style_59"/>
    <w:rPr>
      <w:b w:val="1"/>
      <w:sz w:val="28"/>
    </w:rPr>
  </w:style>
  <w:style w:styleId="Style_60" w:type="paragraph">
    <w:name w:val="heading 2"/>
    <w:basedOn w:val="Style_4"/>
    <w:next w:val="Style_4"/>
    <w:link w:val="Style_60_ch"/>
    <w:uiPriority w:val="9"/>
    <w:qFormat/>
    <w:pPr>
      <w:keepNext w:val="1"/>
      <w:spacing w:after="60" w:before="240"/>
      <w:ind/>
      <w:outlineLvl w:val="1"/>
    </w:pPr>
    <w:rPr>
      <w:rFonts w:ascii="Cambria" w:hAnsi="Cambria"/>
      <w:b w:val="1"/>
      <w:i w:val="1"/>
      <w:sz w:val="28"/>
    </w:rPr>
  </w:style>
  <w:style w:styleId="Style_60_ch" w:type="character">
    <w:name w:val="heading 2"/>
    <w:basedOn w:val="Style_4_ch"/>
    <w:link w:val="Style_60"/>
    <w:rPr>
      <w:rFonts w:ascii="Cambria" w:hAnsi="Cambria"/>
      <w:b w:val="1"/>
      <w:i w:val="1"/>
      <w:sz w:val="28"/>
    </w:rPr>
  </w:style>
  <w:style w:styleId="Style_61" w:type="paragraph">
    <w:name w:val="heading 6"/>
    <w:basedOn w:val="Style_4"/>
    <w:next w:val="Style_4"/>
    <w:link w:val="Style_61_ch"/>
    <w:uiPriority w:val="9"/>
    <w:qFormat/>
    <w:pPr>
      <w:spacing w:after="60" w:before="240"/>
      <w:ind/>
      <w:outlineLvl w:val="5"/>
    </w:pPr>
    <w:rPr>
      <w:b w:val="1"/>
      <w:sz w:val="22"/>
    </w:rPr>
  </w:style>
  <w:style w:styleId="Style_61_ch" w:type="character">
    <w:name w:val="heading 6"/>
    <w:basedOn w:val="Style_4_ch"/>
    <w:link w:val="Style_61"/>
    <w:rPr>
      <w:b w:val="1"/>
      <w:sz w:val="22"/>
    </w:rPr>
  </w:style>
  <w:style w:styleId="Style_17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styles.xml" Type="http://schemas.openxmlformats.org/officeDocument/2006/relationships/styles"/>
  <Relationship Id="rId1" Target="footer1.xml" Type="http://schemas.openxmlformats.org/officeDocument/2006/relationships/footer"/>
  <Relationship Id="rId10" Target="numbering.xml" Type="http://schemas.openxmlformats.org/officeDocument/2006/relationships/numbering"/>
  <Relationship Id="rId2" Target="footer2.xml" Type="http://schemas.openxmlformats.org/officeDocument/2006/relationships/footer"/>
  <Relationship Id="rId3" Target="footer3.xml" Type="http://schemas.openxmlformats.org/officeDocument/2006/relationships/footer"/>
  <Relationship Id="rId8" Target="webSettings.xml" Type="http://schemas.openxmlformats.org/officeDocument/2006/relationships/webSettings"/>
  <Relationship Id="rId4" Target="fontTable.xml" Type="http://schemas.openxmlformats.org/officeDocument/2006/relationships/fontTable"/>
  <Relationship Id="rId9" Target="theme/theme1.xml" Type="http://schemas.openxmlformats.org/officeDocument/2006/relationships/theme"/>
  <Relationship Id="rId7" Target="stylesWithEffects.xml" Type="http://schemas.microsoft.com/office/2007/relationships/stylesWithEffects"/>
  <Relationship Id="rId5" Target="settings.xml" Type="http://schemas.openxmlformats.org/officeDocument/2006/relationships/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2024-11-22T10:24:59Z</dcterms:modified>
</cp:coreProperties>
</file>