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spacing w:before="1320"/>
        <w:ind w:firstLine="283" w:left="-283"/>
        <w:jc w:val="center"/>
        <w:rPr>
          <w:b w:val="1"/>
          <w:sz w:val="32"/>
        </w:rPr>
      </w:pPr>
      <w:r>
        <w:rPr>
          <w:b w:val="1"/>
          <w:sz w:val="34"/>
        </w:rPr>
        <w:t xml:space="preserve"> </w:t>
      </w:r>
      <w:r>
        <w:rPr>
          <w:b w:val="1"/>
          <w:sz w:val="32"/>
        </w:rPr>
        <w:t>ИЗМЕНЕНИЕ (КОРРЕКТИРОВКА) ИНФОРМАЦИИ, СОДЕРЖАЩЕЙСЯ В ОТЧЕТЕ ЭМИТЕНТА ЭМИССИОННЫХ ЦЕННЫХ БУМАГ</w:t>
      </w:r>
    </w:p>
    <w:p w14:paraId="04000000">
      <w:pPr>
        <w:ind/>
        <w:jc w:val="center"/>
        <w:rPr>
          <w:sz w:val="32"/>
        </w:rPr>
      </w:pPr>
      <w:r>
        <w:rPr>
          <w:b w:val="1"/>
          <w:i w:val="1"/>
          <w:sz w:val="32"/>
        </w:rPr>
        <w:t xml:space="preserve">Публичного акционерного общества </w:t>
      </w:r>
    </w:p>
    <w:p w14:paraId="05000000">
      <w:pPr>
        <w:ind/>
        <w:jc w:val="center"/>
        <w:rPr>
          <w:sz w:val="32"/>
        </w:rPr>
      </w:pPr>
      <w:r>
        <w:rPr>
          <w:b w:val="1"/>
          <w:i w:val="1"/>
          <w:sz w:val="32"/>
        </w:rPr>
        <w:t>«Северное управление строительства»</w:t>
      </w:r>
    </w:p>
    <w:p w14:paraId="06000000">
      <w:pPr>
        <w:spacing w:after="360"/>
        <w:ind/>
        <w:jc w:val="center"/>
      </w:pPr>
      <w:r>
        <w:t>(полное фирменное наименование (для коммерческой организации</w:t>
      </w:r>
      <w:r>
        <w:t>)</w:t>
      </w: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425"/>
        <w:gridCol w:w="3686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7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368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8000000">
            <w:pPr>
              <w:ind/>
              <w:jc w:val="center"/>
              <w:rPr>
                <w:sz w:val="32"/>
              </w:rPr>
            </w:pPr>
            <w:r>
              <w:rPr>
                <w:sz w:val="32"/>
              </w:rPr>
              <w:t xml:space="preserve">12 </w:t>
            </w:r>
            <w:r>
              <w:rPr>
                <w:sz w:val="32"/>
              </w:rPr>
              <w:t>месяцев 202</w:t>
            </w:r>
            <w:r>
              <w:rPr>
                <w:sz w:val="32"/>
              </w:rPr>
              <w:t>3</w:t>
            </w:r>
            <w:r>
              <w:rPr>
                <w:sz w:val="32"/>
              </w:rPr>
              <w:t xml:space="preserve">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</w:tr>
    </w:tbl>
    <w:p w14:paraId="09000000">
      <w:pPr>
        <w:spacing w:after="360"/>
        <w:ind/>
        <w:jc w:val="center"/>
      </w:pPr>
    </w:p>
    <w:tbl>
      <w:tblPr>
        <w:tblStyle w:val="Style_2"/>
        <w:tblW w:type="auto" w:w="0"/>
        <w:tblInd w:type="dxa" w:w="2552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325"/>
        <w:gridCol w:w="3686"/>
      </w:tblGrid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A000000">
            <w:pPr>
              <w:rPr>
                <w:b w:val="1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 xml:space="preserve">ОД </w:t>
            </w:r>
            <w:r>
              <w:rPr>
                <w:b w:val="1"/>
                <w:sz w:val="25"/>
              </w:rPr>
              <w:t>ЭМИТЕНТА:</w:t>
            </w:r>
          </w:p>
        </w:tc>
        <w:tc>
          <w:tcPr>
            <w:tcW w:type="dxa" w:w="368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B000000">
            <w:pPr>
              <w:ind/>
              <w:jc w:val="center"/>
            </w:pPr>
            <w:r>
              <w:rPr>
                <w:b w:val="1"/>
                <w:color w:val="000000"/>
                <w:sz w:val="22"/>
              </w:rPr>
              <w:t>04739-</w:t>
            </w:r>
            <w:r>
              <w:rPr>
                <w:b w:val="1"/>
                <w:color w:val="000000"/>
                <w:sz w:val="22"/>
              </w:rPr>
              <w:t>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0C000000">
            <w:pPr>
              <w:ind/>
              <w:jc w:val="center"/>
            </w:pPr>
            <w:r>
              <w:t>(уникальный код эмитента)</w:t>
            </w:r>
          </w:p>
        </w:tc>
      </w:tr>
    </w:tbl>
    <w:p w14:paraId="0D000000">
      <w:pPr>
        <w:ind w:firstLine="0" w:left="2520"/>
      </w:pP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3119"/>
        <w:gridCol w:w="6067"/>
        <w:gridCol w:w="227"/>
      </w:tblGrid>
      <w:tr>
        <w:tc>
          <w:tcPr>
            <w:tcW w:type="dxa" w:w="311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E000000">
            <w:pPr>
              <w:pageBreakBefore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1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2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3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6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7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8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(последнее при наличии)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9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C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119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D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00"/>
        </w:trPr>
        <w:tc>
          <w:tcPr>
            <w:tcW w:type="dxa" w:w="311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270"/>
        </w:trPr>
        <w:tc>
          <w:tcPr>
            <w:tcW w:type="dxa" w:w="3119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2000000">
            <w:pPr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3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227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4000000">
            <w:pPr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5000000">
      <w:pPr>
        <w:rPr>
          <w:rFonts w:ascii="Times New Roman" w:hAnsi="Times New Roman"/>
        </w:rPr>
      </w:pP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2892"/>
        <w:gridCol w:w="200"/>
        <w:gridCol w:w="6067"/>
        <w:gridCol w:w="227"/>
        <w:gridCol w:w="8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6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0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7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8000000">
            <w:pPr>
              <w:ind/>
              <w:jc w:val="cent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disclosure.1prime.ru/Portal/Default.aspx?emId=4714000211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9000000">
            <w:pPr>
              <w:rPr>
                <w:rFonts w:ascii="Times New Roman" w:hAnsi="Times New Roman"/>
              </w:rPr>
            </w:pPr>
          </w:p>
        </w:tc>
        <w:tc>
          <w:tcPr>
            <w:tcW w:type="dxa" w:w="8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490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/>
        </w:tc>
        <w:tc>
          <w:tcPr>
            <w:tcW w:type="dxa" w:w="6502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2A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2B000000">
      <w:pPr>
        <w:rPr>
          <w:rFonts w:ascii="Times New Roman" w:hAnsi="Times New Roman"/>
        </w:rPr>
      </w:pP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113"/>
      </w:tblGrid>
      <w:tr>
        <w:trPr>
          <w:trHeight w:hRule="atLeast" w:val="433"/>
        </w:trPr>
        <w:tc>
          <w:tcPr>
            <w:tcW w:type="dxa" w:w="16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ind w:firstLine="0"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F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0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Д</w:t>
            </w:r>
            <w:r>
              <w:rPr>
                <w:rFonts w:ascii="Times New Roman" w:hAnsi="Times New Roman"/>
                <w:b w:val="1"/>
              </w:rPr>
              <w:t>.</w:t>
            </w:r>
            <w:r>
              <w:rPr>
                <w:rFonts w:ascii="Times New Roman" w:hAnsi="Times New Roman"/>
                <w:b w:val="1"/>
              </w:rPr>
              <w:t>Ю</w:t>
            </w:r>
            <w:r>
              <w:rPr>
                <w:rFonts w:ascii="Times New Roman" w:hAnsi="Times New Roman"/>
                <w:b w:val="1"/>
              </w:rPr>
              <w:t>.</w:t>
            </w:r>
            <w:r>
              <w:rPr>
                <w:rFonts w:ascii="Times New Roman" w:hAnsi="Times New Roman"/>
                <w:b w:val="1"/>
              </w:rPr>
              <w:t xml:space="preserve"> </w:t>
            </w:r>
            <w:r>
              <w:rPr>
                <w:rFonts w:ascii="Times New Roman" w:hAnsi="Times New Roman"/>
                <w:b w:val="1"/>
              </w:rPr>
              <w:t xml:space="preserve">Волгин </w:t>
            </w:r>
          </w:p>
        </w:tc>
        <w:tc>
          <w:tcPr>
            <w:tcW w:type="dxa" w:w="113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16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3000000">
            <w:pPr>
              <w:ind w:firstLine="0"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4000000">
            <w:pPr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</w:t>
            </w:r>
            <w:r>
              <w:rPr>
                <w:rFonts w:ascii="Times New Roman" w:hAnsi="Times New Roman"/>
                <w:spacing w:val="-4"/>
                <w:sz w:val="20"/>
              </w:rPr>
              <w:t>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5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6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7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8000000">
            <w:pPr>
              <w:ind/>
              <w:jc w:val="center"/>
              <w:rPr>
                <w:rFonts w:ascii="Times New Roman" w:hAnsi="Times New Roman"/>
                <w:spacing w:val="-4"/>
                <w:sz w:val="22"/>
              </w:rPr>
            </w:pPr>
            <w:r>
              <w:rPr>
                <w:rFonts w:ascii="Times New Roman" w:hAnsi="Times New Roman"/>
                <w:spacing w:val="-4"/>
                <w:sz w:val="22"/>
              </w:rPr>
              <w:t>(И.О. Фамилия)</w:t>
            </w:r>
          </w:p>
        </w:tc>
        <w:tc>
          <w:tcPr>
            <w:tcW w:type="dxa" w:w="113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top"/>
          </w:tcPr>
          <w:p w14:paraId="39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c>
          <w:tcPr>
            <w:tcW w:type="dxa" w:w="311"/>
            <w:gridSpan w:val="2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A000000">
            <w:pPr>
              <w:ind w:firstLine="0"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B000000">
            <w:r>
              <w:t>22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C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D000000">
            <w:r>
              <w:t>ноября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E000000">
            <w:pPr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type="dxa" w:w="6039"/>
            <w:gridSpan w:val="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pPr>
              <w:ind w:firstLine="0"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</w:tbl>
    <w:p w14:paraId="41000000"/>
    <w:p w14:paraId="42000000"/>
    <w:p w14:paraId="43000000"/>
    <w:p w14:paraId="44000000"/>
    <w:p w14:paraId="45000000"/>
    <w:p w14:paraId="46000000"/>
    <w:p w14:paraId="47000000"/>
    <w:p w14:paraId="48000000"/>
    <w:p w14:paraId="49000000"/>
    <w:p w14:paraId="4A000000"/>
    <w:p w14:paraId="4B000000">
      <w:pPr>
        <w:pStyle w:val="Style_3"/>
        <w:ind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 xml:space="preserve">Пояснения </w:t>
      </w:r>
    </w:p>
    <w:p w14:paraId="4C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Настоящий документ публикуется Публичным акционерным обществом «Северное управление строительства (далее – «Эмитент») в порядке изменения (корректировки) информации, содержащейся в ранее опубликованном отчете Эмитента за 12 месяцев 2023 года (далее – «Отчет»). </w:t>
      </w:r>
      <w:r>
        <w:rPr>
          <w:rFonts w:ascii="Times New Roman" w:hAnsi="Times New Roman"/>
          <w:b w:val="0"/>
          <w:sz w:val="28"/>
        </w:rPr>
        <w:tab/>
      </w:r>
      <w:r>
        <w:rPr>
          <w:rFonts w:ascii="Times New Roman" w:hAnsi="Times New Roman"/>
          <w:b w:val="0"/>
          <w:sz w:val="28"/>
        </w:rPr>
        <w:t>Изменения (корректировка) осуществляются на основании Предписания Банка России от 31 октября 2024 года № Т2-50-3/33451.</w:t>
      </w:r>
    </w:p>
    <w:p w14:paraId="4D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 </w:t>
      </w:r>
      <w:r>
        <w:rPr>
          <w:rFonts w:ascii="Times New Roman" w:hAnsi="Times New Roman"/>
          <w:b w:val="0"/>
          <w:sz w:val="28"/>
        </w:rPr>
        <w:t xml:space="preserve">Ссылка на ранее опубликованный Отчет, информация в котором изменяется (корректируется):   </w:t>
      </w:r>
    </w:p>
    <w:p w14:paraId="4E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Style w:val="Style_4_ch"/>
          <w:rFonts w:ascii="Times New Roman" w:hAnsi="Times New Roman"/>
          <w:b w:val="0"/>
          <w:sz w:val="28"/>
        </w:rPr>
        <w:fldChar w:fldCharType="begin"/>
      </w:r>
      <w:r>
        <w:rPr>
          <w:rStyle w:val="Style_4_ch"/>
          <w:rFonts w:ascii="Times New Roman" w:hAnsi="Times New Roman"/>
          <w:b w:val="0"/>
          <w:sz w:val="28"/>
        </w:rPr>
        <w:instrText>HYPERLINK "http://disclosure.1prime.ru/Portal/GetDocument.aspx?emId=4714000211&amp;docId=08662d3a50e64d779cbc37037fcb8f08"</w:instrText>
      </w:r>
      <w:r>
        <w:rPr>
          <w:rStyle w:val="Style_4_ch"/>
          <w:rFonts w:ascii="Times New Roman" w:hAnsi="Times New Roman"/>
          <w:b w:val="0"/>
          <w:sz w:val="28"/>
        </w:rPr>
        <w:fldChar w:fldCharType="separate"/>
      </w:r>
      <w:r>
        <w:rPr>
          <w:rStyle w:val="Style_4_ch"/>
          <w:rFonts w:ascii="Times New Roman" w:hAnsi="Times New Roman"/>
          <w:b w:val="0"/>
          <w:sz w:val="28"/>
        </w:rPr>
        <w:t>h</w:t>
      </w:r>
      <w:r>
        <w:rPr>
          <w:rStyle w:val="Style_4_ch"/>
          <w:rFonts w:ascii="Times New Roman" w:hAnsi="Times New Roman"/>
          <w:b w:val="0"/>
          <w:sz w:val="28"/>
        </w:rPr>
        <w:t>ttp://disclosure.1prime.ru/Portal/GetDocument.aspx?emId=4714000211&amp;docId=08662d3a50e64d779cbc37037fcb8f08</w:t>
      </w:r>
      <w:r>
        <w:rPr>
          <w:rStyle w:val="Style_4_ch"/>
          <w:rFonts w:ascii="Times New Roman" w:hAnsi="Times New Roman"/>
          <w:b w:val="0"/>
          <w:sz w:val="28"/>
        </w:rPr>
        <w:fldChar w:fldCharType="end"/>
      </w:r>
      <w:r>
        <w:rPr>
          <w:rFonts w:ascii="Times New Roman" w:hAnsi="Times New Roman"/>
          <w:b w:val="0"/>
          <w:sz w:val="28"/>
        </w:rPr>
        <w:t xml:space="preserve">, </w:t>
      </w:r>
      <w:r>
        <w:rPr>
          <w:rFonts w:ascii="Times New Roman" w:hAnsi="Times New Roman"/>
          <w:b w:val="1"/>
          <w:sz w:val="28"/>
        </w:rPr>
        <w:t xml:space="preserve"> </w:t>
      </w:r>
    </w:p>
    <w:p w14:paraId="4F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 Изменения (корректировка) осуществляются в связи с необходимостью устранения выявленных и отмеченных в предписании нарушений в Отчете эмитента за 12 месяцев 2023 г. в, в том числе включения в Отчет недостающей информации, в соответствии с  требованиям Положения Банка России от 27 марта 2020 года № 714-П «О раскрытии информации эмитентами эмиссионных ценных бумаг» (далее – «Положение № 714-П»). </w:t>
      </w:r>
    </w:p>
    <w:p w14:paraId="50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 xml:space="preserve">Краткое описание внесенных изменений:  </w:t>
      </w:r>
    </w:p>
    <w:p w14:paraId="51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</w:rPr>
        <w:t xml:space="preserve">1. Исправлена нумерация в </w:t>
      </w:r>
      <w:r>
        <w:rPr>
          <w:rFonts w:ascii="Times New Roman" w:hAnsi="Times New Roman"/>
          <w:b w:val="1"/>
          <w:i w:val="0"/>
          <w:caps w:val="0"/>
          <w:color w:val="000000"/>
          <w:spacing w:val="0"/>
          <w:sz w:val="28"/>
          <w:highlight w:val="white"/>
        </w:rPr>
        <w:t>Оглавлении</w:t>
      </w: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  <w:highlight w:val="white"/>
        </w:rPr>
        <w:t xml:space="preserve"> Отчета эмитента, добавлены пункты 1.3-1.9 в разделе 1 и «введение», исправлены номера соответствующих страниц,  Техническая ошибка.</w:t>
      </w:r>
    </w:p>
    <w:p w14:paraId="52000000">
      <w:pPr>
        <w:ind w:firstLine="0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2. В разделе </w:t>
      </w:r>
      <w:r>
        <w:rPr>
          <w:rFonts w:ascii="Times New Roman" w:hAnsi="Times New Roman"/>
          <w:b w:val="1"/>
          <w:i w:val="0"/>
          <w:color w:val="000000"/>
          <w:sz w:val="28"/>
        </w:rPr>
        <w:t>«Введение»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 абзац 1-2 добавлены основания возникновения у эмитента обязанности осуществлять раскрытие информации в форме отчета эмитента.</w:t>
      </w:r>
    </w:p>
    <w:p w14:paraId="53000000">
      <w:pPr>
        <w:ind w:firstLine="0" w:left="283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3.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Раздел 1:</w:t>
      </w:r>
    </w:p>
    <w:p w14:paraId="54000000">
      <w:pPr>
        <w:ind w:firstLine="426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п.1.1. добавлено краткое описание финансово-хозяйственной деятельности , операционных сегментов и географии осуществления финансово-хозяйственной деятельности эмитента, а также об отсутствии </w:t>
      </w:r>
      <w:r>
        <w:rPr>
          <w:rFonts w:ascii="Times New Roman" w:hAnsi="Times New Roman"/>
          <w:b w:val="0"/>
          <w:i w:val="0"/>
          <w:color w:val="000000"/>
          <w:sz w:val="28"/>
        </w:rPr>
        <w:t>о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граничений , связанных с участием в уставном капитале  эмитента. </w:t>
      </w:r>
    </w:p>
    <w:p w14:paraId="55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     п.1.2.       </w:t>
      </w:r>
      <w:r>
        <w:rPr>
          <w:rFonts w:ascii="Times New Roman" w:hAnsi="Times New Roman"/>
          <w:b w:val="0"/>
          <w:i w:val="0"/>
          <w:color w:val="000000"/>
          <w:sz w:val="28"/>
        </w:rPr>
        <w:t>д</w:t>
      </w:r>
      <w:r>
        <w:rPr>
          <w:rFonts w:ascii="Times New Roman" w:hAnsi="Times New Roman"/>
          <w:b w:val="0"/>
          <w:i w:val="0"/>
          <w:color w:val="000000"/>
          <w:sz w:val="28"/>
        </w:rPr>
        <w:t>обавлены сведения о положении эмитента в отрасли .</w:t>
      </w:r>
    </w:p>
    <w:p w14:paraId="56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aps w:val="0"/>
          <w:color w:val="000000"/>
          <w:spacing w:val="0"/>
          <w:sz w:val="28"/>
        </w:rPr>
        <w:t xml:space="preserve"> в п.1.3.  добавлен описательный анализ динамики изменений приведенных показателей операционной деятельности эмитента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. </w:t>
      </w:r>
    </w:p>
    <w:p w14:paraId="57000000">
      <w:pPr>
        <w:ind w:firstLine="425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п. 1.5, 1.6- откорректированы наименования пунктов. Техническая ошибка.</w:t>
      </w:r>
    </w:p>
    <w:p w14:paraId="58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4.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Раздел 2 :</w:t>
      </w:r>
    </w:p>
    <w:p w14:paraId="59000000">
      <w:pPr>
        <w:ind w:firstLine="284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F3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п.2.1. </w:t>
      </w:r>
      <w:r>
        <w:rPr>
          <w:rFonts w:ascii="Times New Roman" w:hAnsi="Times New Roman"/>
          <w:b w:val="0"/>
          <w:i w:val="0"/>
          <w:color w:val="000000"/>
          <w:sz w:val="28"/>
        </w:rPr>
        <w:t>дополнен недостающими сведениями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информация о лицах, входящих в состав органов управления эмитента :</w:t>
      </w:r>
    </w:p>
    <w:p w14:paraId="5A000000">
      <w:pPr>
        <w:ind w:firstLine="425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-о квалификации и специальности Яценко Е.А., Трофимовой И.Л., Улокиной Е.В. ,</w:t>
      </w:r>
    </w:p>
    <w:p w14:paraId="5B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-о периодах , в течении которого Глазырин А.В., Трофимова И.Л., Улокина Е.В. и Николаева Е.В. занимают свои должности,</w:t>
      </w:r>
    </w:p>
    <w:p w14:paraId="5C000000">
      <w:pPr>
        <w:ind w:firstLine="425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-о всех должностях, которые единоличный исполнительный орган эмитента– Волгин Д.Ю., занимает и занимал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в органах управления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эмитента и в </w:t>
      </w:r>
      <w:r>
        <w:rPr>
          <w:rFonts w:ascii="Times New Roman" w:hAnsi="Times New Roman"/>
          <w:b w:val="0"/>
          <w:i w:val="0"/>
          <w:color w:val="000000"/>
          <w:sz w:val="28"/>
        </w:rPr>
        <w:t>других организаций за последние 3 года,</w:t>
      </w:r>
    </w:p>
    <w:p w14:paraId="5D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– о количестве акций эмитента, которые могут быть приобретены каждым лицом из совета директоров и единоличного исп.органа  в результате конвертации- 0;</w:t>
      </w:r>
    </w:p>
    <w:p w14:paraId="5E000000">
      <w:pPr>
        <w:numPr>
          <w:numId w:val="1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 доле участия лиц, входящих  в состав совета директоров эмитента в уставном капитале подконтрольных эмитенту организаций-0;</w:t>
      </w:r>
    </w:p>
    <w:p w14:paraId="5F000000">
      <w:pPr>
        <w:numPr>
          <w:numId w:val="2"/>
        </w:numPr>
        <w:ind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 совершении лицами, входящими в состав совета директоров сделок по приобретению или отчуждению акций эмитента - не совершались,</w:t>
      </w:r>
    </w:p>
    <w:p w14:paraId="60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-о участии в работе комитетов совета директоров – </w:t>
      </w:r>
      <w:r>
        <w:rPr>
          <w:rFonts w:ascii="Times New Roman" w:hAnsi="Times New Roman"/>
          <w:b w:val="0"/>
          <w:i w:val="1"/>
          <w:color w:val="000000"/>
          <w:sz w:val="28"/>
        </w:rPr>
        <w:t>комитетов не создавалось</w:t>
      </w:r>
      <w:r>
        <w:rPr>
          <w:rFonts w:ascii="Times New Roman" w:hAnsi="Times New Roman"/>
          <w:b w:val="0"/>
          <w:i w:val="1"/>
          <w:color w:val="000000"/>
          <w:sz w:val="28"/>
        </w:rPr>
        <w:t>,</w:t>
      </w:r>
    </w:p>
    <w:p w14:paraId="61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п.2.2  </w:t>
      </w:r>
      <w:r>
        <w:rPr>
          <w:rFonts w:ascii="Times New Roman" w:hAnsi="Times New Roman"/>
          <w:b w:val="0"/>
          <w:i w:val="0"/>
          <w:color w:val="000000"/>
          <w:sz w:val="28"/>
        </w:rPr>
        <w:t>добавлено о наличии политики в области вознаграждения органов управления эмитента;</w:t>
      </w:r>
    </w:p>
    <w:p w14:paraId="62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п.2.3. добавлено описание организации в эмитенте управления рисками, контроля за финансово-хозяйственной деятельностью; </w:t>
      </w:r>
    </w:p>
    <w:p w14:paraId="63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п.2.4. добавлены сведения о квалификации членов ревизионной комиссии и ответственного за  внутренний аудит,  а также об отсутствии  долей их участия в уставном капитале;</w:t>
      </w:r>
    </w:p>
    <w:p w14:paraId="64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п.п.2.1,2.3-2.5  указана информация об отсутствии изменений за период с 31.12.2023 и датой раскрытия финансовой отчентости.</w:t>
      </w:r>
    </w:p>
    <w:p w14:paraId="65000000">
      <w:pPr>
        <w:ind w:firstLine="283" w:left="0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5. </w:t>
      </w:r>
      <w:r>
        <w:rPr>
          <w:rFonts w:ascii="Times New Roman" w:hAnsi="Times New Roman"/>
          <w:b w:val="1"/>
          <w:i w:val="0"/>
          <w:color w:val="000000"/>
          <w:sz w:val="28"/>
        </w:rPr>
        <w:t>Раздел 3 :</w:t>
      </w:r>
    </w:p>
    <w:p w14:paraId="66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п.3.1. добавлена информация об отсутствии акций, приобретенных и (или) выкупленных эмитентом, и (или) поступивших в его распоряжение на 31.12.2023 г; </w:t>
      </w:r>
    </w:p>
    <w:p w14:paraId="67000000">
      <w:pPr>
        <w:ind w:firstLine="283" w:left="283" w:right="171"/>
        <w:jc w:val="both"/>
        <w:rPr>
          <w:rFonts w:ascii="Times New Roman" w:hAnsi="Times New Roman"/>
          <w:b w:val="0"/>
          <w:i w:val="1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в п.3.2.  </w:t>
      </w:r>
      <w:r>
        <w:rPr>
          <w:rFonts w:ascii="Times New Roman" w:hAnsi="Times New Roman"/>
          <w:b w:val="0"/>
          <w:i w:val="0"/>
          <w:color w:val="000000"/>
          <w:sz w:val="28"/>
        </w:rPr>
        <w:t>и</w:t>
      </w:r>
      <w:r>
        <w:rPr>
          <w:rFonts w:ascii="Times New Roman" w:hAnsi="Times New Roman"/>
          <w:b w:val="0"/>
          <w:i w:val="0"/>
          <w:color w:val="000000"/>
          <w:sz w:val="28"/>
        </w:rPr>
        <w:t>нфор</w:t>
      </w:r>
      <w:r>
        <w:rPr>
          <w:rFonts w:ascii="Times New Roman" w:hAnsi="Times New Roman"/>
          <w:b w:val="0"/>
          <w:i w:val="0"/>
          <w:color w:val="000000"/>
          <w:sz w:val="28"/>
        </w:rPr>
        <w:t>мация  об акционерах эмитентов, владеющих не менее чем 5 % его уставного капитала</w:t>
      </w:r>
      <w:r>
        <w:rPr>
          <w:rFonts w:ascii="Times New Roman" w:hAnsi="Times New Roman"/>
          <w:b w:val="0"/>
          <w:i w:val="0"/>
          <w:color w:val="000000"/>
          <w:sz w:val="28"/>
        </w:rPr>
        <w:t>, откорректирована.</w:t>
      </w:r>
      <w:r>
        <w:rPr>
          <w:rFonts w:ascii="Times New Roman" w:hAnsi="Times New Roman"/>
          <w:b w:val="0"/>
          <w:i w:val="1"/>
          <w:color w:val="000000"/>
          <w:sz w:val="28"/>
        </w:rPr>
        <w:t xml:space="preserve"> </w:t>
      </w:r>
      <w:r>
        <w:rPr>
          <w:rFonts w:ascii="Times New Roman" w:hAnsi="Times New Roman"/>
          <w:b w:val="0"/>
          <w:i w:val="1"/>
          <w:color w:val="000000"/>
          <w:sz w:val="28"/>
        </w:rPr>
        <w:t>О</w:t>
      </w:r>
      <w:r>
        <w:rPr>
          <w:rFonts w:ascii="Times New Roman" w:hAnsi="Times New Roman"/>
          <w:b w:val="0"/>
          <w:i w:val="1"/>
          <w:color w:val="000000"/>
          <w:sz w:val="28"/>
        </w:rPr>
        <w:t>шибка из-за неверной интерпритации запрашиваемой информации.</w:t>
      </w:r>
    </w:p>
    <w:p w14:paraId="68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п.3.3.  внесены сведения об отсутствии доли уставного капитал эмитента , находящейся в государственной собственности.</w:t>
      </w:r>
    </w:p>
    <w:p w14:paraId="69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в п.п.3.1-3.3 указана информация об отсутствии изменений за период с 31.12.2023 и датой раскрытия финансовой отчетности.</w:t>
      </w:r>
    </w:p>
    <w:p w14:paraId="6A000000">
      <w:pPr>
        <w:ind w:hanging="425" w:left="709" w:right="171"/>
        <w:jc w:val="both"/>
        <w:rPr>
          <w:rFonts w:ascii="Times New Roman" w:hAnsi="Times New Roman"/>
          <w:b w:val="1"/>
          <w:i w:val="0"/>
          <w:color w:val="000000"/>
          <w:sz w:val="28"/>
        </w:rPr>
      </w:pPr>
      <w:r>
        <w:rPr>
          <w:rFonts w:ascii="Times New Roman" w:hAnsi="Times New Roman"/>
          <w:b w:val="1"/>
          <w:i w:val="0"/>
          <w:color w:val="F3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>6.</w:t>
      </w:r>
      <w:r>
        <w:rPr>
          <w:rFonts w:ascii="Times New Roman" w:hAnsi="Times New Roman"/>
          <w:b w:val="1"/>
          <w:i w:val="0"/>
          <w:color w:val="000000"/>
          <w:sz w:val="28"/>
        </w:rPr>
        <w:t xml:space="preserve"> Раздел 4 :</w:t>
      </w:r>
    </w:p>
    <w:p w14:paraId="6B000000">
      <w:pPr>
        <w:ind w:firstLine="0" w:left="709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>Откорректировано наименование п.4.2. Техническая ошибка.</w:t>
      </w:r>
    </w:p>
    <w:p w14:paraId="6C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 </w:t>
      </w:r>
      <w:r>
        <w:rPr>
          <w:rFonts w:ascii="Times New Roman" w:hAnsi="Times New Roman"/>
          <w:b w:val="0"/>
          <w:i w:val="0"/>
          <w:color w:val="000000"/>
          <w:sz w:val="28"/>
        </w:rPr>
        <w:t>В п.4.6 добавлены виды отчетности, в отношении которых аудитором проводилась (будет проводится) проверка отчетности эмитента, об отсутствии оказания эмитенту  сопутствующих услуг.,</w:t>
      </w:r>
    </w:p>
    <w:p w14:paraId="6D000000">
      <w:pPr>
        <w:ind w:firstLine="283" w:left="283" w:right="171"/>
        <w:jc w:val="both"/>
        <w:rPr>
          <w:rFonts w:ascii="Times New Roman" w:hAnsi="Times New Roman"/>
          <w:b w:val="0"/>
          <w:i w:val="0"/>
          <w:color w:val="000000"/>
          <w:sz w:val="28"/>
        </w:rPr>
      </w:pPr>
      <w:r>
        <w:rPr>
          <w:rFonts w:ascii="Times New Roman" w:hAnsi="Times New Roman"/>
          <w:b w:val="0"/>
          <w:i w:val="0"/>
          <w:color w:val="000000"/>
          <w:sz w:val="28"/>
        </w:rPr>
        <w:t xml:space="preserve"> 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в</w:t>
      </w:r>
      <w:r>
        <w:rPr>
          <w:rFonts w:ascii="Times New Roman" w:hAnsi="Times New Roman"/>
          <w:b w:val="0"/>
          <w:i w:val="0"/>
          <w:color w:val="000000"/>
          <w:sz w:val="28"/>
        </w:rPr>
        <w:t xml:space="preserve"> п.п.</w:t>
      </w:r>
      <w:r>
        <w:rPr>
          <w:rFonts w:ascii="Times New Roman" w:hAnsi="Times New Roman"/>
          <w:b w:val="0"/>
          <w:i w:val="0"/>
          <w:color w:val="000000"/>
          <w:sz w:val="28"/>
        </w:rPr>
        <w:t>4.1, 4.3, 4.5, 4.6 указана информация об отсутствии изменений за период с 31.12.2023 и датой раскрытия финансовой отчетности.</w:t>
      </w:r>
    </w:p>
    <w:p w14:paraId="6E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</w:p>
    <w:p w14:paraId="6F000000">
      <w:pPr>
        <w:ind w:firstLine="567" w:left="0"/>
        <w:jc w:val="both"/>
        <w:outlineLvl w:val="8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В соответствии с абзацем 1 пункта 1.16 и п.12.4 Положения № 714-П  полный текст документа, содержащего измененную (скорректированную)  информацию опубликован на странице в сети Интернет :</w:t>
      </w:r>
    </w:p>
    <w:tbl>
      <w:tblPr>
        <w:tblStyle w:val="Style_2"/>
        <w:tblW w:type="auto" w:w="0"/>
        <w:tblLayout w:type="fixed"/>
        <w:tblCellMar>
          <w:top w:type="dxa" w:w="0"/>
          <w:left w:type="dxa" w:w="28"/>
          <w:bottom w:type="dxa" w:w="0"/>
          <w:right w:type="dxa" w:w="28"/>
        </w:tblCellMar>
      </w:tblPr>
      <w:tblGrid>
        <w:gridCol w:w="7881"/>
      </w:tblGrid>
      <w:tr>
        <w:tc>
          <w:tcPr>
            <w:tcW w:type="dxa" w:w="7881"/>
            <w:tcBorders>
              <w:top w:color="000000" w:sz="4" w:val="nil"/>
              <w:left w:color="000000" w:sz="4" w:val="nil"/>
              <w:bottom w:color="000000" w:sz="4" w:val="nil"/>
              <w:right w:color="000000" w:sz="4" w:val="nil"/>
              <w:tl2br w:color="000000" w:sz="4" w:val="nil"/>
              <w:tr2bl w:color="000000"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70000000">
            <w:pPr>
              <w:ind/>
              <w:jc w:val="left"/>
              <w:rPr>
                <w:rFonts w:ascii="Times New Roman" w:hAnsi="Times New Roman"/>
                <w:b w:val="0"/>
                <w:sz w:val="28"/>
              </w:rPr>
            </w:pPr>
            <w:r>
              <w:rPr>
                <w:rFonts w:ascii="Times New Roman" w:hAnsi="Times New Roman"/>
                <w:b w:val="0"/>
                <w:sz w:val="28"/>
              </w:rPr>
              <w:t>disclosure.1prime.ru/Portal/Default.aspx?emId=4714000211</w:t>
            </w:r>
          </w:p>
        </w:tc>
      </w:tr>
    </w:tbl>
    <w:p w14:paraId="71000000">
      <w:pPr>
        <w:pStyle w:val="Style_3"/>
        <w:ind w:firstLine="567" w:left="0"/>
        <w:jc w:val="both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в разделе Отчет эмитента за 12 мес .</w:t>
      </w:r>
    </w:p>
    <w:p w14:paraId="72000000">
      <w:pPr>
        <w:pStyle w:val="Style_3"/>
        <w:ind/>
        <w:jc w:val="center"/>
      </w:pPr>
    </w:p>
    <w:sectPr>
      <w:footerReference r:id="rId1" w:type="default"/>
      <w:pgSz w:h="16838" w:orient="portrait" w:w="11906"/>
      <w:pgMar w:bottom="567" w:footer="397" w:gutter="0" w:header="397" w:left="1559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ind w:firstLine="0" w:left="720"/>
    </w:pPr>
  </w:p>
</w:ft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abstractNum w:abstractNumId="1">
    <w:lvl w:ilvl="0">
      <w:numFmt w:val="bullet"/>
      <w:lvlText w:val="-"/>
      <w:pPr>
        <w:ind w:hanging="360" w:left="720"/>
      </w:pPr>
      <w:rPr>
        <w:rFonts w:ascii="Calibri" w:hAnsi="Calibri"/>
      </w:rPr>
    </w:lvl>
    <w:lvl w:ilvl="1">
      <w:numFmt w:val="bullet"/>
      <w:lvlText w:val="o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pPr>
        <w:ind w:hanging="360" w:left="2160"/>
      </w:pPr>
      <w:rPr>
        <w:rFonts w:ascii="Wingdings" w:hAnsi="Wingdings"/>
      </w:rPr>
    </w:lvl>
    <w:lvl w:ilvl="3">
      <w:numFmt w:val="bullet"/>
      <w:lvlText w:val="-"/>
      <w:pPr>
        <w:ind w:hanging="360" w:left="2880"/>
      </w:pPr>
      <w:rPr>
        <w:rFonts w:ascii="Calibri" w:hAnsi="Calibri"/>
      </w:rPr>
    </w:lvl>
    <w:lvl w:ilvl="4">
      <w:numFmt w:val="bullet"/>
      <w:lvlText w:val="o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pPr>
        <w:ind w:hanging="360" w:left="4320"/>
      </w:pPr>
      <w:rPr>
        <w:rFonts w:ascii="Wingdings" w:hAnsi="Wingdings"/>
      </w:rPr>
    </w:lvl>
    <w:lvl w:ilvl="6">
      <w:numFmt w:val="bullet"/>
      <w:lvlText w:val="-"/>
      <w:pPr>
        <w:ind w:hanging="360" w:left="5040"/>
      </w:pPr>
      <w:rPr>
        <w:rFonts w:ascii="Calibri" w:hAnsi="Calibri"/>
      </w:rPr>
    </w:lvl>
    <w:lvl w:ilvl="7">
      <w:numFmt w:val="bullet"/>
      <w:lvlText w:val="o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pPr>
        <w:ind w:hanging="360" w:left="648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5" w:type="paragraph">
    <w:name w:val="Normal"/>
    <w:link w:val="Style_5_ch"/>
    <w:uiPriority w:val="0"/>
    <w:qFormat/>
    <w:pPr>
      <w:widowControl w:val="1"/>
      <w:ind w:firstLine="0" w:left="0" w:right="0"/>
      <w:jc w:val="left"/>
    </w:pPr>
    <w:rPr>
      <w:rFonts w:ascii="Calibri" w:hAnsi="Calibri"/>
      <w:sz w:val="24"/>
    </w:rPr>
  </w:style>
  <w:style w:default="1" w:styleId="Style_5_ch" w:type="character">
    <w:name w:val="Normal"/>
    <w:link w:val="Style_5"/>
    <w:rPr>
      <w:rFonts w:ascii="Calibri" w:hAnsi="Calibri"/>
      <w:sz w:val="24"/>
    </w:rPr>
  </w:style>
  <w:style w:styleId="Style_6" w:type="paragraph">
    <w:name w:val="toc 2"/>
    <w:basedOn w:val="Style_5"/>
    <w:next w:val="Style_5"/>
    <w:link w:val="Style_6_ch"/>
    <w:uiPriority w:val="39"/>
    <w:pPr>
      <w:ind w:firstLine="0" w:left="200"/>
      <w:jc w:val="left"/>
    </w:pPr>
  </w:style>
  <w:style w:styleId="Style_6_ch" w:type="character">
    <w:name w:val="toc 2"/>
    <w:basedOn w:val="Style_5_ch"/>
    <w:link w:val="Style_6"/>
  </w:style>
  <w:style w:styleId="Style_7" w:type="paragraph">
    <w:name w:val="toc 4"/>
    <w:next w:val="Style_5"/>
    <w:link w:val="Style_7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7_ch" w:type="character">
    <w:name w:val="toc 4"/>
    <w:link w:val="Style_7"/>
    <w:rPr>
      <w:rFonts w:ascii="XO Thames" w:hAnsi="XO Thames"/>
      <w:sz w:val="28"/>
    </w:rPr>
  </w:style>
  <w:style w:styleId="Style_8" w:type="paragraph">
    <w:name w:val="heading 7"/>
    <w:basedOn w:val="Style_5"/>
    <w:next w:val="Style_5"/>
    <w:link w:val="Style_8_ch"/>
    <w:uiPriority w:val="9"/>
    <w:qFormat/>
    <w:pPr>
      <w:spacing w:after="60" w:before="240"/>
      <w:ind/>
      <w:jc w:val="left"/>
      <w:outlineLvl w:val="6"/>
    </w:pPr>
  </w:style>
  <w:style w:styleId="Style_8_ch" w:type="character">
    <w:name w:val="heading 7"/>
    <w:basedOn w:val="Style_5_ch"/>
    <w:link w:val="Style_8"/>
  </w:style>
  <w:style w:styleId="Style_9" w:type="paragraph">
    <w:name w:val="Subtle Emphasis"/>
    <w:basedOn w:val="Style_10"/>
    <w:link w:val="Style_9_ch"/>
    <w:rPr>
      <w:i w:val="1"/>
      <w:color w:val="5A5A5A"/>
    </w:rPr>
  </w:style>
  <w:style w:styleId="Style_9_ch" w:type="character">
    <w:name w:val="Subtle Emphasis"/>
    <w:basedOn w:val="Style_10_ch"/>
    <w:link w:val="Style_9"/>
    <w:rPr>
      <w:i w:val="1"/>
      <w:color w:val="5A5A5A"/>
    </w:rPr>
  </w:style>
  <w:style w:styleId="Style_11" w:type="paragraph">
    <w:name w:val="ConsPlusNormal"/>
    <w:link w:val="Style_11_ch"/>
    <w:pPr>
      <w:widowControl w:val="0"/>
      <w:ind w:firstLine="0" w:left="0" w:right="0"/>
      <w:jc w:val="left"/>
    </w:pPr>
    <w:rPr>
      <w:rFonts w:ascii="Calibri" w:hAnsi="Calibri"/>
      <w:sz w:val="22"/>
    </w:rPr>
  </w:style>
  <w:style w:styleId="Style_11_ch" w:type="character">
    <w:name w:val="ConsPlusNormal"/>
    <w:link w:val="Style_11"/>
    <w:rPr>
      <w:rFonts w:ascii="Calibri" w:hAnsi="Calibri"/>
      <w:sz w:val="22"/>
    </w:rPr>
  </w:style>
  <w:style w:styleId="Style_12" w:type="paragraph">
    <w:name w:val="toc 6"/>
    <w:next w:val="Style_5"/>
    <w:link w:val="Style_12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12_ch" w:type="character">
    <w:name w:val="toc 6"/>
    <w:link w:val="Style_12"/>
    <w:rPr>
      <w:rFonts w:ascii="XO Thames" w:hAnsi="XO Thames"/>
      <w:sz w:val="28"/>
    </w:rPr>
  </w:style>
  <w:style w:styleId="Style_13" w:type="paragraph">
    <w:name w:val="Normal (Web)"/>
    <w:basedOn w:val="Style_5"/>
    <w:link w:val="Style_13_ch"/>
    <w:pPr>
      <w:spacing w:afterAutospacing="on" w:beforeAutospacing="on"/>
      <w:ind/>
      <w:jc w:val="left"/>
    </w:pPr>
  </w:style>
  <w:style w:styleId="Style_13_ch" w:type="character">
    <w:name w:val="Normal (Web)"/>
    <w:basedOn w:val="Style_5_ch"/>
    <w:link w:val="Style_13"/>
  </w:style>
  <w:style w:styleId="Style_14" w:type="paragraph">
    <w:name w:val="toc 7"/>
    <w:next w:val="Style_5"/>
    <w:link w:val="Style_14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4_ch" w:type="character">
    <w:name w:val="toc 7"/>
    <w:link w:val="Style_14"/>
    <w:rPr>
      <w:rFonts w:ascii="XO Thames" w:hAnsi="XO Thames"/>
      <w:sz w:val="28"/>
    </w:rPr>
  </w:style>
  <w:style w:styleId="Style_15" w:type="paragraph">
    <w:name w:val="List Paragraph"/>
    <w:basedOn w:val="Style_5"/>
    <w:link w:val="Style_15_ch"/>
    <w:pPr>
      <w:ind w:firstLine="0" w:left="720"/>
      <w:contextualSpacing w:val="1"/>
      <w:jc w:val="left"/>
    </w:pPr>
  </w:style>
  <w:style w:styleId="Style_15_ch" w:type="character">
    <w:name w:val="List Paragraph"/>
    <w:basedOn w:val="Style_5_ch"/>
    <w:link w:val="Style_15"/>
  </w:style>
  <w:style w:styleId="Style_16" w:type="paragraph">
    <w:name w:val="Default"/>
    <w:link w:val="Style_16_ch"/>
    <w:pPr>
      <w:widowControl w:val="1"/>
      <w:ind w:firstLine="0" w:left="0" w:right="0"/>
      <w:jc w:val="left"/>
    </w:pPr>
    <w:rPr>
      <w:rFonts w:ascii="Calibri" w:hAnsi="Calibri"/>
      <w:color w:val="000000"/>
      <w:sz w:val="24"/>
    </w:rPr>
  </w:style>
  <w:style w:styleId="Style_16_ch" w:type="character">
    <w:name w:val="Default"/>
    <w:link w:val="Style_16"/>
    <w:rPr>
      <w:rFonts w:ascii="Calibri" w:hAnsi="Calibri"/>
      <w:color w:val="000000"/>
      <w:sz w:val="24"/>
    </w:rPr>
  </w:style>
  <w:style w:styleId="Style_17" w:type="paragraph">
    <w:name w:val="No Spacing"/>
    <w:basedOn w:val="Style_5"/>
    <w:link w:val="Style_17_ch"/>
    <w:pPr>
      <w:ind/>
      <w:jc w:val="left"/>
    </w:pPr>
  </w:style>
  <w:style w:styleId="Style_17_ch" w:type="character">
    <w:name w:val="No Spacing"/>
    <w:basedOn w:val="Style_5_ch"/>
    <w:link w:val="Style_17"/>
  </w:style>
  <w:style w:styleId="Style_18" w:type="paragraph">
    <w:name w:val="Balloon Text"/>
    <w:basedOn w:val="Style_5"/>
    <w:link w:val="Style_18_ch"/>
    <w:pPr>
      <w:ind/>
      <w:jc w:val="left"/>
    </w:pPr>
    <w:rPr>
      <w:rFonts w:ascii="Segoe UI" w:hAnsi="Segoe UI"/>
      <w:sz w:val="18"/>
    </w:rPr>
  </w:style>
  <w:style w:styleId="Style_18_ch" w:type="character">
    <w:name w:val="Balloon Text"/>
    <w:basedOn w:val="Style_5_ch"/>
    <w:link w:val="Style_18"/>
    <w:rPr>
      <w:rFonts w:ascii="Segoe UI" w:hAnsi="Segoe UI"/>
      <w:sz w:val="18"/>
    </w:rPr>
  </w:style>
  <w:style w:styleId="Style_19" w:type="paragraph">
    <w:name w:val="Endnote"/>
    <w:basedOn w:val="Style_5"/>
    <w:link w:val="Style_19_ch"/>
    <w:pPr>
      <w:ind/>
      <w:jc w:val="left"/>
    </w:pPr>
  </w:style>
  <w:style w:styleId="Style_19_ch" w:type="character">
    <w:name w:val="Endnote"/>
    <w:basedOn w:val="Style_5_ch"/>
    <w:link w:val="Style_19"/>
  </w:style>
  <w:style w:styleId="Style_20" w:type="paragraph">
    <w:name w:val="heading 3"/>
    <w:basedOn w:val="Style_5"/>
    <w:next w:val="Style_5"/>
    <w:link w:val="Style_20_ch"/>
    <w:uiPriority w:val="9"/>
    <w:qFormat/>
    <w:pPr>
      <w:keepNext w:val="1"/>
      <w:spacing w:after="60" w:before="240"/>
      <w:ind/>
      <w:jc w:val="left"/>
      <w:outlineLvl w:val="2"/>
    </w:pPr>
    <w:rPr>
      <w:rFonts w:ascii="Cambria" w:hAnsi="Cambria"/>
      <w:b w:val="1"/>
      <w:sz w:val="26"/>
    </w:rPr>
  </w:style>
  <w:style w:styleId="Style_20_ch" w:type="character">
    <w:name w:val="heading 3"/>
    <w:basedOn w:val="Style_5_ch"/>
    <w:link w:val="Style_20"/>
    <w:rPr>
      <w:rFonts w:ascii="Cambria" w:hAnsi="Cambria"/>
      <w:b w:val="1"/>
      <w:sz w:val="26"/>
    </w:rPr>
  </w:style>
  <w:style w:styleId="Style_21" w:type="paragraph">
    <w:name w:val="Intense Reference"/>
    <w:basedOn w:val="Style_10"/>
    <w:link w:val="Style_21_ch"/>
    <w:rPr>
      <w:b w:val="1"/>
      <w:sz w:val="24"/>
      <w:u w:val="single"/>
    </w:rPr>
  </w:style>
  <w:style w:styleId="Style_21_ch" w:type="character">
    <w:name w:val="Intense Reference"/>
    <w:basedOn w:val="Style_10_ch"/>
    <w:link w:val="Style_21"/>
    <w:rPr>
      <w:b w:val="1"/>
      <w:sz w:val="24"/>
      <w:u w:val="single"/>
    </w:rPr>
  </w:style>
  <w:style w:styleId="Style_22" w:type="paragraph">
    <w:name w:val="heading 9"/>
    <w:basedOn w:val="Style_5"/>
    <w:next w:val="Style_5"/>
    <w:link w:val="Style_22_ch"/>
    <w:uiPriority w:val="9"/>
    <w:qFormat/>
    <w:pPr>
      <w:spacing w:after="60" w:before="240"/>
      <w:ind/>
      <w:jc w:val="left"/>
      <w:outlineLvl w:val="8"/>
    </w:pPr>
    <w:rPr>
      <w:rFonts w:ascii="Cambria" w:hAnsi="Cambria"/>
      <w:sz w:val="22"/>
    </w:rPr>
  </w:style>
  <w:style w:styleId="Style_22_ch" w:type="character">
    <w:name w:val="heading 9"/>
    <w:basedOn w:val="Style_5_ch"/>
    <w:link w:val="Style_22"/>
    <w:rPr>
      <w:rFonts w:ascii="Cambria" w:hAnsi="Cambria"/>
      <w:sz w:val="22"/>
    </w:rPr>
  </w:style>
  <w:style w:styleId="Style_23" w:type="paragraph">
    <w:name w:val="Sub Heading"/>
    <w:link w:val="Style_23_ch"/>
    <w:pPr>
      <w:widowControl w:val="0"/>
      <w:spacing w:after="40" w:before="240"/>
      <w:ind w:firstLine="0" w:left="0" w:right="0"/>
      <w:jc w:val="left"/>
    </w:pPr>
    <w:rPr>
      <w:rFonts w:ascii="Calibri" w:hAnsi="Calibri"/>
      <w:sz w:val="22"/>
    </w:rPr>
  </w:style>
  <w:style w:styleId="Style_23_ch" w:type="character">
    <w:name w:val="Sub Heading"/>
    <w:link w:val="Style_23"/>
    <w:rPr>
      <w:rFonts w:ascii="Calibri" w:hAnsi="Calibri"/>
      <w:sz w:val="22"/>
    </w:rPr>
  </w:style>
  <w:style w:styleId="Style_24" w:type="paragraph">
    <w:name w:val="Quote"/>
    <w:basedOn w:val="Style_5"/>
    <w:next w:val="Style_5"/>
    <w:link w:val="Style_24_ch"/>
    <w:pPr>
      <w:ind/>
      <w:jc w:val="left"/>
    </w:pPr>
    <w:rPr>
      <w:i w:val="1"/>
    </w:rPr>
  </w:style>
  <w:style w:styleId="Style_24_ch" w:type="character">
    <w:name w:val="Quote"/>
    <w:basedOn w:val="Style_5_ch"/>
    <w:link w:val="Style_24"/>
    <w:rPr>
      <w:i w:val="1"/>
    </w:rPr>
  </w:style>
  <w:style w:styleId="Style_25" w:type="paragraph">
    <w:name w:val="Основной текст50"/>
    <w:basedOn w:val="Style_5"/>
    <w:link w:val="Style_25_ch"/>
    <w:pPr>
      <w:spacing w:before="360" w:line="446" w:lineRule="exact"/>
      <w:ind w:hanging="580" w:left="580"/>
      <w:jc w:val="right"/>
    </w:pPr>
    <w:rPr>
      <w:rFonts w:ascii="Times New Roman" w:hAnsi="Times New Roman"/>
      <w:sz w:val="23"/>
    </w:rPr>
  </w:style>
  <w:style w:styleId="Style_25_ch" w:type="character">
    <w:name w:val="Основной текст50"/>
    <w:basedOn w:val="Style_5_ch"/>
    <w:link w:val="Style_25"/>
    <w:rPr>
      <w:rFonts w:ascii="Times New Roman" w:hAnsi="Times New Roman"/>
      <w:sz w:val="23"/>
    </w:rPr>
  </w:style>
  <w:style w:styleId="Style_26" w:type="paragraph">
    <w:name w:val="Book Title"/>
    <w:basedOn w:val="Style_10"/>
    <w:link w:val="Style_26_ch"/>
    <w:rPr>
      <w:rFonts w:ascii="Cambria" w:hAnsi="Cambria"/>
      <w:b w:val="1"/>
      <w:i w:val="1"/>
      <w:sz w:val="24"/>
    </w:rPr>
  </w:style>
  <w:style w:styleId="Style_26_ch" w:type="character">
    <w:name w:val="Book Title"/>
    <w:basedOn w:val="Style_10_ch"/>
    <w:link w:val="Style_26"/>
    <w:rPr>
      <w:rFonts w:ascii="Cambria" w:hAnsi="Cambria"/>
      <w:b w:val="1"/>
      <w:i w:val="1"/>
      <w:sz w:val="24"/>
    </w:rPr>
  </w:style>
  <w:style w:styleId="Style_27" w:type="paragraph">
    <w:name w:val="toc 3"/>
    <w:basedOn w:val="Style_5"/>
    <w:next w:val="Style_5"/>
    <w:link w:val="Style_27_ch"/>
    <w:uiPriority w:val="39"/>
    <w:pPr>
      <w:spacing w:after="100" w:line="264" w:lineRule="auto"/>
      <w:ind w:firstLine="0" w:left="440"/>
      <w:jc w:val="left"/>
    </w:pPr>
    <w:rPr>
      <w:sz w:val="22"/>
    </w:rPr>
  </w:style>
  <w:style w:styleId="Style_27_ch" w:type="character">
    <w:name w:val="toc 3"/>
    <w:basedOn w:val="Style_5_ch"/>
    <w:link w:val="Style_27"/>
    <w:rPr>
      <w:sz w:val="22"/>
    </w:rPr>
  </w:style>
  <w:style w:styleId="Style_28" w:type="paragraph">
    <w:name w:val="ConsNonformat"/>
    <w:link w:val="Style_28_ch"/>
    <w:pPr>
      <w:widowControl w:val="0"/>
      <w:ind w:firstLine="0" w:left="0" w:right="0"/>
      <w:jc w:val="left"/>
    </w:pPr>
    <w:rPr>
      <w:rFonts w:ascii="Courier New" w:hAnsi="Courier New"/>
      <w:sz w:val="22"/>
    </w:rPr>
  </w:style>
  <w:style w:styleId="Style_28_ch" w:type="character">
    <w:name w:val="ConsNonformat"/>
    <w:link w:val="Style_28"/>
    <w:rPr>
      <w:rFonts w:ascii="Courier New" w:hAnsi="Courier New"/>
      <w:sz w:val="22"/>
    </w:rPr>
  </w:style>
  <w:style w:styleId="Style_29" w:type="paragraph">
    <w:name w:val="Intense Emphasis"/>
    <w:basedOn w:val="Style_10"/>
    <w:link w:val="Style_29_ch"/>
    <w:rPr>
      <w:b w:val="1"/>
      <w:i w:val="1"/>
      <w:sz w:val="24"/>
      <w:u w:val="single"/>
    </w:rPr>
  </w:style>
  <w:style w:styleId="Style_29_ch" w:type="character">
    <w:name w:val="Intense Emphasis"/>
    <w:basedOn w:val="Style_10_ch"/>
    <w:link w:val="Style_29"/>
    <w:rPr>
      <w:b w:val="1"/>
      <w:i w:val="1"/>
      <w:sz w:val="24"/>
      <w:u w:val="single"/>
    </w:rPr>
  </w:style>
  <w:style w:styleId="Style_30" w:type="paragraph">
    <w:name w:val="Body Text"/>
    <w:basedOn w:val="Style_5"/>
    <w:link w:val="Style_30_ch"/>
    <w:pPr>
      <w:widowControl w:val="0"/>
      <w:ind w:firstLine="4" w:left="117"/>
      <w:jc w:val="left"/>
    </w:pPr>
    <w:rPr>
      <w:sz w:val="18"/>
    </w:rPr>
  </w:style>
  <w:style w:styleId="Style_30_ch" w:type="character">
    <w:name w:val="Body Text"/>
    <w:basedOn w:val="Style_5_ch"/>
    <w:link w:val="Style_30"/>
    <w:rPr>
      <w:sz w:val="18"/>
    </w:rPr>
  </w:style>
  <w:style w:styleId="Style_31" w:type="paragraph">
    <w:name w:val="heading 5"/>
    <w:basedOn w:val="Style_5"/>
    <w:next w:val="Style_5"/>
    <w:link w:val="Style_31_ch"/>
    <w:uiPriority w:val="9"/>
    <w:qFormat/>
    <w:pPr>
      <w:spacing w:after="60" w:before="240"/>
      <w:ind/>
      <w:jc w:val="left"/>
      <w:outlineLvl w:val="4"/>
    </w:pPr>
    <w:rPr>
      <w:b w:val="1"/>
      <w:i w:val="1"/>
      <w:sz w:val="26"/>
    </w:rPr>
  </w:style>
  <w:style w:styleId="Style_31_ch" w:type="character">
    <w:name w:val="heading 5"/>
    <w:basedOn w:val="Style_5_ch"/>
    <w:link w:val="Style_31"/>
    <w:rPr>
      <w:b w:val="1"/>
      <w:i w:val="1"/>
      <w:sz w:val="26"/>
    </w:rPr>
  </w:style>
  <w:style w:styleId="Style_32" w:type="paragraph">
    <w:name w:val="heading 1"/>
    <w:basedOn w:val="Style_5"/>
    <w:next w:val="Style_5"/>
    <w:link w:val="Style_32_ch"/>
    <w:uiPriority w:val="9"/>
    <w:qFormat/>
    <w:pPr>
      <w:keepNext w:val="1"/>
      <w:spacing w:after="60" w:before="240"/>
      <w:ind/>
      <w:jc w:val="left"/>
      <w:outlineLvl w:val="0"/>
    </w:pPr>
    <w:rPr>
      <w:rFonts w:ascii="Cambria" w:hAnsi="Cambria"/>
      <w:b w:val="1"/>
      <w:sz w:val="32"/>
    </w:rPr>
  </w:style>
  <w:style w:styleId="Style_32_ch" w:type="character">
    <w:name w:val="heading 1"/>
    <w:basedOn w:val="Style_5_ch"/>
    <w:link w:val="Style_32"/>
    <w:rPr>
      <w:rFonts w:ascii="Cambria" w:hAnsi="Cambria"/>
      <w:b w:val="1"/>
      <w:sz w:val="32"/>
    </w:rPr>
  </w:style>
  <w:style w:styleId="Style_4" w:type="paragraph">
    <w:name w:val="Hyperlink"/>
    <w:basedOn w:val="Style_10"/>
    <w:link w:val="Style_4_ch"/>
    <w:rPr>
      <w:color w:val="0563C1"/>
      <w:u w:val="single"/>
    </w:rPr>
  </w:style>
  <w:style w:styleId="Style_4_ch" w:type="character">
    <w:name w:val="Hyperlink"/>
    <w:basedOn w:val="Style_10_ch"/>
    <w:link w:val="Style_4"/>
    <w:rPr>
      <w:color w:val="0563C1"/>
      <w:u w:val="single"/>
    </w:rPr>
  </w:style>
  <w:style w:styleId="Style_33" w:type="paragraph">
    <w:name w:val="Footnote"/>
    <w:basedOn w:val="Style_5"/>
    <w:link w:val="Style_33_ch"/>
    <w:pPr>
      <w:ind/>
      <w:jc w:val="left"/>
    </w:pPr>
  </w:style>
  <w:style w:styleId="Style_33_ch" w:type="character">
    <w:name w:val="Footnote"/>
    <w:basedOn w:val="Style_5_ch"/>
    <w:link w:val="Style_33"/>
  </w:style>
  <w:style w:styleId="Style_34" w:type="paragraph">
    <w:name w:val="heading 8"/>
    <w:basedOn w:val="Style_5"/>
    <w:next w:val="Style_5"/>
    <w:link w:val="Style_34_ch"/>
    <w:uiPriority w:val="9"/>
    <w:qFormat/>
    <w:pPr>
      <w:spacing w:after="60" w:before="240"/>
      <w:ind/>
      <w:jc w:val="left"/>
      <w:outlineLvl w:val="7"/>
    </w:pPr>
    <w:rPr>
      <w:i w:val="1"/>
    </w:rPr>
  </w:style>
  <w:style w:styleId="Style_34_ch" w:type="character">
    <w:name w:val="heading 8"/>
    <w:basedOn w:val="Style_5_ch"/>
    <w:link w:val="Style_34"/>
    <w:rPr>
      <w:i w:val="1"/>
    </w:rPr>
  </w:style>
  <w:style w:styleId="Style_35" w:type="paragraph">
    <w:name w:val="Strong"/>
    <w:basedOn w:val="Style_10"/>
    <w:link w:val="Style_35_ch"/>
    <w:rPr>
      <w:b w:val="1"/>
    </w:rPr>
  </w:style>
  <w:style w:styleId="Style_35_ch" w:type="character">
    <w:name w:val="Strong"/>
    <w:basedOn w:val="Style_10_ch"/>
    <w:link w:val="Style_35"/>
    <w:rPr>
      <w:b w:val="1"/>
    </w:rPr>
  </w:style>
  <w:style w:styleId="Style_36" w:type="paragraph">
    <w:name w:val="toc 1"/>
    <w:basedOn w:val="Style_5"/>
    <w:next w:val="Style_5"/>
    <w:link w:val="Style_36_ch"/>
    <w:uiPriority w:val="39"/>
    <w:pPr>
      <w:ind/>
      <w:jc w:val="left"/>
    </w:pPr>
  </w:style>
  <w:style w:styleId="Style_36_ch" w:type="character">
    <w:name w:val="toc 1"/>
    <w:basedOn w:val="Style_5_ch"/>
    <w:link w:val="Style_36"/>
  </w:style>
  <w:style w:styleId="Style_3" w:type="paragraph">
    <w:name w:val="TOC Heading"/>
    <w:basedOn w:val="Style_32"/>
    <w:next w:val="Style_5"/>
    <w:link w:val="Style_3_ch"/>
    <w:pPr>
      <w:ind/>
      <w:jc w:val="left"/>
      <w:outlineLvl w:val="8"/>
    </w:pPr>
  </w:style>
  <w:style w:styleId="Style_3_ch" w:type="character">
    <w:name w:val="TOC Heading"/>
    <w:basedOn w:val="Style_32_ch"/>
    <w:link w:val="Style_3"/>
  </w:style>
  <w:style w:styleId="Style_37" w:type="paragraph">
    <w:name w:val="Subtle Reference"/>
    <w:basedOn w:val="Style_10"/>
    <w:link w:val="Style_37_ch"/>
    <w:rPr>
      <w:sz w:val="24"/>
      <w:u w:val="single"/>
    </w:rPr>
  </w:style>
  <w:style w:styleId="Style_37_ch" w:type="character">
    <w:name w:val="Subtle Reference"/>
    <w:basedOn w:val="Style_10_ch"/>
    <w:link w:val="Style_37"/>
    <w:rPr>
      <w:sz w:val="24"/>
      <w:u w:val="single"/>
    </w:rPr>
  </w:style>
  <w:style w:styleId="Style_38" w:type="paragraph">
    <w:name w:val="Header and Footer"/>
    <w:link w:val="Style_38_ch"/>
    <w:pPr>
      <w:spacing w:line="240" w:lineRule="auto"/>
      <w:ind/>
      <w:jc w:val="both"/>
    </w:pPr>
    <w:rPr>
      <w:rFonts w:ascii="XO Thames" w:hAnsi="XO Thames"/>
      <w:sz w:val="28"/>
    </w:rPr>
  </w:style>
  <w:style w:styleId="Style_38_ch" w:type="character">
    <w:name w:val="Header and Footer"/>
    <w:link w:val="Style_38"/>
    <w:rPr>
      <w:rFonts w:ascii="XO Thames" w:hAnsi="XO Thames"/>
      <w:sz w:val="28"/>
    </w:rPr>
  </w:style>
  <w:style w:styleId="Style_39" w:type="paragraph">
    <w:name w:val="ConsNormal"/>
    <w:link w:val="Style_39_ch"/>
    <w:pPr>
      <w:widowControl w:val="1"/>
      <w:ind w:firstLine="539" w:left="0" w:right="19771"/>
      <w:jc w:val="left"/>
    </w:pPr>
    <w:rPr>
      <w:rFonts w:ascii="Courier New" w:hAnsi="Courier New"/>
      <w:sz w:val="22"/>
    </w:rPr>
  </w:style>
  <w:style w:styleId="Style_39_ch" w:type="character">
    <w:name w:val="ConsNormal"/>
    <w:link w:val="Style_39"/>
    <w:rPr>
      <w:rFonts w:ascii="Courier New" w:hAnsi="Courier New"/>
      <w:sz w:val="22"/>
    </w:rPr>
  </w:style>
  <w:style w:styleId="Style_40" w:type="paragraph">
    <w:name w:val="footnote reference"/>
    <w:basedOn w:val="Style_10"/>
    <w:link w:val="Style_40_ch"/>
    <w:rPr>
      <w:vertAlign w:val="superscript"/>
    </w:rPr>
  </w:style>
  <w:style w:styleId="Style_40_ch" w:type="character">
    <w:name w:val="footnote reference"/>
    <w:basedOn w:val="Style_10_ch"/>
    <w:link w:val="Style_40"/>
    <w:rPr>
      <w:vertAlign w:val="superscript"/>
    </w:rPr>
  </w:style>
  <w:style w:styleId="Style_41" w:type="paragraph">
    <w:name w:val="toc 9"/>
    <w:next w:val="Style_5"/>
    <w:link w:val="Style_41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41_ch" w:type="character">
    <w:name w:val="toc 9"/>
    <w:link w:val="Style_41"/>
    <w:rPr>
      <w:rFonts w:ascii="XO Thames" w:hAnsi="XO Thames"/>
      <w:sz w:val="28"/>
    </w:rPr>
  </w:style>
  <w:style w:styleId="Style_42" w:type="paragraph">
    <w:name w:val="Subst"/>
    <w:link w:val="Style_42_ch"/>
    <w:rPr>
      <w:b w:val="1"/>
      <w:i w:val="1"/>
    </w:rPr>
  </w:style>
  <w:style w:styleId="Style_42_ch" w:type="character">
    <w:name w:val="Subst"/>
    <w:link w:val="Style_42"/>
    <w:rPr>
      <w:b w:val="1"/>
      <w:i w:val="1"/>
    </w:rPr>
  </w:style>
  <w:style w:styleId="Style_43" w:type="paragraph">
    <w:name w:val="Intense Quote"/>
    <w:basedOn w:val="Style_5"/>
    <w:next w:val="Style_5"/>
    <w:link w:val="Style_43_ch"/>
    <w:pPr>
      <w:ind w:firstLine="0" w:left="720" w:right="720"/>
      <w:jc w:val="left"/>
    </w:pPr>
    <w:rPr>
      <w:b w:val="1"/>
      <w:i w:val="1"/>
    </w:rPr>
  </w:style>
  <w:style w:styleId="Style_43_ch" w:type="character">
    <w:name w:val="Intense Quote"/>
    <w:basedOn w:val="Style_5_ch"/>
    <w:link w:val="Style_43"/>
    <w:rPr>
      <w:b w:val="1"/>
      <w:i w:val="1"/>
    </w:rPr>
  </w:style>
  <w:style w:styleId="Style_44" w:type="paragraph">
    <w:name w:val="toc 8"/>
    <w:next w:val="Style_5"/>
    <w:link w:val="Style_44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44_ch" w:type="character">
    <w:name w:val="toc 8"/>
    <w:link w:val="Style_44"/>
    <w:rPr>
      <w:rFonts w:ascii="XO Thames" w:hAnsi="XO Thames"/>
      <w:sz w:val="28"/>
    </w:rPr>
  </w:style>
  <w:style w:styleId="Style_45" w:type="paragraph">
    <w:name w:val="Thin Delim"/>
    <w:link w:val="Style_45_ch"/>
    <w:pPr>
      <w:widowControl w:val="0"/>
      <w:ind w:firstLine="0" w:left="0" w:right="0"/>
      <w:jc w:val="left"/>
    </w:pPr>
    <w:rPr>
      <w:sz w:val="16"/>
    </w:rPr>
  </w:style>
  <w:style w:styleId="Style_45_ch" w:type="character">
    <w:name w:val="Thin Delim"/>
    <w:link w:val="Style_45"/>
    <w:rPr>
      <w:sz w:val="16"/>
    </w:rPr>
  </w:style>
  <w:style w:styleId="Style_46" w:type="paragraph">
    <w:name w:val="toc 5"/>
    <w:next w:val="Style_5"/>
    <w:link w:val="Style_4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46_ch" w:type="character">
    <w:name w:val="toc 5"/>
    <w:link w:val="Style_46"/>
    <w:rPr>
      <w:rFonts w:ascii="XO Thames" w:hAnsi="XO Thames"/>
      <w:sz w:val="28"/>
    </w:rPr>
  </w:style>
  <w:style w:styleId="Style_1" w:type="paragraph">
    <w:name w:val="footer"/>
    <w:basedOn w:val="Style_5"/>
    <w:link w:val="Style_1_ch"/>
    <w:pPr>
      <w:tabs>
        <w:tab w:leader="none" w:pos="4153" w:val="center"/>
        <w:tab w:leader="none" w:pos="8306" w:val="right"/>
      </w:tabs>
      <w:ind/>
      <w:jc w:val="left"/>
    </w:pPr>
  </w:style>
  <w:style w:styleId="Style_1_ch" w:type="character">
    <w:name w:val="footer"/>
    <w:basedOn w:val="Style_5_ch"/>
    <w:link w:val="Style_1"/>
  </w:style>
  <w:style w:styleId="Style_47" w:type="paragraph">
    <w:name w:val="Subtitle"/>
    <w:basedOn w:val="Style_5"/>
    <w:next w:val="Style_5"/>
    <w:link w:val="Style_47_ch"/>
    <w:uiPriority w:val="11"/>
    <w:qFormat/>
    <w:pPr>
      <w:spacing w:after="60"/>
      <w:ind/>
      <w:jc w:val="center"/>
      <w:outlineLvl w:val="1"/>
    </w:pPr>
    <w:rPr>
      <w:rFonts w:ascii="Cambria" w:hAnsi="Cambria"/>
    </w:rPr>
  </w:style>
  <w:style w:styleId="Style_47_ch" w:type="character">
    <w:name w:val="Subtitle"/>
    <w:basedOn w:val="Style_5_ch"/>
    <w:link w:val="Style_47"/>
    <w:rPr>
      <w:rFonts w:ascii="Cambria" w:hAnsi="Cambria"/>
    </w:rPr>
  </w:style>
  <w:style w:styleId="Style_48" w:type="paragraph">
    <w:name w:val="Title"/>
    <w:basedOn w:val="Style_5"/>
    <w:next w:val="Style_5"/>
    <w:link w:val="Style_48_ch"/>
    <w:uiPriority w:val="10"/>
    <w:qFormat/>
    <w:pPr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48_ch" w:type="character">
    <w:name w:val="Title"/>
    <w:basedOn w:val="Style_5_ch"/>
    <w:link w:val="Style_48"/>
    <w:rPr>
      <w:rFonts w:ascii="Cambria" w:hAnsi="Cambria"/>
      <w:b w:val="1"/>
      <w:sz w:val="32"/>
    </w:rPr>
  </w:style>
  <w:style w:styleId="Style_49" w:type="paragraph">
    <w:name w:val="heading 4"/>
    <w:basedOn w:val="Style_5"/>
    <w:next w:val="Style_5"/>
    <w:link w:val="Style_49_ch"/>
    <w:uiPriority w:val="9"/>
    <w:qFormat/>
    <w:pPr>
      <w:keepNext w:val="1"/>
      <w:spacing w:after="60" w:before="240"/>
      <w:ind/>
      <w:jc w:val="left"/>
      <w:outlineLvl w:val="3"/>
    </w:pPr>
    <w:rPr>
      <w:b w:val="1"/>
      <w:sz w:val="28"/>
    </w:rPr>
  </w:style>
  <w:style w:styleId="Style_49_ch" w:type="character">
    <w:name w:val="heading 4"/>
    <w:basedOn w:val="Style_5_ch"/>
    <w:link w:val="Style_49"/>
    <w:rPr>
      <w:b w:val="1"/>
      <w:sz w:val="28"/>
    </w:rPr>
  </w:style>
  <w:style w:styleId="Style_50" w:type="paragraph">
    <w:name w:val="heading 2"/>
    <w:basedOn w:val="Style_5"/>
    <w:next w:val="Style_5"/>
    <w:link w:val="Style_50_ch"/>
    <w:uiPriority w:val="9"/>
    <w:qFormat/>
    <w:pPr>
      <w:keepNext w:val="1"/>
      <w:spacing w:after="60" w:before="240"/>
      <w:ind/>
      <w:jc w:val="left"/>
      <w:outlineLvl w:val="1"/>
    </w:pPr>
    <w:rPr>
      <w:rFonts w:ascii="Cambria" w:hAnsi="Cambria"/>
      <w:b w:val="1"/>
      <w:i w:val="1"/>
      <w:sz w:val="28"/>
    </w:rPr>
  </w:style>
  <w:style w:styleId="Style_50_ch" w:type="character">
    <w:name w:val="heading 2"/>
    <w:basedOn w:val="Style_5_ch"/>
    <w:link w:val="Style_50"/>
    <w:rPr>
      <w:rFonts w:ascii="Cambria" w:hAnsi="Cambria"/>
      <w:b w:val="1"/>
      <w:i w:val="1"/>
      <w:sz w:val="28"/>
    </w:rPr>
  </w:style>
  <w:style w:styleId="Style_51" w:type="paragraph">
    <w:name w:val="Emphasis"/>
    <w:basedOn w:val="Style_10"/>
    <w:link w:val="Style_51_ch"/>
    <w:rPr>
      <w:rFonts w:ascii="Calibri" w:hAnsi="Calibri"/>
      <w:b w:val="1"/>
      <w:i w:val="1"/>
    </w:rPr>
  </w:style>
  <w:style w:styleId="Style_51_ch" w:type="character">
    <w:name w:val="Emphasis"/>
    <w:basedOn w:val="Style_10_ch"/>
    <w:link w:val="Style_51"/>
    <w:rPr>
      <w:rFonts w:ascii="Calibri" w:hAnsi="Calibri"/>
      <w:b w:val="1"/>
      <w:i w:val="1"/>
    </w:rPr>
  </w:style>
  <w:style w:styleId="Style_52" w:type="paragraph">
    <w:name w:val="endnote reference"/>
    <w:basedOn w:val="Style_10"/>
    <w:link w:val="Style_52_ch"/>
    <w:rPr>
      <w:vertAlign w:val="superscript"/>
    </w:rPr>
  </w:style>
  <w:style w:styleId="Style_52_ch" w:type="character">
    <w:name w:val="endnote reference"/>
    <w:basedOn w:val="Style_10_ch"/>
    <w:link w:val="Style_52"/>
    <w:rPr>
      <w:vertAlign w:val="superscript"/>
    </w:rPr>
  </w:style>
  <w:style w:styleId="Style_10" w:type="paragraph">
    <w:name w:val="Default Paragraph Font"/>
    <w:link w:val="Style_10_ch"/>
  </w:style>
  <w:style w:styleId="Style_10_ch" w:type="character">
    <w:name w:val="Default Paragraph Font"/>
    <w:link w:val="Style_10"/>
  </w:style>
  <w:style w:styleId="Style_53" w:type="paragraph">
    <w:name w:val="heading 6"/>
    <w:basedOn w:val="Style_5"/>
    <w:next w:val="Style_5"/>
    <w:link w:val="Style_53_ch"/>
    <w:uiPriority w:val="9"/>
    <w:qFormat/>
    <w:pPr>
      <w:spacing w:after="60" w:before="240"/>
      <w:ind/>
      <w:jc w:val="left"/>
      <w:outlineLvl w:val="5"/>
    </w:pPr>
    <w:rPr>
      <w:b w:val="1"/>
      <w:sz w:val="22"/>
    </w:rPr>
  </w:style>
  <w:style w:styleId="Style_53_ch" w:type="character">
    <w:name w:val="heading 6"/>
    <w:basedOn w:val="Style_5_ch"/>
    <w:link w:val="Style_53"/>
    <w:rPr>
      <w:b w:val="1"/>
      <w:sz w:val="22"/>
    </w:rPr>
  </w:style>
  <w:style w:styleId="Style_54" w:type="paragraph">
    <w:name w:val="header"/>
    <w:basedOn w:val="Style_5"/>
    <w:link w:val="Style_54_ch"/>
    <w:pPr>
      <w:tabs>
        <w:tab w:leader="none" w:pos="4153" w:val="center"/>
        <w:tab w:leader="none" w:pos="8306" w:val="right"/>
      </w:tabs>
      <w:ind/>
      <w:jc w:val="left"/>
    </w:pPr>
  </w:style>
  <w:style w:styleId="Style_54_ch" w:type="character">
    <w:name w:val="header"/>
    <w:basedOn w:val="Style_5_ch"/>
    <w:link w:val="Style_54"/>
  </w:style>
  <w:style w:styleId="Style_55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8" Target="numbering.xml" Type="http://schemas.openxmlformats.org/officeDocument/2006/relationships/numbering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2024-11-22T10:15:13Z</dcterms:modified>
</cp:coreProperties>
</file>