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ms-word.stylesWithEffects+xml" PartName="/word/stylesWithEffect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 ?>
<Relationships xmlns="http://schemas.openxmlformats.org/package/2006/relationships">
  <Relationship Id="rId1" Target="word/document.xml" Type="http://schemas.openxmlformats.org/officeDocument/2006/relationships/officeDocument"/>
  <Relationship Id="rId2" Target="docProps/app.xml" Type="http://schemas.openxmlformats.org/officeDocument/2006/relationships/extended-properties"/>
  <Relationship Id="rId3" Target="docProps/core.xml" Type="http://schemas.openxmlformats.org/package/2006/relationships/metadata/core-properties"/>
</Relationships>

</file>

<file path=word/document.xml><?xml version="1.0" encoding="utf-8"?>
<w:documen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body>
    <w:p w14:paraId="03000000">
      <w:pPr>
        <w:spacing w:before="1320"/>
        <w:ind w:firstLine="283" w:left="-283"/>
        <w:jc w:val="center"/>
        <w:rPr>
          <w:b w:val="1"/>
          <w:sz w:val="32"/>
        </w:rPr>
      </w:pPr>
      <w:r>
        <w:rPr>
          <w:b w:val="1"/>
          <w:sz w:val="34"/>
        </w:rPr>
        <w:t xml:space="preserve"> </w:t>
      </w:r>
      <w:r>
        <w:rPr>
          <w:b w:val="1"/>
          <w:sz w:val="32"/>
        </w:rPr>
        <w:t>ИЗМЕНЕНИЕ (КОРРЕКТИРОВКА) ИНФОРМАЦИИ, СОДЕРЖАЩЕЙСЯ В ОТЧЕТЕ ЭМИТЕНТА ЭМИССИОННЫХ ЦЕННЫХ БУМАГ</w:t>
      </w:r>
    </w:p>
    <w:p w14:paraId="04000000">
      <w:pPr>
        <w:ind/>
        <w:jc w:val="center"/>
        <w:rPr>
          <w:sz w:val="32"/>
        </w:rPr>
      </w:pPr>
      <w:r>
        <w:rPr>
          <w:b w:val="1"/>
          <w:i w:val="1"/>
          <w:sz w:val="32"/>
        </w:rPr>
        <w:t xml:space="preserve">Публичного акционерного общества </w:t>
      </w:r>
    </w:p>
    <w:p w14:paraId="05000000">
      <w:pPr>
        <w:ind/>
        <w:jc w:val="center"/>
        <w:rPr>
          <w:sz w:val="32"/>
        </w:rPr>
      </w:pPr>
      <w:r>
        <w:rPr>
          <w:b w:val="1"/>
          <w:i w:val="1"/>
          <w:sz w:val="32"/>
        </w:rPr>
        <w:t>«Северное управление строительства»</w:t>
      </w:r>
    </w:p>
    <w:p w14:paraId="06000000">
      <w:pPr>
        <w:spacing w:after="360"/>
        <w:ind/>
        <w:jc w:val="center"/>
      </w:pPr>
      <w:r>
        <w:t>(полное фирменное наименование (для коммерческой организации</w:t>
      </w:r>
      <w:r>
        <w:t>)</w:t>
      </w:r>
    </w:p>
    <w:tbl>
      <w:tblPr>
        <w:tblStyle w:val="Style_2"/>
        <w:tblW w:type="auto" w:w="0"/>
        <w:tblInd w:type="dxa" w:w="2552"/>
        <w:tblLayout w:type="fixed"/>
        <w:tblCellMar>
          <w:top w:type="dxa" w:w="0"/>
          <w:left w:type="dxa" w:w="28"/>
          <w:bottom w:type="dxa" w:w="0"/>
          <w:right w:type="dxa" w:w="28"/>
        </w:tblCellMar>
      </w:tblPr>
      <w:tblGrid>
        <w:gridCol w:w="425"/>
        <w:gridCol w:w="3686"/>
      </w:tblGrid>
      <w:tr>
        <w:tc>
          <w:tcPr>
            <w:tcW w:type="dxa" w:w="425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07000000">
            <w:pPr>
              <w:rPr>
                <w:b w:val="1"/>
                <w:sz w:val="25"/>
              </w:rPr>
            </w:pPr>
            <w:r>
              <w:rPr>
                <w:b w:val="1"/>
                <w:sz w:val="25"/>
              </w:rPr>
              <w:t>ЗА</w:t>
            </w:r>
          </w:p>
        </w:tc>
        <w:tc>
          <w:tcPr>
            <w:tcW w:type="dxa" w:w="3686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08000000">
            <w:pPr>
              <w:ind/>
              <w:jc w:val="center"/>
              <w:rPr>
                <w:sz w:val="32"/>
              </w:rPr>
            </w:pPr>
            <w:r>
              <w:rPr>
                <w:sz w:val="32"/>
              </w:rPr>
              <w:t xml:space="preserve">12 </w:t>
            </w:r>
            <w:r>
              <w:rPr>
                <w:sz w:val="32"/>
              </w:rPr>
              <w:t>месяцев 202</w:t>
            </w:r>
            <w:r>
              <w:rPr>
                <w:sz w:val="32"/>
              </w:rPr>
              <w:t>3</w:t>
            </w:r>
            <w:r>
              <w:rPr>
                <w:sz w:val="32"/>
              </w:rPr>
              <w:t xml:space="preserve"> года</w:t>
            </w:r>
          </w:p>
        </w:tc>
      </w:tr>
      <w:tr>
        <w:tc>
          <w:tcPr>
            <w:tcW w:type="dxa" w:w="425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/>
        </w:tc>
        <w:tc>
          <w:tcPr>
            <w:tcW w:type="dxa" w:w="3686"/>
            <w:tcBorders>
              <w:top w:color="000000" w:sz="4" w:val="single"/>
              <w:left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/>
        </w:tc>
      </w:tr>
    </w:tbl>
    <w:p w14:paraId="09000000">
      <w:pPr>
        <w:spacing w:after="360"/>
        <w:ind/>
        <w:jc w:val="center"/>
      </w:pPr>
    </w:p>
    <w:tbl>
      <w:tblPr>
        <w:tblStyle w:val="Style_2"/>
        <w:tblW w:type="auto" w:w="0"/>
        <w:tblInd w:type="dxa" w:w="2552"/>
        <w:tblLayout w:type="fixed"/>
        <w:tblCellMar>
          <w:top w:type="dxa" w:w="0"/>
          <w:left w:type="dxa" w:w="28"/>
          <w:bottom w:type="dxa" w:w="0"/>
          <w:right w:type="dxa" w:w="28"/>
        </w:tblCellMar>
      </w:tblPr>
      <w:tblGrid>
        <w:gridCol w:w="2325"/>
        <w:gridCol w:w="3686"/>
      </w:tblGrid>
      <w:tr>
        <w:tc>
          <w:tcPr>
            <w:tcW w:type="dxa" w:w="2325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0A000000">
            <w:pPr>
              <w:rPr>
                <w:b w:val="1"/>
              </w:rPr>
            </w:pPr>
            <w:r>
              <w:rPr>
                <w:b w:val="1"/>
                <w:sz w:val="32"/>
              </w:rPr>
              <w:t>К</w:t>
            </w:r>
            <w:r>
              <w:rPr>
                <w:b w:val="1"/>
                <w:sz w:val="25"/>
              </w:rPr>
              <w:t xml:space="preserve">ОД </w:t>
            </w:r>
            <w:r>
              <w:rPr>
                <w:b w:val="1"/>
                <w:sz w:val="25"/>
              </w:rPr>
              <w:t>ЭМИТЕНТА:</w:t>
            </w:r>
          </w:p>
        </w:tc>
        <w:tc>
          <w:tcPr>
            <w:tcW w:type="dxa" w:w="368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0B000000">
            <w:pPr>
              <w:ind/>
              <w:jc w:val="center"/>
            </w:pPr>
            <w:r>
              <w:rPr>
                <w:b w:val="1"/>
                <w:color w:val="000000"/>
                <w:sz w:val="22"/>
              </w:rPr>
              <w:t>04739-</w:t>
            </w:r>
            <w:r>
              <w:rPr>
                <w:b w:val="1"/>
                <w:color w:val="000000"/>
                <w:sz w:val="22"/>
              </w:rPr>
              <w:t>D</w:t>
            </w:r>
          </w:p>
        </w:tc>
      </w:tr>
      <w:tr>
        <w:tc>
          <w:tcPr>
            <w:tcW w:type="dxa" w:w="2325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/>
        </w:tc>
        <w:tc>
          <w:tcPr>
            <w:tcW w:type="dxa" w:w="3686"/>
            <w:tcBorders>
              <w:top w:color="000000" w:sz="4" w:val="single"/>
              <w:left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 w14:paraId="0C000000">
            <w:pPr>
              <w:ind/>
              <w:jc w:val="center"/>
            </w:pPr>
            <w:r>
              <w:t>(уникальный код эмитента)</w:t>
            </w:r>
          </w:p>
        </w:tc>
      </w:tr>
    </w:tbl>
    <w:p w14:paraId="0D000000">
      <w:pPr>
        <w:ind w:firstLine="0" w:left="2520"/>
      </w:pPr>
    </w:p>
    <w:tbl>
      <w:tblPr>
        <w:tblStyle w:val="Style_2"/>
        <w:tblW w:type="auto" w:w="0"/>
        <w:tblLayout w:type="fixed"/>
        <w:tblCellMar>
          <w:top w:type="dxa" w:w="0"/>
          <w:left w:type="dxa" w:w="28"/>
          <w:bottom w:type="dxa" w:w="0"/>
          <w:right w:type="dxa" w:w="28"/>
        </w:tblCellMar>
      </w:tblPr>
      <w:tblGrid>
        <w:gridCol w:w="3119"/>
        <w:gridCol w:w="6067"/>
        <w:gridCol w:w="227"/>
      </w:tblGrid>
      <w:tr>
        <w:tc>
          <w:tcPr>
            <w:tcW w:type="dxa" w:w="3119"/>
            <w:tcBorders>
              <w:top w:color="000000" w:sz="4" w:val="single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0E000000">
            <w:pPr>
              <w:pageBreakBefore w:val="1"/>
              <w:spacing w:before="24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Адрес эмитента</w:t>
            </w:r>
          </w:p>
        </w:tc>
        <w:tc>
          <w:tcPr>
            <w:tcW w:type="dxa" w:w="6067"/>
            <w:tcBorders>
              <w:top w:color="000000" w:sz="4" w:val="single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0F000000">
            <w:pPr>
              <w:ind/>
              <w:jc w:val="center"/>
              <w:rPr>
                <w:rFonts w:ascii="Times New Roman" w:hAnsi="Times New Roman"/>
                <w:b w:val="1"/>
              </w:rPr>
            </w:pPr>
            <w:r>
              <w:rPr>
                <w:rFonts w:ascii="Times New Roman" w:hAnsi="Times New Roman"/>
                <w:b w:val="1"/>
              </w:rPr>
              <w:t>188540, г. Сосновый Бор Ленинградской области, ул. Ленинградская д.7</w:t>
            </w:r>
          </w:p>
        </w:tc>
        <w:tc>
          <w:tcPr>
            <w:tcW w:type="dxa" w:w="227"/>
            <w:tcBorders>
              <w:top w:color="000000" w:sz="4" w:val="single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10000000">
            <w:pPr>
              <w:rPr>
                <w:rFonts w:ascii="Times New Roman" w:hAnsi="Times New Roman"/>
              </w:rPr>
            </w:pPr>
          </w:p>
        </w:tc>
      </w:tr>
      <w:tr>
        <w:tc>
          <w:tcPr>
            <w:tcW w:type="dxa" w:w="3119"/>
            <w:tcBorders>
              <w:top w:sz="4" w:val="nil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 w14:paraId="11000000">
            <w:pPr>
              <w:rPr>
                <w:rFonts w:ascii="Times New Roman" w:hAnsi="Times New Roman"/>
              </w:rPr>
            </w:pPr>
          </w:p>
        </w:tc>
        <w:tc>
          <w:tcPr>
            <w:tcW w:type="dxa" w:w="6067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 w14:paraId="12000000">
            <w:pPr>
              <w:ind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(адрес эмитента, содержащийся в едином государственном реестре юридических лиц)</w:t>
            </w:r>
          </w:p>
        </w:tc>
        <w:tc>
          <w:tcPr>
            <w:tcW w:type="dxa" w:w="227"/>
            <w:tcBorders>
              <w:top w:sz="4" w:val="nil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 w14:paraId="13000000">
            <w:pPr>
              <w:rPr>
                <w:rFonts w:ascii="Times New Roman" w:hAnsi="Times New Roman"/>
              </w:rPr>
            </w:pPr>
          </w:p>
        </w:tc>
      </w:tr>
      <w:tr>
        <w:tc>
          <w:tcPr>
            <w:tcW w:type="dxa" w:w="3119"/>
            <w:tcBorders>
              <w:top w:sz="4" w:val="nil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14000000">
            <w:pPr>
              <w:spacing w:before="240"/>
              <w:ind/>
              <w:jc w:val="center"/>
              <w:rPr>
                <w:rFonts w:ascii="Times New Roman" w:hAnsi="Times New Roman"/>
              </w:rPr>
            </w:pPr>
          </w:p>
        </w:tc>
        <w:tc>
          <w:tcPr>
            <w:tcW w:type="dxa" w:w="6067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1500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 w:val="1"/>
              </w:rPr>
              <w:t xml:space="preserve">начальник юридического отдела, Голей Павел Игоревич, </w:t>
            </w:r>
          </w:p>
        </w:tc>
        <w:tc>
          <w:tcPr>
            <w:tcW w:type="dxa" w:w="227"/>
            <w:tcBorders>
              <w:top w:sz="4" w:val="nil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16000000">
            <w:pPr>
              <w:rPr>
                <w:rFonts w:ascii="Times New Roman" w:hAnsi="Times New Roman"/>
              </w:rPr>
            </w:pPr>
          </w:p>
        </w:tc>
      </w:tr>
      <w:tr>
        <w:tc>
          <w:tcPr>
            <w:tcW w:type="dxa" w:w="3119"/>
            <w:tcBorders>
              <w:top w:sz="4" w:val="nil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 w14:paraId="17000000">
            <w:pPr>
              <w:rPr>
                <w:rFonts w:ascii="Times New Roman" w:hAnsi="Times New Roman"/>
              </w:rPr>
            </w:pPr>
          </w:p>
        </w:tc>
        <w:tc>
          <w:tcPr>
            <w:tcW w:type="dxa" w:w="6067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 w14:paraId="18000000">
            <w:pPr>
              <w:ind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(должность, фамилия, имя, отчество (последнее при наличии) контактного лица эмитента)</w:t>
            </w:r>
          </w:p>
        </w:tc>
        <w:tc>
          <w:tcPr>
            <w:tcW w:type="dxa" w:w="227"/>
            <w:tcBorders>
              <w:top w:sz="4" w:val="nil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 w14:paraId="19000000">
            <w:pPr>
              <w:rPr>
                <w:rFonts w:ascii="Times New Roman" w:hAnsi="Times New Roman"/>
              </w:rPr>
            </w:pPr>
          </w:p>
        </w:tc>
      </w:tr>
      <w:tr>
        <w:tc>
          <w:tcPr>
            <w:tcW w:type="dxa" w:w="3119"/>
            <w:vMerge w:val="restart"/>
            <w:tcBorders>
              <w:top w:sz="4" w:val="nil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1A00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Контактное лицо </w:t>
            </w:r>
            <w:r>
              <w:rPr>
                <w:rFonts w:ascii="Times New Roman" w:hAnsi="Times New Roman"/>
              </w:rPr>
              <w:br/>
            </w:r>
            <w:r>
              <w:rPr>
                <w:rFonts w:ascii="Times New Roman" w:hAnsi="Times New Roman"/>
              </w:rPr>
              <w:t>эмитента</w:t>
            </w:r>
          </w:p>
        </w:tc>
        <w:tc>
          <w:tcPr>
            <w:tcW w:type="dxa" w:w="6067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1B00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 w:val="1"/>
              </w:rPr>
              <w:t>(81369) 2-24-15 доб.77-07</w:t>
            </w:r>
          </w:p>
        </w:tc>
        <w:tc>
          <w:tcPr>
            <w:tcW w:type="dxa" w:w="227"/>
            <w:tcBorders>
              <w:top w:sz="4" w:val="nil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1C000000">
            <w:pPr>
              <w:rPr>
                <w:rFonts w:ascii="Times New Roman" w:hAnsi="Times New Roman"/>
              </w:rPr>
            </w:pPr>
          </w:p>
        </w:tc>
      </w:tr>
      <w:tr>
        <w:tc>
          <w:tcPr>
            <w:tcW w:type="dxa" w:w="3119"/>
            <w:gridSpan w:val="1"/>
            <w:vMerge w:val="continue"/>
            <w:tcBorders>
              <w:top w:sz="4" w:val="nil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/>
        </w:tc>
        <w:tc>
          <w:tcPr>
            <w:tcW w:type="dxa" w:w="6067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 w14:paraId="1D000000">
            <w:pPr>
              <w:ind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(номер (номера) телефона контактного лица эмитента)</w:t>
            </w:r>
          </w:p>
        </w:tc>
        <w:tc>
          <w:tcPr>
            <w:tcW w:type="dxa" w:w="227"/>
            <w:tcBorders>
              <w:top w:sz="4" w:val="nil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 w14:paraId="1E000000">
            <w:pPr>
              <w:rPr>
                <w:rFonts w:ascii="Times New Roman" w:hAnsi="Times New Roman"/>
              </w:rPr>
            </w:pPr>
          </w:p>
        </w:tc>
      </w:tr>
      <w:tr>
        <w:trPr>
          <w:trHeight w:hRule="atLeast" w:val="200"/>
        </w:trPr>
        <w:tc>
          <w:tcPr>
            <w:tcW w:type="dxa" w:w="3119"/>
            <w:tcBorders>
              <w:top w:sz="4" w:val="nil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1F000000">
            <w:pPr>
              <w:spacing w:before="240"/>
              <w:ind/>
              <w:jc w:val="center"/>
              <w:rPr>
                <w:rFonts w:ascii="Times New Roman" w:hAnsi="Times New Roman"/>
              </w:rPr>
            </w:pPr>
          </w:p>
        </w:tc>
        <w:tc>
          <w:tcPr>
            <w:tcW w:type="dxa" w:w="6067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2000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 w:val="1"/>
              </w:rPr>
              <w:t>p.goley@titan2.ru</w:t>
            </w:r>
          </w:p>
        </w:tc>
        <w:tc>
          <w:tcPr>
            <w:tcW w:type="dxa" w:w="227"/>
            <w:tcBorders>
              <w:top w:sz="4" w:val="nil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21000000">
            <w:pPr>
              <w:rPr>
                <w:rFonts w:ascii="Times New Roman" w:hAnsi="Times New Roman"/>
              </w:rPr>
            </w:pPr>
          </w:p>
        </w:tc>
      </w:tr>
      <w:tr>
        <w:trPr>
          <w:trHeight w:hRule="atLeast" w:val="270"/>
        </w:trPr>
        <w:tc>
          <w:tcPr>
            <w:tcW w:type="dxa" w:w="3119"/>
            <w:tcBorders>
              <w:top w:sz="4" w:val="nil"/>
              <w:left w:color="000000" w:sz="4" w:val="single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 w14:paraId="22000000">
            <w:pPr>
              <w:spacing w:after="240"/>
              <w:ind/>
              <w:rPr>
                <w:rFonts w:ascii="Times New Roman" w:hAnsi="Times New Roman"/>
              </w:rPr>
            </w:pPr>
          </w:p>
        </w:tc>
        <w:tc>
          <w:tcPr>
            <w:tcW w:type="dxa" w:w="6067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 w14:paraId="23000000">
            <w:pPr>
              <w:spacing w:after="240"/>
              <w:ind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(адрес электронной почты контактного лица (если имеется)</w:t>
            </w:r>
          </w:p>
        </w:tc>
        <w:tc>
          <w:tcPr>
            <w:tcW w:type="dxa" w:w="227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 w14:paraId="24000000">
            <w:pPr>
              <w:spacing w:after="240"/>
              <w:ind/>
              <w:rPr>
                <w:rFonts w:ascii="Times New Roman" w:hAnsi="Times New Roman"/>
              </w:rPr>
            </w:pPr>
          </w:p>
        </w:tc>
      </w:tr>
    </w:tbl>
    <w:p w14:paraId="25000000">
      <w:pPr>
        <w:rPr>
          <w:rFonts w:ascii="Times New Roman" w:hAnsi="Times New Roman"/>
        </w:rPr>
      </w:pPr>
    </w:p>
    <w:tbl>
      <w:tblPr>
        <w:tblStyle w:val="Style_2"/>
        <w:tblW w:type="auto" w:w="0"/>
        <w:tblLayout w:type="fixed"/>
        <w:tblCellMar>
          <w:top w:type="dxa" w:w="0"/>
          <w:left w:type="dxa" w:w="28"/>
          <w:bottom w:type="dxa" w:w="0"/>
          <w:right w:type="dxa" w:w="28"/>
        </w:tblCellMar>
      </w:tblPr>
      <w:tblGrid>
        <w:gridCol w:w="2892"/>
        <w:gridCol w:w="200"/>
        <w:gridCol w:w="6067"/>
        <w:gridCol w:w="227"/>
        <w:gridCol w:w="8"/>
      </w:tblGrid>
      <w:tr>
        <w:tc>
          <w:tcPr>
            <w:tcW w:type="dxa" w:w="2892"/>
            <w:vMerge w:val="restart"/>
            <w:tcBorders>
              <w:top w:color="000000" w:sz="4" w:val="single"/>
              <w:left w:color="000000" w:sz="4" w:val="single"/>
              <w:bottom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 w14:paraId="2600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Адрес страницы в сети Интернет</w:t>
            </w:r>
          </w:p>
        </w:tc>
        <w:tc>
          <w:tcPr>
            <w:tcW w:type="dxa" w:w="200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27000000">
            <w:pPr>
              <w:ind/>
              <w:jc w:val="center"/>
              <w:rPr>
                <w:rFonts w:ascii="Times New Roman" w:hAnsi="Times New Roman"/>
              </w:rPr>
            </w:pPr>
          </w:p>
        </w:tc>
        <w:tc>
          <w:tcPr>
            <w:tcW w:type="dxa" w:w="6067"/>
            <w:tcBorders>
              <w:top w:color="000000" w:sz="4" w:val="single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28000000">
            <w:pPr>
              <w:ind/>
              <w:jc w:val="cent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disclosure.1prime.ru/Portal/Default.aspx?emId=4714000211</w:t>
            </w:r>
          </w:p>
        </w:tc>
        <w:tc>
          <w:tcPr>
            <w:tcW w:type="dxa" w:w="227"/>
            <w:tcBorders>
              <w:top w:color="000000" w:sz="4" w:val="single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29000000">
            <w:pPr>
              <w:rPr>
                <w:rFonts w:ascii="Times New Roman" w:hAnsi="Times New Roman"/>
              </w:rPr>
            </w:pPr>
          </w:p>
        </w:tc>
        <w:tc>
          <w:tcPr>
            <w:tcW w:type="dxa" w:w="8"/>
            <w:tcMar>
              <w:top w:type="dxa" w:w="0"/>
              <w:left w:type="dxa" w:w="28"/>
              <w:bottom w:type="dxa" w:w="0"/>
              <w:right w:type="dxa" w:w="28"/>
            </w:tcMar>
          </w:tcPr>
          <w:p/>
        </w:tc>
      </w:tr>
      <w:tr>
        <w:trPr>
          <w:trHeight w:hRule="atLeast" w:val="490"/>
        </w:trPr>
        <w:tc>
          <w:tcPr>
            <w:tcW w:type="dxa" w:w="2892"/>
            <w:gridSpan w:val="1"/>
            <w:vMerge w:val="continue"/>
            <w:tcBorders>
              <w:top w:color="000000" w:sz="4" w:val="single"/>
              <w:left w:color="000000" w:sz="4" w:val="single"/>
              <w:bottom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/>
        </w:tc>
        <w:tc>
          <w:tcPr>
            <w:tcW w:type="dxa" w:w="6502"/>
            <w:gridSpan w:val="4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 w14:paraId="2A000000">
            <w:pPr>
              <w:spacing w:after="240"/>
              <w:ind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(адрес страницы в сети «Интернет», на которой раскрывается информация, содержащаяся в настоящем отчете эмитента)</w:t>
            </w:r>
          </w:p>
        </w:tc>
      </w:tr>
    </w:tbl>
    <w:p w14:paraId="2B000000">
      <w:pPr>
        <w:rPr>
          <w:rFonts w:ascii="Times New Roman" w:hAnsi="Times New Roman"/>
        </w:rPr>
      </w:pPr>
    </w:p>
    <w:tbl>
      <w:tblPr>
        <w:tblStyle w:val="Style_2"/>
        <w:tblW w:type="auto" w:w="0"/>
        <w:tblBorders>
          <w:top w:color="000000" w:sz="4" w:val="single"/>
          <w:left w:color="000000" w:sz="4" w:val="single"/>
          <w:bottom w:color="000000" w:sz="4" w:val="single"/>
          <w:right w:color="000000" w:sz="4" w:val="single"/>
          <w:insideH w:color="000000" w:sz="4" w:val="single"/>
          <w:insideV w:color="000000" w:sz="4" w:val="single"/>
        </w:tblBorders>
        <w:tblLayout w:type="fixed"/>
        <w:tblCellMar>
          <w:top w:type="dxa" w:w="0"/>
          <w:left w:type="dxa" w:w="28"/>
          <w:bottom w:type="dxa" w:w="0"/>
          <w:right w:type="dxa" w:w="28"/>
        </w:tblCellMar>
      </w:tblPr>
      <w:tblGrid>
        <w:gridCol w:w="169"/>
        <w:gridCol w:w="142"/>
        <w:gridCol w:w="454"/>
        <w:gridCol w:w="227"/>
        <w:gridCol w:w="1701"/>
        <w:gridCol w:w="340"/>
        <w:gridCol w:w="340"/>
        <w:gridCol w:w="2750"/>
        <w:gridCol w:w="284"/>
        <w:gridCol w:w="1134"/>
        <w:gridCol w:w="170"/>
        <w:gridCol w:w="1588"/>
        <w:gridCol w:w="113"/>
      </w:tblGrid>
      <w:tr>
        <w:trPr>
          <w:trHeight w:hRule="atLeast" w:val="433"/>
        </w:trPr>
        <w:tc>
          <w:tcPr>
            <w:tcW w:type="dxa" w:w="169"/>
            <w:tcBorders>
              <w:top w:color="000000" w:sz="4" w:val="single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2C000000">
            <w:pPr>
              <w:ind w:firstLine="0" w:left="57"/>
              <w:rPr>
                <w:rFonts w:ascii="Times New Roman" w:hAnsi="Times New Roman"/>
              </w:rPr>
            </w:pPr>
          </w:p>
        </w:tc>
        <w:tc>
          <w:tcPr>
            <w:tcW w:type="dxa" w:w="5954"/>
            <w:gridSpan w:val="7"/>
            <w:tcBorders>
              <w:top w:color="000000" w:sz="4" w:val="single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2D00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 w:val="1"/>
              </w:rPr>
              <w:t>Генеральный директор</w:t>
            </w:r>
            <w:r>
              <w:rPr>
                <w:rFonts w:ascii="Times New Roman" w:hAnsi="Times New Roman"/>
              </w:rPr>
              <w:t>, на основании Устава</w:t>
            </w:r>
          </w:p>
        </w:tc>
        <w:tc>
          <w:tcPr>
            <w:tcW w:type="dxa" w:w="284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2E000000">
            <w:pPr>
              <w:rPr>
                <w:rFonts w:ascii="Times New Roman" w:hAnsi="Times New Roman"/>
              </w:rPr>
            </w:pPr>
          </w:p>
        </w:tc>
        <w:tc>
          <w:tcPr>
            <w:tcW w:type="dxa" w:w="1134"/>
            <w:tcBorders>
              <w:top w:color="000000" w:sz="4" w:val="single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2F000000">
            <w:pPr>
              <w:ind/>
              <w:jc w:val="center"/>
              <w:rPr>
                <w:rFonts w:ascii="Times New Roman" w:hAnsi="Times New Roman"/>
              </w:rPr>
            </w:pPr>
          </w:p>
        </w:tc>
        <w:tc>
          <w:tcPr>
            <w:tcW w:type="dxa" w:w="170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30000000">
            <w:pPr>
              <w:rPr>
                <w:rFonts w:ascii="Times New Roman" w:hAnsi="Times New Roman"/>
              </w:rPr>
            </w:pPr>
          </w:p>
        </w:tc>
        <w:tc>
          <w:tcPr>
            <w:tcW w:type="dxa" w:w="1588"/>
            <w:tcBorders>
              <w:top w:color="000000" w:sz="4" w:val="single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31000000">
            <w:pPr>
              <w:ind/>
              <w:jc w:val="center"/>
              <w:rPr>
                <w:rFonts w:ascii="Times New Roman" w:hAnsi="Times New Roman"/>
                <w:b w:val="1"/>
              </w:rPr>
            </w:pPr>
            <w:r>
              <w:rPr>
                <w:rFonts w:ascii="Times New Roman" w:hAnsi="Times New Roman"/>
                <w:b w:val="1"/>
              </w:rPr>
              <w:t>Д</w:t>
            </w:r>
            <w:r>
              <w:rPr>
                <w:rFonts w:ascii="Times New Roman" w:hAnsi="Times New Roman"/>
                <w:b w:val="1"/>
              </w:rPr>
              <w:t>.</w:t>
            </w:r>
            <w:r>
              <w:rPr>
                <w:rFonts w:ascii="Times New Roman" w:hAnsi="Times New Roman"/>
                <w:b w:val="1"/>
              </w:rPr>
              <w:t>Ю</w:t>
            </w:r>
            <w:r>
              <w:rPr>
                <w:rFonts w:ascii="Times New Roman" w:hAnsi="Times New Roman"/>
                <w:b w:val="1"/>
              </w:rPr>
              <w:t>.</w:t>
            </w:r>
            <w:r>
              <w:rPr>
                <w:rFonts w:ascii="Times New Roman" w:hAnsi="Times New Roman"/>
                <w:b w:val="1"/>
              </w:rPr>
              <w:t xml:space="preserve"> </w:t>
            </w:r>
            <w:r>
              <w:rPr>
                <w:rFonts w:ascii="Times New Roman" w:hAnsi="Times New Roman"/>
                <w:b w:val="1"/>
              </w:rPr>
              <w:t xml:space="preserve">Волгин </w:t>
            </w:r>
          </w:p>
        </w:tc>
        <w:tc>
          <w:tcPr>
            <w:tcW w:type="dxa" w:w="113"/>
            <w:tcBorders>
              <w:top w:color="000000" w:sz="4" w:val="single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32000000">
            <w:pPr>
              <w:rPr>
                <w:rFonts w:ascii="Times New Roman" w:hAnsi="Times New Roman"/>
              </w:rPr>
            </w:pPr>
          </w:p>
        </w:tc>
      </w:tr>
      <w:tr>
        <w:tc>
          <w:tcPr>
            <w:tcW w:type="dxa" w:w="169"/>
            <w:tcBorders>
              <w:top w:sz="4" w:val="nil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 w14:paraId="33000000">
            <w:pPr>
              <w:ind w:firstLine="0" w:left="57"/>
              <w:rPr>
                <w:rFonts w:ascii="Times New Roman" w:hAnsi="Times New Roman"/>
                <w:spacing w:val="-4"/>
              </w:rPr>
            </w:pPr>
          </w:p>
        </w:tc>
        <w:tc>
          <w:tcPr>
            <w:tcW w:type="dxa" w:w="5954"/>
            <w:gridSpan w:val="7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 w14:paraId="34000000">
            <w:pPr>
              <w:ind/>
              <w:jc w:val="center"/>
              <w:rPr>
                <w:rFonts w:ascii="Times New Roman" w:hAnsi="Times New Roman"/>
                <w:spacing w:val="-4"/>
                <w:sz w:val="20"/>
              </w:rPr>
            </w:pPr>
            <w:r>
              <w:rPr>
                <w:rFonts w:ascii="Times New Roman" w:hAnsi="Times New Roman"/>
                <w:spacing w:val="-4"/>
                <w:sz w:val="20"/>
              </w:rPr>
              <w:t xml:space="preserve">(наименование должности лица, осуществляющего функции единоличного исполнительного органа, </w:t>
            </w:r>
            <w:r>
              <w:rPr>
                <w:rFonts w:ascii="Times New Roman" w:hAnsi="Times New Roman"/>
                <w:spacing w:val="-4"/>
                <w:sz w:val="20"/>
              </w:rPr>
              <w:t>)</w:t>
            </w:r>
          </w:p>
        </w:tc>
        <w:tc>
          <w:tcPr>
            <w:tcW w:type="dxa" w:w="284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 w14:paraId="35000000">
            <w:pPr>
              <w:rPr>
                <w:rFonts w:ascii="Times New Roman" w:hAnsi="Times New Roman"/>
                <w:spacing w:val="-4"/>
              </w:rPr>
            </w:pPr>
          </w:p>
        </w:tc>
        <w:tc>
          <w:tcPr>
            <w:tcW w:type="dxa" w:w="1134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 w14:paraId="36000000">
            <w:pPr>
              <w:ind/>
              <w:jc w:val="center"/>
              <w:rPr>
                <w:rFonts w:ascii="Times New Roman" w:hAnsi="Times New Roman"/>
                <w:spacing w:val="-4"/>
              </w:rPr>
            </w:pPr>
            <w:r>
              <w:rPr>
                <w:rFonts w:ascii="Times New Roman" w:hAnsi="Times New Roman"/>
                <w:spacing w:val="-4"/>
              </w:rPr>
              <w:t>(подпись)</w:t>
            </w:r>
          </w:p>
        </w:tc>
        <w:tc>
          <w:tcPr>
            <w:tcW w:type="dxa" w:w="170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 w14:paraId="37000000">
            <w:pPr>
              <w:rPr>
                <w:rFonts w:ascii="Times New Roman" w:hAnsi="Times New Roman"/>
                <w:spacing w:val="-4"/>
              </w:rPr>
            </w:pPr>
          </w:p>
        </w:tc>
        <w:tc>
          <w:tcPr>
            <w:tcW w:type="dxa" w:w="1588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 w14:paraId="38000000">
            <w:pPr>
              <w:ind/>
              <w:jc w:val="center"/>
              <w:rPr>
                <w:rFonts w:ascii="Times New Roman" w:hAnsi="Times New Roman"/>
                <w:spacing w:val="-4"/>
                <w:sz w:val="22"/>
              </w:rPr>
            </w:pPr>
            <w:r>
              <w:rPr>
                <w:rFonts w:ascii="Times New Roman" w:hAnsi="Times New Roman"/>
                <w:spacing w:val="-4"/>
                <w:sz w:val="22"/>
              </w:rPr>
              <w:t>(И.О. Фамилия)</w:t>
            </w:r>
          </w:p>
        </w:tc>
        <w:tc>
          <w:tcPr>
            <w:tcW w:type="dxa" w:w="113"/>
            <w:tcBorders>
              <w:top w:sz="4" w:val="nil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 w14:paraId="39000000">
            <w:pPr>
              <w:rPr>
                <w:rFonts w:ascii="Times New Roman" w:hAnsi="Times New Roman"/>
                <w:spacing w:val="-4"/>
              </w:rPr>
            </w:pPr>
          </w:p>
        </w:tc>
      </w:tr>
      <w:tr>
        <w:tc>
          <w:tcPr>
            <w:tcW w:type="dxa" w:w="311"/>
            <w:gridSpan w:val="2"/>
            <w:tcBorders>
              <w:top w:sz="4" w:val="nil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3A000000">
            <w:pPr>
              <w:ind w:firstLine="0" w:left="57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«</w:t>
            </w:r>
          </w:p>
        </w:tc>
        <w:tc>
          <w:tcPr>
            <w:tcW w:type="dxa" w:w="454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3B000000">
            <w:r>
              <w:t>24</w:t>
            </w:r>
          </w:p>
        </w:tc>
        <w:tc>
          <w:tcPr>
            <w:tcW w:type="dxa" w:w="227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3C00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»</w:t>
            </w:r>
          </w:p>
        </w:tc>
        <w:tc>
          <w:tcPr>
            <w:tcW w:type="dxa" w:w="1701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3D000000">
            <w:r>
              <w:t>января</w:t>
            </w:r>
          </w:p>
        </w:tc>
        <w:tc>
          <w:tcPr>
            <w:tcW w:type="dxa" w:w="340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3E000000">
            <w:pPr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</w:t>
            </w:r>
          </w:p>
        </w:tc>
        <w:tc>
          <w:tcPr>
            <w:tcW w:type="dxa" w:w="340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3F00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25</w:t>
            </w:r>
          </w:p>
        </w:tc>
        <w:tc>
          <w:tcPr>
            <w:tcW w:type="dxa" w:w="6039"/>
            <w:gridSpan w:val="6"/>
            <w:tcBorders>
              <w:top w:sz="4" w:val="nil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40000000">
            <w:pPr>
              <w:ind w:firstLine="0" w:left="57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г.</w:t>
            </w:r>
          </w:p>
        </w:tc>
      </w:tr>
    </w:tbl>
    <w:p w14:paraId="41000000"/>
    <w:p w14:paraId="42000000"/>
    <w:p w14:paraId="43000000"/>
    <w:p w14:paraId="44000000"/>
    <w:p w14:paraId="45000000"/>
    <w:p w14:paraId="46000000"/>
    <w:p w14:paraId="47000000"/>
    <w:p w14:paraId="48000000"/>
    <w:p w14:paraId="49000000"/>
    <w:p w14:paraId="4A000000"/>
    <w:p w14:paraId="4B000000">
      <w:pPr>
        <w:pStyle w:val="Style_3"/>
        <w:ind/>
        <w:jc w:val="center"/>
        <w:rPr>
          <w:rFonts w:ascii="Times New Roman" w:hAnsi="Times New Roman"/>
          <w:b w:val="1"/>
          <w:sz w:val="28"/>
        </w:rPr>
      </w:pPr>
      <w:r>
        <w:rPr>
          <w:rFonts w:ascii="Times New Roman" w:hAnsi="Times New Roman"/>
          <w:b w:val="1"/>
          <w:sz w:val="28"/>
        </w:rPr>
        <w:t xml:space="preserve">Пояснения </w:t>
      </w:r>
    </w:p>
    <w:p w14:paraId="4C000000">
      <w:pPr>
        <w:ind w:firstLine="567" w:left="0"/>
        <w:jc w:val="both"/>
        <w:outlineLvl w:val="8"/>
        <w:rPr>
          <w:rFonts w:ascii="Times New Roman" w:hAnsi="Times New Roman"/>
          <w:b w:val="0"/>
          <w:sz w:val="28"/>
        </w:rPr>
      </w:pPr>
      <w:r>
        <w:rPr>
          <w:rFonts w:ascii="Times New Roman" w:hAnsi="Times New Roman"/>
          <w:b w:val="0"/>
          <w:sz w:val="28"/>
        </w:rPr>
        <w:t xml:space="preserve">Настоящий документ публикуется Публичным акционерным обществом «Северное управление строительства (далее – «Эмитент») в порядке изменения (корректировки) информации, содержащейся в ранее опубликованном отчете Эмитента за 12 месяцев 2023 года (далее – «Отчет»). </w:t>
      </w:r>
      <w:r>
        <w:rPr>
          <w:rFonts w:ascii="Times New Roman" w:hAnsi="Times New Roman"/>
          <w:b w:val="0"/>
          <w:sz w:val="28"/>
        </w:rPr>
        <w:tab/>
      </w:r>
      <w:r>
        <w:rPr>
          <w:rFonts w:ascii="Times New Roman" w:hAnsi="Times New Roman"/>
          <w:b w:val="0"/>
          <w:sz w:val="28"/>
        </w:rPr>
        <w:t xml:space="preserve">Изменения (корректировка) осуществляются на основании </w:t>
      </w:r>
      <w:r>
        <w:rPr>
          <w:rFonts w:ascii="Times New Roman" w:hAnsi="Times New Roman"/>
          <w:b w:val="0"/>
          <w:sz w:val="28"/>
        </w:rPr>
        <w:t xml:space="preserve"> Письма Банка России от 20 декабря 2024 года № Т2-50-3/39137 (далее - Письмо).</w:t>
      </w:r>
    </w:p>
    <w:p w14:paraId="4D000000">
      <w:pPr>
        <w:ind w:firstLine="567" w:left="0"/>
        <w:jc w:val="both"/>
        <w:outlineLvl w:val="8"/>
        <w:rPr>
          <w:rFonts w:ascii="Times New Roman" w:hAnsi="Times New Roman"/>
          <w:b w:val="0"/>
          <w:sz w:val="28"/>
        </w:rPr>
      </w:pPr>
      <w:r>
        <w:rPr>
          <w:rFonts w:ascii="Times New Roman" w:hAnsi="Times New Roman"/>
          <w:b w:val="0"/>
          <w:sz w:val="28"/>
        </w:rPr>
        <w:t xml:space="preserve"> </w:t>
      </w:r>
      <w:r>
        <w:rPr>
          <w:rFonts w:ascii="Times New Roman" w:hAnsi="Times New Roman"/>
          <w:b w:val="0"/>
          <w:sz w:val="28"/>
        </w:rPr>
        <w:t xml:space="preserve">Ссылка на ранее опубликованный, откорректированный в соответствии с Предписанием Центрального Банка РФ от 31 октября 2024 г. Отчет эмитента за 12 месяцев 2023 г (далее - Отчет эмитента) , информация в котором повторно корректируется:  </w:t>
      </w:r>
    </w:p>
    <w:p w14:paraId="4E000000">
      <w:pPr>
        <w:ind w:firstLine="0" w:left="0"/>
        <w:jc w:val="left"/>
        <w:outlineLvl w:val="8"/>
        <w:rPr>
          <w:rFonts w:ascii="Times New Roman" w:hAnsi="Times New Roman"/>
          <w:b w:val="0"/>
          <w:color w:val="000000"/>
          <w:sz w:val="28"/>
          <w:u w:val="single"/>
        </w:rPr>
      </w:pPr>
      <w:r>
        <w:rPr>
          <w:rFonts w:ascii="Times New Roman" w:hAnsi="Times New Roman"/>
          <w:b w:val="0"/>
          <w:i w:val="0"/>
          <w:caps w:val="0"/>
          <w:color w:val="0000EE"/>
          <w:spacing w:val="0"/>
          <w:sz w:val="28"/>
          <w:highlight w:val="white"/>
          <w:u w:color="000000" w:val="single"/>
        </w:rPr>
        <w:fldChar w:fldCharType="begin"/>
      </w:r>
      <w:r>
        <w:rPr>
          <w:rFonts w:ascii="Times New Roman" w:hAnsi="Times New Roman"/>
          <w:b w:val="0"/>
          <w:i w:val="0"/>
          <w:caps w:val="0"/>
          <w:color w:val="0000EE"/>
          <w:spacing w:val="0"/>
          <w:sz w:val="28"/>
          <w:highlight w:val="white"/>
          <w:u w:color="000000" w:val="single"/>
        </w:rPr>
        <w:instrText>HYPERLINK "http://disclosure.1prime.ru/Portal/GetDocument.aspx?emId=4714000211&amp;docId=8b6284532ac74eeaa9e56773d648ab15"</w:instrText>
      </w:r>
      <w:r>
        <w:rPr>
          <w:rFonts w:ascii="Times New Roman" w:hAnsi="Times New Roman"/>
          <w:b w:val="0"/>
          <w:i w:val="0"/>
          <w:caps w:val="0"/>
          <w:color w:val="0000EE"/>
          <w:spacing w:val="0"/>
          <w:sz w:val="28"/>
          <w:highlight w:val="white"/>
          <w:u w:color="000000" w:val="single"/>
        </w:rPr>
        <w:fldChar w:fldCharType="separate"/>
      </w:r>
      <w:r>
        <w:rPr>
          <w:rFonts w:ascii="Times New Roman" w:hAnsi="Times New Roman"/>
          <w:b w:val="0"/>
          <w:i w:val="0"/>
          <w:caps w:val="0"/>
          <w:color w:val="0000EE"/>
          <w:spacing w:val="0"/>
          <w:sz w:val="28"/>
          <w:highlight w:val="white"/>
          <w:u w:color="000000" w:val="single"/>
        </w:rPr>
        <w:t>http://disclosure.1prime.ru/Portal/GetDocument.aspx?emId=4714000211&amp;docId=8b6284532ac74eeaa9e56773d648ab15</w:t>
      </w:r>
      <w:r>
        <w:rPr>
          <w:rFonts w:ascii="Times New Roman" w:hAnsi="Times New Roman"/>
          <w:b w:val="0"/>
          <w:i w:val="0"/>
          <w:caps w:val="0"/>
          <w:color w:val="0000EE"/>
          <w:spacing w:val="0"/>
          <w:sz w:val="28"/>
          <w:highlight w:val="white"/>
          <w:u w:color="000000" w:val="single"/>
        </w:rPr>
        <w:fldChar w:fldCharType="end"/>
      </w:r>
      <w:r>
        <w:rPr>
          <w:rFonts w:ascii="Times New Roman" w:hAnsi="Times New Roman"/>
          <w:b w:val="0"/>
          <w:i w:val="0"/>
          <w:caps w:val="0"/>
          <w:color w:val="000000"/>
          <w:spacing w:val="0"/>
          <w:sz w:val="28"/>
          <w:highlight w:val="white"/>
          <w:u w:color="000000" w:val="single"/>
        </w:rPr>
        <w:t xml:space="preserve"> </w:t>
      </w:r>
      <w:r>
        <w:rPr>
          <w:rFonts w:ascii="Times New Roman" w:hAnsi="Times New Roman"/>
          <w:b w:val="0"/>
          <w:i w:val="0"/>
          <w:caps w:val="0"/>
          <w:color w:val="000000"/>
          <w:spacing w:val="0"/>
          <w:sz w:val="28"/>
          <w:highlight w:val="white"/>
          <w:u w:color="000000" w:val="single"/>
        </w:rPr>
        <w:t>(</w:t>
      </w:r>
      <w:r>
        <w:rPr>
          <w:rFonts w:ascii="Times New Roman" w:hAnsi="Times New Roman"/>
          <w:b w:val="0"/>
          <w:i w:val="0"/>
          <w:caps w:val="0"/>
          <w:color w:val="000000"/>
          <w:spacing w:val="0"/>
          <w:sz w:val="28"/>
          <w:highlight w:val="white"/>
          <w:u w:color="000000" w:val="none"/>
        </w:rPr>
        <w:t>опубликован 22.11.2024)</w:t>
      </w:r>
      <w:r>
        <w:rPr>
          <w:rFonts w:ascii="Times New Roman" w:hAnsi="Times New Roman"/>
          <w:b w:val="0"/>
          <w:color w:val="000000"/>
          <w:sz w:val="28"/>
          <w:u w:val="none"/>
        </w:rPr>
        <w:t xml:space="preserve">. </w:t>
      </w:r>
      <w:r>
        <w:rPr>
          <w:rFonts w:ascii="Times New Roman" w:hAnsi="Times New Roman"/>
          <w:b w:val="1"/>
          <w:color w:val="000000"/>
          <w:sz w:val="28"/>
          <w:u w:val="none"/>
        </w:rPr>
        <w:t xml:space="preserve"> </w:t>
      </w:r>
    </w:p>
    <w:p w14:paraId="4F000000">
      <w:pPr>
        <w:ind w:firstLine="567" w:left="0"/>
        <w:jc w:val="both"/>
        <w:outlineLvl w:val="8"/>
        <w:rPr>
          <w:rFonts w:ascii="Times New Roman" w:hAnsi="Times New Roman"/>
          <w:b w:val="0"/>
          <w:sz w:val="28"/>
        </w:rPr>
      </w:pPr>
      <w:r>
        <w:rPr>
          <w:rFonts w:ascii="Times New Roman" w:hAnsi="Times New Roman"/>
          <w:b w:val="0"/>
          <w:sz w:val="28"/>
        </w:rPr>
        <w:t>И</w:t>
      </w:r>
      <w:r>
        <w:rPr>
          <w:rFonts w:ascii="Times New Roman" w:hAnsi="Times New Roman"/>
          <w:b w:val="0"/>
          <w:sz w:val="28"/>
        </w:rPr>
        <w:t>зменения (корректировка) в Отчет осуществляются повторно в связи с необходимостью устранения дополнительно выявленных и отмеченных в письме недостатков в Отчете эмитента за 12 месяцев 2023 г. в, в том числе включения в Отчет недостающей информации, в соответствии с  требованиям</w:t>
      </w:r>
      <w:r>
        <w:rPr>
          <w:rFonts w:ascii="Times New Roman" w:hAnsi="Times New Roman"/>
          <w:b w:val="0"/>
          <w:sz w:val="28"/>
        </w:rPr>
        <w:t xml:space="preserve"> Положения Банка России от 27 марта 2020 года № 714-П «О раскрытии информации эмитентами эмиссионных ценных бумаг» (далее – «Положение № 714-П»). </w:t>
      </w:r>
    </w:p>
    <w:p w14:paraId="50000000">
      <w:pPr>
        <w:ind w:firstLine="567" w:left="0"/>
        <w:jc w:val="both"/>
        <w:outlineLvl w:val="8"/>
        <w:rPr>
          <w:rFonts w:ascii="Times New Roman" w:hAnsi="Times New Roman"/>
          <w:b w:val="0"/>
          <w:sz w:val="28"/>
        </w:rPr>
      </w:pPr>
    </w:p>
    <w:p w14:paraId="51000000">
      <w:pPr>
        <w:ind w:firstLine="567" w:left="0"/>
        <w:jc w:val="both"/>
        <w:outlineLvl w:val="8"/>
        <w:rPr>
          <w:rFonts w:ascii="Times New Roman" w:hAnsi="Times New Roman"/>
          <w:b w:val="0"/>
          <w:sz w:val="28"/>
        </w:rPr>
      </w:pPr>
      <w:r>
        <w:rPr>
          <w:rFonts w:ascii="Times New Roman" w:hAnsi="Times New Roman"/>
          <w:b w:val="0"/>
          <w:sz w:val="28"/>
        </w:rPr>
        <w:t xml:space="preserve">Краткое описание внесенных изменений:  </w:t>
      </w:r>
    </w:p>
    <w:p w14:paraId="52000000">
      <w:pPr>
        <w:ind w:firstLine="0" w:left="283"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</w:p>
    <w:p w14:paraId="53000000">
      <w:pPr>
        <w:ind w:firstLine="0" w:left="283"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b w:val="1"/>
          <w:i w:val="0"/>
          <w:caps w:val="0"/>
          <w:color w:val="000000"/>
          <w:spacing w:val="0"/>
          <w:sz w:val="28"/>
          <w:highlight w:val="white"/>
        </w:rPr>
        <w:t>Пункт 1 Письма:</w:t>
      </w:r>
    </w:p>
    <w:p w14:paraId="54000000">
      <w:pPr>
        <w:ind w:firstLine="0" w:left="283"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aps w:val="0"/>
          <w:color w:val="000000"/>
          <w:spacing w:val="0"/>
          <w:sz w:val="28"/>
          <w:highlight w:val="white"/>
        </w:rPr>
        <w:t>п.1.2. Отчета эмитента добавлены следующие сведения (абзац 4 п.1.2 раздела 1 приложения 3 Положения Банка России №714-П)</w:t>
      </w:r>
      <w:r>
        <w:rPr>
          <w:rFonts w:ascii="Times New Roman" w:hAnsi="Times New Roman"/>
          <w:b w:val="0"/>
          <w:i w:val="0"/>
          <w:color w:val="000000"/>
          <w:sz w:val="28"/>
        </w:rPr>
        <w:t>:</w:t>
      </w:r>
    </w:p>
    <w:p w14:paraId="55000000">
      <w:pPr>
        <w:ind w:firstLine="0" w:left="283"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aps w:val="0"/>
          <w:color w:val="000000"/>
          <w:spacing w:val="0"/>
          <w:sz w:val="28"/>
          <w:highlight w:val="white"/>
        </w:rPr>
        <w:t xml:space="preserve">  </w:t>
      </w:r>
    </w:p>
    <w:p w14:paraId="56000000">
      <w:pPr>
        <w:spacing w:after="0" w:before="0"/>
        <w:ind w:firstLine="709" w:left="0" w:right="0"/>
        <w:jc w:val="both"/>
        <w:rPr>
          <w:rFonts w:ascii="Calibri" w:hAnsi="Calibri"/>
          <w:color w:val="000000"/>
          <w:sz w:val="28"/>
        </w:rPr>
      </w:pPr>
      <w:r>
        <w:rPr>
          <w:rFonts w:ascii="Times New Roman" w:hAnsi="Times New Roman"/>
          <w:color w:val="000000"/>
          <w:sz w:val="28"/>
        </w:rPr>
        <w:t>«Согласно данных рейтинга компании «Спарк», информационной группы Интерфакс – ПАО СУС, по итогам 2023 года занимает:</w:t>
      </w:r>
    </w:p>
    <w:p w14:paraId="57000000">
      <w:pPr>
        <w:spacing w:after="0" w:before="0"/>
        <w:ind w:hanging="1080" w:left="720" w:right="0"/>
        <w:rPr>
          <w:rFonts w:ascii="Times New Roman" w:hAnsi="Times New Roman"/>
          <w:color w:val="000000"/>
          <w:sz w:val="28"/>
        </w:rPr>
      </w:pPr>
      <w:r>
        <w:rPr>
          <w:rFonts w:ascii="Symbol" w:hAnsi="Symbol"/>
          <w:color w:val="000000"/>
          <w:sz w:val="28"/>
        </w:rPr>
        <w:t>-</w:t>
      </w:r>
      <w:r>
        <w:rPr>
          <w:rFonts w:ascii="Times New Roman" w:hAnsi="Times New Roman"/>
          <w:color w:val="000000"/>
          <w:sz w:val="28"/>
        </w:rPr>
        <w:t>       </w:t>
      </w:r>
      <w:r>
        <w:rPr>
          <w:rFonts w:ascii="Times New Roman" w:hAnsi="Times New Roman"/>
          <w:color w:val="000000"/>
          <w:sz w:val="28"/>
        </w:rPr>
        <w:t xml:space="preserve"> </w:t>
      </w:r>
      <w:r>
        <w:rPr>
          <w:rFonts w:ascii="Times New Roman" w:hAnsi="Times New Roman"/>
          <w:color w:val="000000"/>
          <w:sz w:val="28"/>
          <w:u w:color="000000" w:val="single"/>
        </w:rPr>
        <w:fldChar w:fldCharType="begin"/>
      </w:r>
      <w:r>
        <w:rPr>
          <w:rFonts w:ascii="Times New Roman" w:hAnsi="Times New Roman"/>
          <w:color w:val="000000"/>
          <w:sz w:val="28"/>
          <w:u w:color="000000" w:val="single"/>
        </w:rPr>
        <w:instrText>HYPERLINK "https://spark-interfax.ru/map/rossiya/3#pos-5952"</w:instrText>
      </w:r>
      <w:r>
        <w:rPr>
          <w:rFonts w:ascii="Times New Roman" w:hAnsi="Times New Roman"/>
          <w:color w:val="000000"/>
          <w:sz w:val="28"/>
          <w:u w:color="000000" w:val="single"/>
        </w:rPr>
        <w:fldChar w:fldCharType="separate"/>
      </w:r>
      <w:r>
        <w:rPr>
          <w:rFonts w:ascii="Times New Roman" w:hAnsi="Times New Roman"/>
          <w:color w:val="000000"/>
          <w:sz w:val="28"/>
          <w:u w:color="000000" w:val="single"/>
        </w:rPr>
        <w:t>5 952</w:t>
      </w:r>
      <w:r>
        <w:rPr>
          <w:rFonts w:ascii="Times New Roman" w:hAnsi="Times New Roman"/>
          <w:color w:val="000000"/>
          <w:sz w:val="28"/>
          <w:u w:color="000000" w:val="single"/>
        </w:rPr>
        <w:fldChar w:fldCharType="end"/>
      </w:r>
      <w:r>
        <w:rPr>
          <w:rFonts w:ascii="Times New Roman" w:hAnsi="Times New Roman"/>
          <w:color w:val="000000"/>
          <w:sz w:val="28"/>
        </w:rPr>
        <w:t xml:space="preserve"> </w:t>
      </w:r>
      <w:r>
        <w:rPr>
          <w:rFonts w:ascii="Times New Roman" w:hAnsi="Times New Roman"/>
          <w:color w:val="000000"/>
          <w:sz w:val="28"/>
        </w:rPr>
        <w:t>место по выручке в России;</w:t>
      </w:r>
    </w:p>
    <w:p w14:paraId="58000000">
      <w:pPr>
        <w:spacing w:after="0" w:before="0"/>
        <w:ind w:hanging="1080" w:left="720" w:right="0"/>
        <w:rPr>
          <w:rFonts w:ascii="Times New Roman" w:hAnsi="Times New Roman"/>
          <w:color w:val="000000"/>
          <w:sz w:val="28"/>
        </w:rPr>
      </w:pPr>
      <w:r>
        <w:rPr>
          <w:rFonts w:ascii="Symbol" w:hAnsi="Symbol"/>
          <w:color w:val="000000"/>
          <w:sz w:val="28"/>
        </w:rPr>
        <w:t>-</w:t>
      </w:r>
      <w:r>
        <w:rPr>
          <w:rFonts w:ascii="Times New Roman" w:hAnsi="Times New Roman"/>
          <w:color w:val="000000"/>
          <w:sz w:val="28"/>
        </w:rPr>
        <w:t>       </w:t>
      </w:r>
      <w:r>
        <w:rPr>
          <w:rFonts w:ascii="Times New Roman" w:hAnsi="Times New Roman"/>
          <w:color w:val="000000"/>
          <w:sz w:val="28"/>
        </w:rPr>
        <w:t xml:space="preserve"> </w:t>
      </w:r>
      <w:r>
        <w:rPr>
          <w:rFonts w:ascii="Times New Roman" w:hAnsi="Times New Roman"/>
          <w:color w:val="000000"/>
          <w:sz w:val="28"/>
          <w:u w:color="000000" w:val="single"/>
        </w:rPr>
        <w:fldChar w:fldCharType="begin"/>
      </w:r>
      <w:r>
        <w:rPr>
          <w:rFonts w:ascii="Times New Roman" w:hAnsi="Times New Roman"/>
          <w:color w:val="000000"/>
          <w:sz w:val="28"/>
          <w:u w:color="000000" w:val="single"/>
        </w:rPr>
        <w:instrText>HYPERLINK "https://spark-interfax.ru/map/leningradskaya-oblast#pos-85"</w:instrText>
      </w:r>
      <w:r>
        <w:rPr>
          <w:rFonts w:ascii="Times New Roman" w:hAnsi="Times New Roman"/>
          <w:color w:val="000000"/>
          <w:sz w:val="28"/>
          <w:u w:color="000000" w:val="single"/>
        </w:rPr>
        <w:fldChar w:fldCharType="separate"/>
      </w:r>
      <w:r>
        <w:rPr>
          <w:rFonts w:ascii="Times New Roman" w:hAnsi="Times New Roman"/>
          <w:color w:val="000000"/>
          <w:sz w:val="28"/>
          <w:u w:color="000000" w:val="single"/>
        </w:rPr>
        <w:t>85</w:t>
      </w:r>
      <w:r>
        <w:rPr>
          <w:rFonts w:ascii="Times New Roman" w:hAnsi="Times New Roman"/>
          <w:color w:val="000000"/>
          <w:sz w:val="28"/>
          <w:u w:color="000000" w:val="single"/>
        </w:rPr>
        <w:fldChar w:fldCharType="end"/>
      </w:r>
      <w:r>
        <w:rPr>
          <w:rFonts w:ascii="Times New Roman" w:hAnsi="Times New Roman"/>
          <w:color w:val="000000"/>
          <w:sz w:val="28"/>
        </w:rPr>
        <w:t xml:space="preserve"> </w:t>
      </w:r>
      <w:r>
        <w:rPr>
          <w:rFonts w:ascii="Times New Roman" w:hAnsi="Times New Roman"/>
          <w:color w:val="000000"/>
          <w:sz w:val="28"/>
        </w:rPr>
        <w:t>место по выручке в регионе Ленинградская область;</w:t>
      </w:r>
    </w:p>
    <w:p w14:paraId="59000000">
      <w:pPr>
        <w:spacing w:after="0" w:before="0"/>
        <w:ind w:hanging="1080" w:left="720" w:right="0"/>
        <w:rPr>
          <w:rFonts w:ascii="Times New Roman" w:hAnsi="Times New Roman"/>
          <w:color w:val="000000"/>
          <w:sz w:val="28"/>
        </w:rPr>
      </w:pPr>
      <w:r>
        <w:rPr>
          <w:rFonts w:ascii="Symbol" w:hAnsi="Symbol"/>
          <w:color w:val="000000"/>
          <w:sz w:val="28"/>
        </w:rPr>
        <w:t>-</w:t>
      </w:r>
      <w:r>
        <w:rPr>
          <w:rFonts w:ascii="Times New Roman" w:hAnsi="Times New Roman"/>
          <w:color w:val="000000"/>
          <w:sz w:val="28"/>
        </w:rPr>
        <w:t>       </w:t>
      </w:r>
      <w:r>
        <w:rPr>
          <w:rFonts w:ascii="Times New Roman" w:hAnsi="Times New Roman"/>
          <w:color w:val="000000"/>
          <w:sz w:val="28"/>
        </w:rPr>
        <w:t xml:space="preserve"> </w:t>
      </w:r>
      <w:r>
        <w:rPr>
          <w:rFonts w:ascii="Times New Roman" w:hAnsi="Times New Roman"/>
          <w:color w:val="000000"/>
          <w:sz w:val="28"/>
          <w:u w:color="000000" w:val="single"/>
        </w:rPr>
        <w:fldChar w:fldCharType="begin"/>
      </w:r>
      <w:r>
        <w:rPr>
          <w:rFonts w:ascii="Times New Roman" w:hAnsi="Times New Roman"/>
          <w:color w:val="000000"/>
          <w:sz w:val="28"/>
          <w:u w:color="000000" w:val="single"/>
        </w:rPr>
        <w:instrText>HYPERLINK "https://spark-interfax.ru/industry/stroitelstvo#pos-480"</w:instrText>
      </w:r>
      <w:r>
        <w:rPr>
          <w:rFonts w:ascii="Times New Roman" w:hAnsi="Times New Roman"/>
          <w:color w:val="000000"/>
          <w:sz w:val="28"/>
          <w:u w:color="000000" w:val="single"/>
        </w:rPr>
        <w:fldChar w:fldCharType="separate"/>
      </w:r>
      <w:r>
        <w:rPr>
          <w:rFonts w:ascii="Times New Roman" w:hAnsi="Times New Roman"/>
          <w:color w:val="000000"/>
          <w:sz w:val="28"/>
          <w:u w:color="000000" w:val="single"/>
        </w:rPr>
        <w:t>480</w:t>
      </w:r>
      <w:r>
        <w:rPr>
          <w:rFonts w:ascii="Times New Roman" w:hAnsi="Times New Roman"/>
          <w:color w:val="000000"/>
          <w:sz w:val="28"/>
          <w:u w:color="000000" w:val="single"/>
        </w:rPr>
        <w:fldChar w:fldCharType="end"/>
      </w:r>
      <w:r>
        <w:rPr>
          <w:rFonts w:ascii="Times New Roman" w:hAnsi="Times New Roman"/>
          <w:color w:val="000000"/>
          <w:sz w:val="28"/>
        </w:rPr>
        <w:t xml:space="preserve"> </w:t>
      </w:r>
      <w:r>
        <w:rPr>
          <w:rFonts w:ascii="Times New Roman" w:hAnsi="Times New Roman"/>
          <w:color w:val="000000"/>
          <w:sz w:val="28"/>
        </w:rPr>
        <w:t>место по выручке в отрасли «Строительство» в России.</w:t>
      </w:r>
    </w:p>
    <w:p w14:paraId="5A000000">
      <w:pPr>
        <w:spacing w:after="0" w:before="0"/>
        <w:ind w:firstLine="709" w:left="0" w:right="0"/>
        <w:jc w:val="both"/>
        <w:rPr>
          <w:rFonts w:ascii="Calibri" w:hAnsi="Calibri"/>
          <w:color w:val="000000"/>
          <w:sz w:val="28"/>
        </w:rPr>
      </w:pPr>
      <w:r>
        <w:rPr>
          <w:rFonts w:ascii="Times New Roman" w:hAnsi="Times New Roman"/>
          <w:color w:val="000000"/>
          <w:sz w:val="28"/>
        </w:rPr>
        <w:t> </w:t>
      </w:r>
    </w:p>
    <w:p w14:paraId="5B000000">
      <w:pPr>
        <w:spacing w:after="0" w:before="0"/>
        <w:ind w:firstLine="709" w:left="0" w:right="0"/>
        <w:jc w:val="both"/>
        <w:rPr>
          <w:rFonts w:ascii="Calibri" w:hAnsi="Calibri"/>
          <w:color w:val="000000"/>
          <w:sz w:val="28"/>
        </w:rPr>
      </w:pPr>
      <w:r>
        <w:rPr>
          <w:rFonts w:ascii="Times New Roman" w:hAnsi="Times New Roman"/>
          <w:color w:val="000000"/>
          <w:sz w:val="28"/>
        </w:rPr>
        <w:t xml:space="preserve">В рейтинге строительных компаний Ленинградской области по </w:t>
      </w:r>
      <w:r>
        <w:rPr>
          <w:rFonts w:ascii="Times New Roman" w:hAnsi="Times New Roman"/>
          <w:color w:val="000000"/>
          <w:sz w:val="28"/>
          <w:highlight w:val="white"/>
        </w:rPr>
        <w:t>отрасли «Строительство жилых и нежилых зданий» (составленному, по полученной выручке за 2023 год), видно, что основными конкурентами ПАО «СУС» являются компании, специализирующиеся на строительстве дорожно-транспортной инфраструктуры, социальных, промышленных, нефтегазовых и иных объектах.</w:t>
      </w:r>
    </w:p>
    <w:p w14:paraId="5C000000">
      <w:pPr>
        <w:spacing w:after="0" w:before="0"/>
        <w:ind w:firstLine="709" w:left="0" w:right="0"/>
        <w:jc w:val="both"/>
        <w:rPr>
          <w:rFonts w:ascii="Calibri" w:hAnsi="Calibri"/>
          <w:color w:val="000000"/>
          <w:sz w:val="24"/>
        </w:rPr>
      </w:pPr>
      <w:r>
        <w:rPr>
          <w:rFonts w:ascii="Times New Roman" w:hAnsi="Times New Roman"/>
          <w:color w:val="000000"/>
          <w:sz w:val="28"/>
        </w:rPr>
        <w:t>Учитывая специфику строительства атомных станций, а ПАО «СУС» является одной из дочерних организаций Холдинга «ТИТАН-2», основным видом деятельности которого является «Строительство электростанций», проводить анализ сильных и слабых сторон строительных компаний, специализирующихся в других на</w:t>
      </w:r>
      <w:r>
        <w:rPr>
          <w:rFonts w:ascii="Times New Roman" w:hAnsi="Times New Roman"/>
          <w:color w:val="000000"/>
          <w:sz w:val="24"/>
        </w:rPr>
        <w:t>правлениях промышленного строительства, не представляется возможным.</w:t>
      </w:r>
    </w:p>
    <w:p w14:paraId="5D000000">
      <w:pPr>
        <w:spacing w:after="0" w:before="0"/>
        <w:ind w:firstLine="709" w:left="0" w:right="0"/>
        <w:jc w:val="both"/>
        <w:rPr>
          <w:rFonts w:ascii="Calibri" w:hAnsi="Calibri"/>
          <w:color w:val="000000"/>
          <w:sz w:val="24"/>
        </w:rPr>
      </w:pPr>
      <w:r>
        <w:rPr>
          <w:rFonts w:ascii="Times New Roman" w:hAnsi="Times New Roman"/>
          <w:color w:val="000000"/>
          <w:sz w:val="24"/>
        </w:rPr>
        <w:t> </w:t>
      </w:r>
    </w:p>
    <w:p w14:paraId="5E000000">
      <w:pPr>
        <w:spacing w:after="0" w:before="0"/>
        <w:ind w:firstLine="709" w:left="0" w:right="0"/>
        <w:jc w:val="center"/>
        <w:rPr>
          <w:rFonts w:ascii="Calibri" w:hAnsi="Calibri"/>
          <w:b w:val="1"/>
          <w:color w:val="000000"/>
          <w:sz w:val="28"/>
        </w:rPr>
      </w:pPr>
      <w:r>
        <w:rPr>
          <w:rFonts w:ascii="Times New Roman" w:hAnsi="Times New Roman"/>
          <w:b w:val="1"/>
          <w:color w:val="000000"/>
          <w:sz w:val="28"/>
          <w:highlight w:val="white"/>
        </w:rPr>
        <w:t>Рейтинг компаний по выручке за 2023г.,</w:t>
      </w:r>
    </w:p>
    <w:p w14:paraId="5F000000">
      <w:pPr>
        <w:spacing w:after="0" w:before="0"/>
        <w:ind w:firstLine="709" w:left="0" w:right="0"/>
        <w:jc w:val="center"/>
        <w:rPr>
          <w:rFonts w:ascii="Calibri" w:hAnsi="Calibri"/>
          <w:color w:val="000000"/>
          <w:sz w:val="24"/>
        </w:rPr>
      </w:pPr>
      <w:r>
        <w:rPr>
          <w:rFonts w:ascii="Times New Roman" w:hAnsi="Times New Roman"/>
          <w:b w:val="1"/>
          <w:color w:val="000000"/>
          <w:sz w:val="24"/>
          <w:highlight w:val="white"/>
        </w:rPr>
        <w:t>отрасль «Строительство жилых и нежилых зданий», Ленинградская об</w:t>
      </w:r>
      <w:r>
        <w:rPr>
          <w:rFonts w:ascii="Times New Roman" w:hAnsi="Times New Roman"/>
          <w:b w:val="1"/>
          <w:color w:val="000000"/>
          <w:sz w:val="24"/>
          <w:highlight w:val="white"/>
        </w:rPr>
        <w:t>ласт</w:t>
      </w:r>
      <w:r>
        <w:rPr>
          <w:rFonts w:ascii="Times New Roman" w:hAnsi="Times New Roman"/>
          <w:color w:val="000000"/>
          <w:sz w:val="24"/>
          <w:highlight w:val="white"/>
        </w:rPr>
        <w:t>ь</w:t>
      </w:r>
    </w:p>
    <w:p w14:paraId="60000000">
      <w:pPr>
        <w:spacing w:after="0" w:before="0"/>
        <w:ind w:firstLine="709" w:left="0" w:right="0"/>
        <w:jc w:val="both"/>
        <w:rPr>
          <w:rFonts w:ascii="Calibri" w:hAnsi="Calibri"/>
          <w:color w:val="000000"/>
          <w:sz w:val="24"/>
        </w:rPr>
      </w:pPr>
      <w:r>
        <w:rPr>
          <w:rFonts w:ascii="Times New Roman" w:hAnsi="Times New Roman"/>
          <w:color w:val="000000"/>
          <w:sz w:val="24"/>
          <w:highlight w:val="white"/>
        </w:rPr>
        <w:t> </w:t>
      </w:r>
    </w:p>
    <w:tbl>
      <w:tblPr>
        <w:tblW w:type="auto" w:w="0"/>
        <w:tblInd w:type="dxa" w:w="0"/>
        <w:tblBorders>
          <w:top w:color="000000" w:sz="4" w:val="single"/>
          <w:left w:color="000000" w:sz="4" w:val="single"/>
          <w:bottom w:color="000000" w:sz="4" w:val="single"/>
          <w:right w:color="000000" w:sz="4" w:val="single"/>
        </w:tblBorders>
        <w:tblLayout w:type="fixed"/>
        <w:tblCellMar>
          <w:top w:type="dxa" w:w="0"/>
          <w:left w:type="dxa" w:w="108"/>
          <w:bottom w:type="dxa" w:w="0"/>
          <w:right w:type="dxa" w:w="108"/>
        </w:tblCellMar>
      </w:tblPr>
      <w:tblGrid>
        <w:gridCol w:w="562"/>
        <w:gridCol w:w="3138"/>
        <w:gridCol w:w="3099"/>
        <w:gridCol w:w="2701"/>
      </w:tblGrid>
      <w:tr>
        <w:trPr>
          <w:trHeight w:hRule="atLeast" w:val="510"/>
        </w:trPr>
        <w:tc>
          <w:tcPr>
            <w:tcW w:type="dxa" w:w="562"/>
            <w:tcBorders>
              <w:top w:color="000000" w:sz="8" w:val="single"/>
              <w:left w:color="000000" w:sz="8" w:val="single"/>
              <w:bottom w:color="000000" w:sz="8" w:val="single"/>
              <w:right w:color="000000" w:sz="8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top"/>
          </w:tcPr>
          <w:p w14:paraId="61000000">
            <w:pPr>
              <w:spacing w:after="0" w:before="0"/>
              <w:ind w:firstLine="0" w:left="0" w:right="0"/>
              <w:jc w:val="center"/>
              <w:rPr>
                <w:rFonts w:ascii="Calibri" w:hAnsi="Calibri"/>
                <w:color w:val="000000"/>
                <w:sz w:val="24"/>
              </w:rPr>
            </w:pPr>
            <w:r>
              <w:rPr>
                <w:rFonts w:ascii="Times New Roman" w:hAnsi="Times New Roman"/>
                <w:b w:val="1"/>
                <w:color w:val="000000"/>
                <w:sz w:val="24"/>
              </w:rPr>
              <w:t>№ п/п</w:t>
            </w:r>
          </w:p>
        </w:tc>
        <w:tc>
          <w:tcPr>
            <w:tcW w:type="dxa" w:w="3138"/>
            <w:tcBorders>
              <w:top w:color="000000" w:sz="8" w:val="single"/>
              <w:left w:color="000000" w:sz="8" w:val="nil"/>
              <w:bottom w:color="000000" w:sz="8" w:val="single"/>
              <w:right w:color="000000" w:sz="8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top"/>
          </w:tcPr>
          <w:p w14:paraId="62000000">
            <w:pPr>
              <w:spacing w:after="0" w:before="0"/>
              <w:ind w:firstLine="0" w:left="0" w:right="0"/>
              <w:jc w:val="center"/>
              <w:rPr>
                <w:rFonts w:ascii="Calibri" w:hAnsi="Calibri"/>
                <w:color w:val="000000"/>
                <w:sz w:val="24"/>
              </w:rPr>
            </w:pPr>
            <w:r>
              <w:rPr>
                <w:rFonts w:ascii="Times New Roman" w:hAnsi="Times New Roman"/>
                <w:b w:val="1"/>
                <w:color w:val="000000"/>
                <w:sz w:val="24"/>
              </w:rPr>
              <w:t>Наименование компании</w:t>
            </w:r>
          </w:p>
        </w:tc>
        <w:tc>
          <w:tcPr>
            <w:tcW w:type="dxa" w:w="3099"/>
            <w:tcBorders>
              <w:top w:color="000000" w:sz="8" w:val="single"/>
              <w:left w:color="000000" w:sz="8" w:val="nil"/>
              <w:bottom w:color="000000" w:sz="8" w:val="single"/>
              <w:right w:color="000000" w:sz="8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top"/>
          </w:tcPr>
          <w:p w14:paraId="63000000">
            <w:pPr>
              <w:spacing w:after="0" w:before="0"/>
              <w:ind w:firstLine="0" w:left="0" w:right="0"/>
              <w:jc w:val="center"/>
              <w:rPr>
                <w:rFonts w:ascii="Calibri" w:hAnsi="Calibri"/>
                <w:color w:val="000000"/>
                <w:sz w:val="24"/>
              </w:rPr>
            </w:pPr>
            <w:r>
              <w:rPr>
                <w:rFonts w:ascii="Times New Roman" w:hAnsi="Times New Roman"/>
                <w:b w:val="1"/>
                <w:color w:val="000000"/>
                <w:sz w:val="24"/>
              </w:rPr>
              <w:t>Выручка, руб.</w:t>
            </w:r>
          </w:p>
        </w:tc>
        <w:tc>
          <w:tcPr>
            <w:tcW w:type="dxa" w:w="2701"/>
            <w:tcBorders>
              <w:top w:color="000000" w:sz="8" w:val="single"/>
              <w:left w:color="000000" w:sz="8" w:val="nil"/>
              <w:bottom w:color="000000" w:sz="8" w:val="single"/>
              <w:right w:color="000000" w:sz="8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top"/>
          </w:tcPr>
          <w:p w14:paraId="64000000">
            <w:pPr>
              <w:spacing w:after="0" w:before="0"/>
              <w:ind w:firstLine="0" w:left="0" w:right="0"/>
              <w:jc w:val="center"/>
              <w:rPr>
                <w:rFonts w:ascii="Calibri" w:hAnsi="Calibri"/>
                <w:color w:val="000000"/>
                <w:sz w:val="24"/>
              </w:rPr>
            </w:pPr>
            <w:r>
              <w:rPr>
                <w:rFonts w:ascii="Times New Roman" w:hAnsi="Times New Roman"/>
                <w:b w:val="1"/>
                <w:color w:val="000000"/>
                <w:sz w:val="24"/>
              </w:rPr>
              <w:t>Рост выручки 2023 г.  по отношению к 2022 г.</w:t>
            </w:r>
          </w:p>
        </w:tc>
      </w:tr>
      <w:tr>
        <w:trPr>
          <w:trHeight w:hRule="atLeast" w:val="300"/>
        </w:trPr>
        <w:tc>
          <w:tcPr>
            <w:tcW w:type="dxa" w:w="562"/>
            <w:tcBorders>
              <w:top w:color="000000" w:sz="8" w:val="nil"/>
              <w:left w:color="000000" w:sz="8" w:val="single"/>
              <w:bottom w:color="000000" w:sz="8" w:val="single"/>
              <w:right w:color="000000" w:sz="8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top"/>
          </w:tcPr>
          <w:p w14:paraId="65000000">
            <w:pPr>
              <w:spacing w:after="0" w:before="0"/>
              <w:ind w:firstLine="0" w:left="0" w:right="0"/>
              <w:jc w:val="center"/>
              <w:rPr>
                <w:rFonts w:ascii="Calibri" w:hAnsi="Calibri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1</w:t>
            </w:r>
          </w:p>
        </w:tc>
        <w:tc>
          <w:tcPr>
            <w:tcW w:type="dxa" w:w="3138"/>
            <w:tcBorders>
              <w:top w:sz="4" w:val="nil"/>
              <w:left w:sz="4" w:val="nil"/>
              <w:bottom w:color="000000" w:sz="8" w:val="single"/>
              <w:right w:color="000000" w:sz="8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top"/>
          </w:tcPr>
          <w:p w14:paraId="66000000">
            <w:pPr>
              <w:spacing w:after="0" w:before="0"/>
              <w:ind w:firstLine="0" w:left="0" w:right="0"/>
              <w:rPr>
                <w:rFonts w:ascii="Calibri" w:hAnsi="Calibri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ООО «ПФ «ВИС»</w:t>
            </w:r>
          </w:p>
        </w:tc>
        <w:tc>
          <w:tcPr>
            <w:tcW w:type="dxa" w:w="3099"/>
            <w:tcBorders>
              <w:top w:sz="4" w:val="nil"/>
              <w:left w:sz="4" w:val="nil"/>
              <w:bottom w:color="000000" w:sz="8" w:val="single"/>
              <w:right w:color="000000" w:sz="8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top"/>
          </w:tcPr>
          <w:p w14:paraId="67000000">
            <w:pPr>
              <w:spacing w:after="0" w:before="0"/>
              <w:ind w:firstLine="0" w:left="0" w:right="0"/>
              <w:jc w:val="right"/>
              <w:rPr>
                <w:rFonts w:ascii="Calibri" w:hAnsi="Calibri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30 042 829 000</w:t>
            </w:r>
          </w:p>
        </w:tc>
        <w:tc>
          <w:tcPr>
            <w:tcW w:type="dxa" w:w="2701"/>
            <w:tcBorders>
              <w:top w:sz="4" w:val="nil"/>
              <w:left w:sz="4" w:val="nil"/>
              <w:bottom w:color="000000" w:sz="8" w:val="single"/>
              <w:right w:color="000000" w:sz="8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top"/>
          </w:tcPr>
          <w:p w14:paraId="68000000">
            <w:pPr>
              <w:spacing w:after="0" w:before="0"/>
              <w:ind w:firstLine="0" w:left="0" w:right="0"/>
              <w:jc w:val="right"/>
              <w:rPr>
                <w:rFonts w:ascii="Calibri" w:hAnsi="Calibri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↑+77%</w:t>
            </w:r>
          </w:p>
        </w:tc>
      </w:tr>
      <w:tr>
        <w:trPr>
          <w:trHeight w:hRule="atLeast" w:val="300"/>
        </w:trPr>
        <w:tc>
          <w:tcPr>
            <w:tcW w:type="dxa" w:w="562"/>
            <w:tcBorders>
              <w:top w:color="000000" w:sz="8" w:val="nil"/>
              <w:left w:color="000000" w:sz="8" w:val="single"/>
              <w:bottom w:color="000000" w:sz="8" w:val="single"/>
              <w:right w:color="000000" w:sz="8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top"/>
          </w:tcPr>
          <w:p w14:paraId="69000000">
            <w:pPr>
              <w:spacing w:after="0" w:before="0"/>
              <w:ind w:firstLine="0" w:left="0" w:right="0"/>
              <w:jc w:val="center"/>
              <w:rPr>
                <w:rFonts w:ascii="Calibri" w:hAnsi="Calibri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2</w:t>
            </w:r>
          </w:p>
        </w:tc>
        <w:tc>
          <w:tcPr>
            <w:tcW w:type="dxa" w:w="3138"/>
            <w:tcBorders>
              <w:top w:sz="4" w:val="nil"/>
              <w:left w:sz="4" w:val="nil"/>
              <w:bottom w:color="000000" w:sz="8" w:val="single"/>
              <w:right w:color="000000" w:sz="8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top"/>
          </w:tcPr>
          <w:p w14:paraId="6A000000">
            <w:pPr>
              <w:spacing w:after="0" w:before="0"/>
              <w:ind w:firstLine="0" w:left="0" w:right="0"/>
              <w:rPr>
                <w:rFonts w:ascii="Calibri" w:hAnsi="Calibri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ООО «КВС-Строй»</w:t>
            </w:r>
          </w:p>
        </w:tc>
        <w:tc>
          <w:tcPr>
            <w:tcW w:type="dxa" w:w="3099"/>
            <w:tcBorders>
              <w:top w:sz="4" w:val="nil"/>
              <w:left w:sz="4" w:val="nil"/>
              <w:bottom w:color="000000" w:sz="8" w:val="single"/>
              <w:right w:color="000000" w:sz="8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top"/>
          </w:tcPr>
          <w:p w14:paraId="6B000000">
            <w:pPr>
              <w:spacing w:after="0" w:before="0"/>
              <w:ind w:firstLine="0" w:left="0" w:right="0"/>
              <w:jc w:val="right"/>
              <w:rPr>
                <w:rFonts w:ascii="Calibri" w:hAnsi="Calibri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13 435 953 000</w:t>
            </w:r>
          </w:p>
        </w:tc>
        <w:tc>
          <w:tcPr>
            <w:tcW w:type="dxa" w:w="2701"/>
            <w:tcBorders>
              <w:top w:sz="4" w:val="nil"/>
              <w:left w:sz="4" w:val="nil"/>
              <w:bottom w:color="000000" w:sz="8" w:val="single"/>
              <w:right w:color="000000" w:sz="8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top"/>
          </w:tcPr>
          <w:p w14:paraId="6C000000">
            <w:pPr>
              <w:spacing w:after="0" w:before="0"/>
              <w:ind w:firstLine="0" w:left="0" w:right="0"/>
              <w:jc w:val="right"/>
              <w:rPr>
                <w:rFonts w:ascii="Calibri" w:hAnsi="Calibri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↑+23%</w:t>
            </w:r>
          </w:p>
        </w:tc>
      </w:tr>
      <w:tr>
        <w:trPr>
          <w:trHeight w:hRule="atLeast" w:val="300"/>
        </w:trPr>
        <w:tc>
          <w:tcPr>
            <w:tcW w:type="dxa" w:w="562"/>
            <w:tcBorders>
              <w:top w:color="000000" w:sz="8" w:val="nil"/>
              <w:left w:color="000000" w:sz="8" w:val="single"/>
              <w:bottom w:color="000000" w:sz="8" w:val="single"/>
              <w:right w:color="000000" w:sz="8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top"/>
          </w:tcPr>
          <w:p w14:paraId="6D000000">
            <w:pPr>
              <w:spacing w:after="0" w:before="0"/>
              <w:ind w:firstLine="0" w:left="0" w:right="0"/>
              <w:jc w:val="center"/>
              <w:rPr>
                <w:rFonts w:ascii="Calibri" w:hAnsi="Calibri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3</w:t>
            </w:r>
          </w:p>
        </w:tc>
        <w:tc>
          <w:tcPr>
            <w:tcW w:type="dxa" w:w="3138"/>
            <w:tcBorders>
              <w:top w:sz="4" w:val="nil"/>
              <w:left w:sz="4" w:val="nil"/>
              <w:bottom w:color="000000" w:sz="8" w:val="single"/>
              <w:right w:color="000000" w:sz="8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top"/>
          </w:tcPr>
          <w:p w14:paraId="6E000000">
            <w:pPr>
              <w:spacing w:after="0" w:before="0"/>
              <w:ind w:firstLine="0" w:left="0" w:right="0"/>
              <w:rPr>
                <w:rFonts w:ascii="Calibri" w:hAnsi="Calibri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ООО «ЛТС»</w:t>
            </w:r>
          </w:p>
        </w:tc>
        <w:tc>
          <w:tcPr>
            <w:tcW w:type="dxa" w:w="3099"/>
            <w:tcBorders>
              <w:top w:sz="4" w:val="nil"/>
              <w:left w:sz="4" w:val="nil"/>
              <w:bottom w:color="000000" w:sz="8" w:val="single"/>
              <w:right w:color="000000" w:sz="8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top"/>
          </w:tcPr>
          <w:p w14:paraId="6F000000">
            <w:pPr>
              <w:spacing w:after="0" w:before="0"/>
              <w:ind w:firstLine="0" w:left="0" w:right="0"/>
              <w:jc w:val="right"/>
              <w:rPr>
                <w:rFonts w:ascii="Calibri" w:hAnsi="Calibri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12 568 764 000</w:t>
            </w:r>
          </w:p>
        </w:tc>
        <w:tc>
          <w:tcPr>
            <w:tcW w:type="dxa" w:w="2701"/>
            <w:tcBorders>
              <w:top w:sz="4" w:val="nil"/>
              <w:left w:sz="4" w:val="nil"/>
              <w:bottom w:color="000000" w:sz="8" w:val="single"/>
              <w:right w:color="000000" w:sz="8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top"/>
          </w:tcPr>
          <w:p w14:paraId="70000000">
            <w:pPr>
              <w:spacing w:after="0" w:before="0"/>
              <w:ind w:firstLine="0" w:left="0" w:right="0"/>
              <w:jc w:val="right"/>
              <w:rPr>
                <w:rFonts w:ascii="Calibri" w:hAnsi="Calibri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↑+5%</w:t>
            </w:r>
          </w:p>
        </w:tc>
      </w:tr>
      <w:tr>
        <w:trPr>
          <w:trHeight w:hRule="atLeast" w:val="300"/>
        </w:trPr>
        <w:tc>
          <w:tcPr>
            <w:tcW w:type="dxa" w:w="562"/>
            <w:tcBorders>
              <w:top w:color="000000" w:sz="8" w:val="nil"/>
              <w:left w:color="000000" w:sz="8" w:val="single"/>
              <w:bottom w:color="000000" w:sz="8" w:val="single"/>
              <w:right w:color="000000" w:sz="8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top"/>
          </w:tcPr>
          <w:p w14:paraId="71000000">
            <w:pPr>
              <w:spacing w:after="0" w:before="0"/>
              <w:ind w:firstLine="0" w:left="0" w:right="0"/>
              <w:jc w:val="center"/>
              <w:rPr>
                <w:rFonts w:ascii="Calibri" w:hAnsi="Calibri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4</w:t>
            </w:r>
          </w:p>
        </w:tc>
        <w:tc>
          <w:tcPr>
            <w:tcW w:type="dxa" w:w="3138"/>
            <w:tcBorders>
              <w:top w:sz="4" w:val="nil"/>
              <w:left w:sz="4" w:val="nil"/>
              <w:bottom w:color="000000" w:sz="8" w:val="single"/>
              <w:right w:color="000000" w:sz="8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top"/>
          </w:tcPr>
          <w:p w14:paraId="72000000">
            <w:pPr>
              <w:spacing w:after="0" w:before="0"/>
              <w:ind w:firstLine="0" w:left="0" w:right="0"/>
              <w:rPr>
                <w:rFonts w:ascii="Calibri" w:hAnsi="Calibri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ООО «Строй Прогресс»</w:t>
            </w:r>
          </w:p>
        </w:tc>
        <w:tc>
          <w:tcPr>
            <w:tcW w:type="dxa" w:w="3099"/>
            <w:tcBorders>
              <w:top w:sz="4" w:val="nil"/>
              <w:left w:sz="4" w:val="nil"/>
              <w:bottom w:color="000000" w:sz="8" w:val="single"/>
              <w:right w:color="000000" w:sz="8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top"/>
          </w:tcPr>
          <w:p w14:paraId="73000000">
            <w:pPr>
              <w:spacing w:after="0" w:before="0"/>
              <w:ind w:firstLine="0" w:left="0" w:right="0"/>
              <w:jc w:val="right"/>
              <w:rPr>
                <w:rFonts w:ascii="Calibri" w:hAnsi="Calibri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12 401 157 000</w:t>
            </w:r>
          </w:p>
        </w:tc>
        <w:tc>
          <w:tcPr>
            <w:tcW w:type="dxa" w:w="2701"/>
            <w:tcBorders>
              <w:top w:sz="4" w:val="nil"/>
              <w:left w:sz="4" w:val="nil"/>
              <w:bottom w:color="000000" w:sz="8" w:val="single"/>
              <w:right w:color="000000" w:sz="8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top"/>
          </w:tcPr>
          <w:p w14:paraId="74000000">
            <w:pPr>
              <w:spacing w:after="0" w:before="0"/>
              <w:ind w:firstLine="0" w:left="0" w:right="0"/>
              <w:jc w:val="right"/>
              <w:rPr>
                <w:rFonts w:ascii="Calibri" w:hAnsi="Calibri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↑+18%</w:t>
            </w:r>
          </w:p>
        </w:tc>
      </w:tr>
      <w:tr>
        <w:trPr>
          <w:trHeight w:hRule="atLeast" w:val="300"/>
        </w:trPr>
        <w:tc>
          <w:tcPr>
            <w:tcW w:type="dxa" w:w="562"/>
            <w:tcBorders>
              <w:top w:color="000000" w:sz="8" w:val="nil"/>
              <w:left w:color="000000" w:sz="8" w:val="single"/>
              <w:bottom w:color="000000" w:sz="8" w:val="single"/>
              <w:right w:color="000000" w:sz="8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top"/>
          </w:tcPr>
          <w:p w14:paraId="75000000">
            <w:pPr>
              <w:spacing w:after="0" w:before="0"/>
              <w:ind w:firstLine="0" w:left="0" w:right="0"/>
              <w:jc w:val="center"/>
              <w:rPr>
                <w:rFonts w:ascii="Calibri" w:hAnsi="Calibri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5</w:t>
            </w:r>
          </w:p>
        </w:tc>
        <w:tc>
          <w:tcPr>
            <w:tcW w:type="dxa" w:w="3138"/>
            <w:tcBorders>
              <w:top w:sz="4" w:val="nil"/>
              <w:left w:sz="4" w:val="nil"/>
              <w:bottom w:color="000000" w:sz="8" w:val="single"/>
              <w:right w:color="000000" w:sz="8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top"/>
          </w:tcPr>
          <w:p w14:paraId="76000000">
            <w:pPr>
              <w:spacing w:after="0" w:before="0"/>
              <w:ind w:firstLine="0" w:left="0" w:right="0"/>
              <w:rPr>
                <w:rFonts w:ascii="Calibri" w:hAnsi="Calibri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ООО «Юникс»</w:t>
            </w:r>
          </w:p>
        </w:tc>
        <w:tc>
          <w:tcPr>
            <w:tcW w:type="dxa" w:w="3099"/>
            <w:tcBorders>
              <w:top w:sz="4" w:val="nil"/>
              <w:left w:sz="4" w:val="nil"/>
              <w:bottom w:color="000000" w:sz="8" w:val="single"/>
              <w:right w:color="000000" w:sz="8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top"/>
          </w:tcPr>
          <w:p w14:paraId="77000000">
            <w:pPr>
              <w:spacing w:after="0" w:before="0"/>
              <w:ind w:firstLine="0" w:left="0" w:right="0"/>
              <w:jc w:val="right"/>
              <w:rPr>
                <w:rFonts w:ascii="Calibri" w:hAnsi="Calibri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12 265 129 000</w:t>
            </w:r>
          </w:p>
        </w:tc>
        <w:tc>
          <w:tcPr>
            <w:tcW w:type="dxa" w:w="2701"/>
            <w:tcBorders>
              <w:top w:sz="4" w:val="nil"/>
              <w:left w:sz="4" w:val="nil"/>
              <w:bottom w:color="000000" w:sz="8" w:val="single"/>
              <w:right w:color="000000" w:sz="8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top"/>
          </w:tcPr>
          <w:p w14:paraId="78000000">
            <w:pPr>
              <w:spacing w:after="0" w:before="0"/>
              <w:ind w:firstLine="0" w:left="0" w:right="0"/>
              <w:jc w:val="right"/>
              <w:rPr>
                <w:rFonts w:ascii="Calibri" w:hAnsi="Calibri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↑+4%</w:t>
            </w:r>
          </w:p>
        </w:tc>
      </w:tr>
      <w:tr>
        <w:trPr>
          <w:trHeight w:hRule="atLeast" w:val="300"/>
        </w:trPr>
        <w:tc>
          <w:tcPr>
            <w:tcW w:type="dxa" w:w="562"/>
            <w:tcBorders>
              <w:top w:color="000000" w:sz="8" w:val="nil"/>
              <w:left w:color="000000" w:sz="8" w:val="single"/>
              <w:bottom w:color="000000" w:sz="8" w:val="single"/>
              <w:right w:color="000000" w:sz="8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top"/>
          </w:tcPr>
          <w:p w14:paraId="79000000">
            <w:pPr>
              <w:spacing w:after="0" w:before="0"/>
              <w:ind w:firstLine="0" w:left="0" w:right="0"/>
              <w:jc w:val="center"/>
              <w:rPr>
                <w:rFonts w:ascii="Calibri" w:hAnsi="Calibri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6</w:t>
            </w:r>
          </w:p>
        </w:tc>
        <w:tc>
          <w:tcPr>
            <w:tcW w:type="dxa" w:w="3138"/>
            <w:tcBorders>
              <w:top w:sz="4" w:val="nil"/>
              <w:left w:sz="4" w:val="nil"/>
              <w:bottom w:color="000000" w:sz="8" w:val="single"/>
              <w:right w:color="000000" w:sz="8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top"/>
          </w:tcPr>
          <w:p w14:paraId="7A000000">
            <w:pPr>
              <w:spacing w:after="0" w:before="0"/>
              <w:ind w:firstLine="0" w:left="0" w:right="0"/>
              <w:rPr>
                <w:rFonts w:ascii="Calibri" w:hAnsi="Calibri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ООО «Питерстрой»</w:t>
            </w:r>
          </w:p>
        </w:tc>
        <w:tc>
          <w:tcPr>
            <w:tcW w:type="dxa" w:w="3099"/>
            <w:tcBorders>
              <w:top w:sz="4" w:val="nil"/>
              <w:left w:sz="4" w:val="nil"/>
              <w:bottom w:color="000000" w:sz="8" w:val="single"/>
              <w:right w:color="000000" w:sz="8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top"/>
          </w:tcPr>
          <w:p w14:paraId="7B000000">
            <w:pPr>
              <w:spacing w:after="0" w:before="0"/>
              <w:ind w:firstLine="0" w:left="0" w:right="0"/>
              <w:jc w:val="right"/>
              <w:rPr>
                <w:rFonts w:ascii="Calibri" w:hAnsi="Calibri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11 798 477 000</w:t>
            </w:r>
          </w:p>
        </w:tc>
        <w:tc>
          <w:tcPr>
            <w:tcW w:type="dxa" w:w="2701"/>
            <w:tcBorders>
              <w:top w:sz="4" w:val="nil"/>
              <w:left w:sz="4" w:val="nil"/>
              <w:bottom w:color="000000" w:sz="8" w:val="single"/>
              <w:right w:color="000000" w:sz="8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top"/>
          </w:tcPr>
          <w:p w14:paraId="7C000000">
            <w:pPr>
              <w:spacing w:after="0" w:before="0"/>
              <w:ind w:firstLine="0" w:left="0" w:right="0"/>
              <w:jc w:val="right"/>
              <w:rPr>
                <w:rFonts w:ascii="Calibri" w:hAnsi="Calibri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↑+7467291%</w:t>
            </w:r>
          </w:p>
        </w:tc>
      </w:tr>
      <w:tr>
        <w:trPr>
          <w:trHeight w:hRule="atLeast" w:val="300"/>
        </w:trPr>
        <w:tc>
          <w:tcPr>
            <w:tcW w:type="dxa" w:w="562"/>
            <w:tcBorders>
              <w:top w:color="000000" w:sz="8" w:val="nil"/>
              <w:left w:color="000000" w:sz="8" w:val="single"/>
              <w:bottom w:color="000000" w:sz="8" w:val="single"/>
              <w:right w:color="000000" w:sz="8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top"/>
          </w:tcPr>
          <w:p w14:paraId="7D000000">
            <w:pPr>
              <w:spacing w:after="0" w:before="0"/>
              <w:ind w:firstLine="0" w:left="0" w:right="0"/>
              <w:jc w:val="center"/>
              <w:rPr>
                <w:rFonts w:ascii="Calibri" w:hAnsi="Calibri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7</w:t>
            </w:r>
          </w:p>
        </w:tc>
        <w:tc>
          <w:tcPr>
            <w:tcW w:type="dxa" w:w="3138"/>
            <w:tcBorders>
              <w:top w:sz="4" w:val="nil"/>
              <w:left w:sz="4" w:val="nil"/>
              <w:bottom w:color="000000" w:sz="8" w:val="single"/>
              <w:right w:color="000000" w:sz="8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top"/>
          </w:tcPr>
          <w:p w14:paraId="7E000000">
            <w:pPr>
              <w:spacing w:after="0" w:before="0"/>
              <w:ind w:firstLine="0" w:left="0" w:right="0"/>
              <w:rPr>
                <w:rFonts w:ascii="Calibri" w:hAnsi="Calibri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ООО «Ленмонтаж»</w:t>
            </w:r>
          </w:p>
        </w:tc>
        <w:tc>
          <w:tcPr>
            <w:tcW w:type="dxa" w:w="3099"/>
            <w:tcBorders>
              <w:top w:sz="4" w:val="nil"/>
              <w:left w:sz="4" w:val="nil"/>
              <w:bottom w:color="000000" w:sz="8" w:val="single"/>
              <w:right w:color="000000" w:sz="8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top"/>
          </w:tcPr>
          <w:p w14:paraId="7F000000">
            <w:pPr>
              <w:spacing w:after="0" w:before="0"/>
              <w:ind w:firstLine="0" w:left="0" w:right="0"/>
              <w:jc w:val="right"/>
              <w:rPr>
                <w:rFonts w:ascii="Calibri" w:hAnsi="Calibri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7 627 822 000</w:t>
            </w:r>
          </w:p>
        </w:tc>
        <w:tc>
          <w:tcPr>
            <w:tcW w:type="dxa" w:w="2701"/>
            <w:tcBorders>
              <w:top w:sz="4" w:val="nil"/>
              <w:left w:sz="4" w:val="nil"/>
              <w:bottom w:color="000000" w:sz="8" w:val="single"/>
              <w:right w:color="000000" w:sz="8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top"/>
          </w:tcPr>
          <w:p w14:paraId="80000000">
            <w:pPr>
              <w:spacing w:after="0" w:before="0"/>
              <w:ind w:firstLine="0" w:left="0" w:right="0"/>
              <w:jc w:val="right"/>
              <w:rPr>
                <w:rFonts w:ascii="Calibri" w:hAnsi="Calibri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↑+34%</w:t>
            </w:r>
          </w:p>
        </w:tc>
      </w:tr>
      <w:tr>
        <w:tc>
          <w:tcPr>
            <w:tcW w:type="dxa" w:w="562"/>
            <w:tcBorders>
              <w:top w:color="000000" w:sz="8" w:val="nil"/>
              <w:left w:color="000000" w:sz="8" w:val="single"/>
              <w:bottom w:color="000000" w:sz="8" w:val="single"/>
              <w:right w:color="000000" w:sz="8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top"/>
          </w:tcPr>
          <w:p w14:paraId="81000000">
            <w:pPr>
              <w:spacing w:after="0" w:before="0"/>
              <w:ind w:firstLine="0" w:left="0" w:right="0"/>
              <w:jc w:val="center"/>
              <w:rPr>
                <w:rFonts w:ascii="Calibri" w:hAnsi="Calibri"/>
                <w:color w:val="000000"/>
                <w:sz w:val="24"/>
              </w:rPr>
            </w:pPr>
            <w:r>
              <w:rPr>
                <w:rFonts w:ascii="Times New Roman" w:hAnsi="Times New Roman"/>
                <w:b w:val="1"/>
                <w:color w:val="000000"/>
                <w:sz w:val="24"/>
              </w:rPr>
              <w:t>8</w:t>
            </w:r>
          </w:p>
        </w:tc>
        <w:tc>
          <w:tcPr>
            <w:tcW w:type="dxa" w:w="3138"/>
            <w:tcBorders>
              <w:top w:sz="4" w:val="nil"/>
              <w:left w:sz="4" w:val="nil"/>
              <w:bottom w:color="000000" w:sz="8" w:val="single"/>
              <w:right w:color="000000" w:sz="8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top"/>
          </w:tcPr>
          <w:p w14:paraId="82000000">
            <w:pPr>
              <w:spacing w:after="0" w:before="0"/>
              <w:ind w:firstLine="0" w:left="0" w:right="0"/>
              <w:rPr>
                <w:rFonts w:ascii="Calibri" w:hAnsi="Calibri"/>
                <w:color w:val="000000"/>
                <w:sz w:val="24"/>
              </w:rPr>
            </w:pPr>
            <w:r>
              <w:rPr>
                <w:rFonts w:ascii="Times New Roman" w:hAnsi="Times New Roman"/>
                <w:b w:val="1"/>
                <w:color w:val="000000"/>
                <w:sz w:val="24"/>
              </w:rPr>
              <w:t>ПАО «СУС»</w:t>
            </w:r>
          </w:p>
        </w:tc>
        <w:tc>
          <w:tcPr>
            <w:tcW w:type="dxa" w:w="3099"/>
            <w:tcBorders>
              <w:top w:sz="4" w:val="nil"/>
              <w:left w:sz="4" w:val="nil"/>
              <w:bottom w:color="000000" w:sz="8" w:val="single"/>
              <w:right w:color="000000" w:sz="8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top"/>
          </w:tcPr>
          <w:p w14:paraId="83000000">
            <w:pPr>
              <w:spacing w:after="0" w:before="0"/>
              <w:ind w:firstLine="0" w:left="0" w:right="0"/>
              <w:jc w:val="right"/>
              <w:rPr>
                <w:rFonts w:ascii="Calibri" w:hAnsi="Calibri"/>
                <w:color w:val="000000"/>
                <w:sz w:val="24"/>
              </w:rPr>
            </w:pPr>
            <w:r>
              <w:rPr>
                <w:rFonts w:ascii="Times New Roman" w:hAnsi="Times New Roman"/>
                <w:b w:val="1"/>
                <w:color w:val="000000"/>
                <w:sz w:val="24"/>
              </w:rPr>
              <w:t>5 688 148 000</w:t>
            </w:r>
          </w:p>
        </w:tc>
        <w:tc>
          <w:tcPr>
            <w:tcW w:type="dxa" w:w="2701"/>
            <w:tcBorders>
              <w:top w:sz="4" w:val="nil"/>
              <w:left w:sz="4" w:val="nil"/>
              <w:bottom w:color="000000" w:sz="8" w:val="single"/>
              <w:right w:color="000000" w:sz="8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top"/>
          </w:tcPr>
          <w:p w14:paraId="84000000">
            <w:pPr>
              <w:spacing w:after="0" w:before="0"/>
              <w:ind w:firstLine="0" w:left="0" w:right="0"/>
              <w:jc w:val="right"/>
              <w:rPr>
                <w:rFonts w:ascii="Calibri" w:hAnsi="Calibri"/>
                <w:color w:val="000000"/>
                <w:sz w:val="24"/>
              </w:rPr>
            </w:pPr>
            <w:r>
              <w:rPr>
                <w:rFonts w:ascii="Times New Roman" w:hAnsi="Times New Roman"/>
                <w:b w:val="1"/>
                <w:color w:val="000000"/>
                <w:sz w:val="24"/>
              </w:rPr>
              <w:t>↑+114%</w:t>
            </w:r>
          </w:p>
        </w:tc>
      </w:tr>
      <w:tr>
        <w:trPr>
          <w:trHeight w:hRule="atLeast" w:val="510"/>
        </w:trPr>
        <w:tc>
          <w:tcPr>
            <w:tcW w:type="dxa" w:w="562"/>
            <w:tcBorders>
              <w:top w:color="000000" w:sz="8" w:val="nil"/>
              <w:left w:color="000000" w:sz="8" w:val="single"/>
              <w:bottom w:color="000000" w:sz="8" w:val="single"/>
              <w:right w:color="000000" w:sz="8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top"/>
          </w:tcPr>
          <w:p w14:paraId="85000000">
            <w:pPr>
              <w:spacing w:after="0" w:before="0"/>
              <w:ind w:firstLine="0" w:left="0" w:right="0"/>
              <w:jc w:val="center"/>
              <w:rPr>
                <w:rFonts w:ascii="Calibri" w:hAnsi="Calibri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9</w:t>
            </w:r>
          </w:p>
        </w:tc>
        <w:tc>
          <w:tcPr>
            <w:tcW w:type="dxa" w:w="3138"/>
            <w:tcBorders>
              <w:top w:sz="4" w:val="nil"/>
              <w:left w:sz="4" w:val="nil"/>
              <w:bottom w:color="000000" w:sz="8" w:val="single"/>
              <w:right w:color="000000" w:sz="8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top"/>
          </w:tcPr>
          <w:p w14:paraId="86000000">
            <w:pPr>
              <w:spacing w:after="0" w:before="0"/>
              <w:ind w:firstLine="0" w:left="0" w:right="0"/>
              <w:rPr>
                <w:rFonts w:ascii="Calibri" w:hAnsi="Calibri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ООО «СЗ «Евроинвест Кудрово»</w:t>
            </w:r>
          </w:p>
        </w:tc>
        <w:tc>
          <w:tcPr>
            <w:tcW w:type="dxa" w:w="3099"/>
            <w:tcBorders>
              <w:top w:sz="4" w:val="nil"/>
              <w:left w:sz="4" w:val="nil"/>
              <w:bottom w:color="000000" w:sz="8" w:val="single"/>
              <w:right w:color="000000" w:sz="8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top"/>
          </w:tcPr>
          <w:p w14:paraId="87000000">
            <w:pPr>
              <w:spacing w:after="0" w:before="0"/>
              <w:ind w:firstLine="0" w:left="0" w:right="0"/>
              <w:jc w:val="right"/>
              <w:rPr>
                <w:rFonts w:ascii="Calibri" w:hAnsi="Calibri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4 813 758 000</w:t>
            </w:r>
          </w:p>
        </w:tc>
        <w:tc>
          <w:tcPr>
            <w:tcW w:type="dxa" w:w="2701"/>
            <w:tcBorders>
              <w:top w:sz="4" w:val="nil"/>
              <w:left w:sz="4" w:val="nil"/>
              <w:bottom w:color="000000" w:sz="8" w:val="single"/>
              <w:right w:color="000000" w:sz="8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top"/>
          </w:tcPr>
          <w:p w14:paraId="88000000">
            <w:pPr>
              <w:spacing w:after="0" w:before="0"/>
              <w:ind w:firstLine="0" w:left="0" w:right="0"/>
              <w:jc w:val="right"/>
              <w:rPr>
                <w:rFonts w:ascii="Calibri" w:hAnsi="Calibri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↑+884782%</w:t>
            </w:r>
          </w:p>
        </w:tc>
      </w:tr>
      <w:tr>
        <w:trPr>
          <w:trHeight w:hRule="atLeast" w:val="300"/>
        </w:trPr>
        <w:tc>
          <w:tcPr>
            <w:tcW w:type="dxa" w:w="562"/>
            <w:tcBorders>
              <w:top w:color="000000" w:sz="8" w:val="nil"/>
              <w:left w:color="000000" w:sz="8" w:val="single"/>
              <w:bottom w:color="000000" w:sz="8" w:val="single"/>
              <w:right w:color="000000" w:sz="8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top"/>
          </w:tcPr>
          <w:p w14:paraId="89000000">
            <w:pPr>
              <w:spacing w:after="0" w:before="0"/>
              <w:ind w:firstLine="0" w:left="0" w:right="0"/>
              <w:jc w:val="center"/>
              <w:rPr>
                <w:rFonts w:ascii="Calibri" w:hAnsi="Calibri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10</w:t>
            </w:r>
          </w:p>
        </w:tc>
        <w:tc>
          <w:tcPr>
            <w:tcW w:type="dxa" w:w="3138"/>
            <w:tcBorders>
              <w:top w:sz="4" w:val="nil"/>
              <w:left w:sz="4" w:val="nil"/>
              <w:bottom w:color="000000" w:sz="8" w:val="single"/>
              <w:right w:color="000000" w:sz="8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top"/>
          </w:tcPr>
          <w:p w14:paraId="8A000000">
            <w:pPr>
              <w:spacing w:after="0" w:before="0"/>
              <w:ind w:firstLine="0" w:left="0" w:right="0"/>
              <w:rPr>
                <w:rFonts w:ascii="Calibri" w:hAnsi="Calibri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ООО «ЛСТ Генподряд»</w:t>
            </w:r>
          </w:p>
        </w:tc>
        <w:tc>
          <w:tcPr>
            <w:tcW w:type="dxa" w:w="3099"/>
            <w:tcBorders>
              <w:top w:sz="4" w:val="nil"/>
              <w:left w:sz="4" w:val="nil"/>
              <w:bottom w:color="000000" w:sz="8" w:val="single"/>
              <w:right w:color="000000" w:sz="8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top"/>
          </w:tcPr>
          <w:p w14:paraId="8B000000">
            <w:pPr>
              <w:spacing w:after="0" w:before="0"/>
              <w:ind w:firstLine="0" w:left="0" w:right="0"/>
              <w:jc w:val="right"/>
              <w:rPr>
                <w:rFonts w:ascii="Calibri" w:hAnsi="Calibri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4 740 554 000</w:t>
            </w:r>
          </w:p>
        </w:tc>
        <w:tc>
          <w:tcPr>
            <w:tcW w:type="dxa" w:w="2701"/>
            <w:tcBorders>
              <w:top w:sz="4" w:val="nil"/>
              <w:left w:sz="4" w:val="nil"/>
              <w:bottom w:color="000000" w:sz="8" w:val="single"/>
              <w:right w:color="000000" w:sz="8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top"/>
          </w:tcPr>
          <w:p w14:paraId="8C000000">
            <w:pPr>
              <w:spacing w:after="0" w:before="0"/>
              <w:ind w:firstLine="0" w:left="0" w:right="0"/>
              <w:jc w:val="right"/>
              <w:rPr>
                <w:rFonts w:ascii="Calibri" w:hAnsi="Calibri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↓-30%</w:t>
            </w:r>
          </w:p>
        </w:tc>
      </w:tr>
    </w:tbl>
    <w:p w14:paraId="8D000000">
      <w:pPr>
        <w:ind w:firstLine="0" w:left="283" w:right="171"/>
        <w:jc w:val="both"/>
        <w:rPr>
          <w:rFonts w:ascii="Times New Roman" w:hAnsi="Times New Roman"/>
          <w:b w:val="0"/>
          <w:i w:val="0"/>
          <w:color w:val="000000"/>
          <w:sz w:val="24"/>
          <w:shd w:fill="FFD821" w:val="clear"/>
        </w:rPr>
      </w:pPr>
    </w:p>
    <w:p w14:paraId="8E000000">
      <w:pPr>
        <w:ind w:firstLine="0" w:left="283"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b w:val="1"/>
          <w:i w:val="0"/>
          <w:caps w:val="0"/>
          <w:color w:val="000000"/>
          <w:spacing w:val="0"/>
          <w:sz w:val="24"/>
          <w:highlight w:val="white"/>
        </w:rPr>
        <w:t>П</w:t>
      </w:r>
      <w:r>
        <w:rPr>
          <w:rFonts w:ascii="Times New Roman" w:hAnsi="Times New Roman"/>
          <w:b w:val="1"/>
          <w:i w:val="0"/>
          <w:caps w:val="0"/>
          <w:color w:val="000000"/>
          <w:spacing w:val="0"/>
          <w:sz w:val="28"/>
          <w:highlight w:val="white"/>
        </w:rPr>
        <w:t>ункт 2 Письма:</w:t>
      </w:r>
    </w:p>
    <w:p w14:paraId="8F000000">
      <w:pPr>
        <w:ind w:firstLine="0" w:left="283"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>Пункт 2.3 Отчета эмитента дополнен сведениями, предусмотренные абзацами 4-6 пункта 2.3 раздела 2 приложения 3:</w:t>
      </w:r>
    </w:p>
    <w:p w14:paraId="90000000">
      <w:pPr>
        <w:widowControl w:val="0"/>
        <w:spacing w:after="0" w:before="20" w:line="240" w:lineRule="auto"/>
        <w:ind w:firstLine="567" w:left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«В организационной структуре Общества введена штатная единица – специалист по внутреннему аудиту.</w:t>
      </w:r>
    </w:p>
    <w:p w14:paraId="91000000">
      <w:pPr>
        <w:widowControl w:val="0"/>
        <w:spacing w:after="0" w:before="20" w:line="240" w:lineRule="auto"/>
        <w:ind w:firstLine="567" w:left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Функции и задачи внутреннего аудитора прописаны в Политике в области организации внутреннего аудита публичного акционерного общества «Северное управление строительства», утвержденной Решением Совета директоров Общества 15.08.2023 г. (Протокол заседания Совета директоров № 11-2023). </w:t>
      </w:r>
    </w:p>
    <w:p w14:paraId="92000000">
      <w:pPr>
        <w:widowControl w:val="0"/>
        <w:spacing w:after="0" w:before="160" w:line="240" w:lineRule="auto"/>
        <w:ind w:firstLine="540" w:left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Контроль за финансово - хозяйственной деятельностью общества осуществляется ревизионной комиссией общества. </w:t>
      </w:r>
    </w:p>
    <w:p w14:paraId="93000000">
      <w:pPr>
        <w:spacing w:after="0" w:line="240" w:lineRule="auto"/>
        <w:ind w:firstLine="425" w:left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Ревизионная комиссия Общества действует согласно Уставу Общества. Полномочия и компетенция ревизионной комиссии регулируется положениями Устава (раздел 17), а также Федеральным законом</w:t>
      </w:r>
      <w:r>
        <w:rPr>
          <w:rFonts w:ascii="Times New Roman" w:hAnsi="Times New Roman"/>
          <w:sz w:val="28"/>
        </w:rPr>
        <w:t xml:space="preserve"> от 26.12.1995 N 208-ФЗ (ред. от 30.11.2024) «Об акционерных обществах».</w:t>
      </w:r>
    </w:p>
    <w:p w14:paraId="94000000">
      <w:pPr>
        <w:widowControl w:val="0"/>
        <w:spacing w:after="0" w:before="160" w:line="240" w:lineRule="auto"/>
        <w:ind w:firstLine="540" w:left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Комитета совета директоров (наблюдательного совета) по аудиту не создавалось.</w:t>
      </w:r>
    </w:p>
    <w:p w14:paraId="95000000">
      <w:pPr>
        <w:widowControl w:val="0"/>
        <w:spacing w:after="0" w:before="160" w:line="240" w:lineRule="auto"/>
        <w:ind w:firstLine="540" w:left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Отдельного структурного подразделения (подразделений) по управлению рисками в обществе нет.»</w:t>
      </w:r>
    </w:p>
    <w:p w14:paraId="96000000">
      <w:pPr>
        <w:ind w:firstLine="0" w:left="283"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</w:p>
    <w:p w14:paraId="97000000">
      <w:pPr>
        <w:ind w:firstLine="0" w:left="283"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b w:val="1"/>
          <w:i w:val="0"/>
          <w:caps w:val="0"/>
          <w:color w:val="000000"/>
          <w:spacing w:val="0"/>
          <w:sz w:val="28"/>
          <w:highlight w:val="white"/>
        </w:rPr>
        <w:t>Пункт 4  Письма:</w:t>
      </w:r>
    </w:p>
    <w:p w14:paraId="98000000">
      <w:pPr>
        <w:ind w:firstLine="283" w:left="0"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color w:val="000000"/>
          <w:sz w:val="28"/>
        </w:rPr>
        <w:t>п.2.3 Отчета эмитента дополнен информацией, предусмотренной п.10 Примечаний к разделу 2 приложения 3 Положения «714-П:</w:t>
      </w:r>
    </w:p>
    <w:p w14:paraId="99000000">
      <w:pPr>
        <w:ind w:firstLine="283" w:left="0"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color w:val="000000"/>
          <w:sz w:val="28"/>
        </w:rPr>
        <w:t xml:space="preserve"> «В период между отчетной датой и датой раскрытия бухгалтерской (финансовой) отчетности в составе указанной в пункте информации  </w:t>
      </w:r>
      <w:r>
        <w:rPr>
          <w:rFonts w:ascii="Times New Roman" w:hAnsi="Times New Roman"/>
          <w:color w:val="000000"/>
          <w:sz w:val="28"/>
        </w:rPr>
        <w:t>изменений не произошло».</w:t>
      </w:r>
    </w:p>
    <w:p w14:paraId="9A000000">
      <w:pPr>
        <w:ind w:firstLine="426" w:left="283"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 xml:space="preserve"> </w:t>
      </w:r>
    </w:p>
    <w:p w14:paraId="9B000000">
      <w:pPr>
        <w:ind w:firstLine="0" w:left="283"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b w:val="1"/>
          <w:i w:val="0"/>
          <w:caps w:val="0"/>
          <w:color w:val="000000"/>
          <w:spacing w:val="0"/>
          <w:sz w:val="28"/>
          <w:highlight w:val="white"/>
        </w:rPr>
        <w:t>Пункт 3  Письма:</w:t>
      </w:r>
    </w:p>
    <w:p w14:paraId="9C000000">
      <w:pPr>
        <w:ind w:firstLine="283" w:left="0"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>В п. 2.4. Отчета эмитента добавлены сведения, предусмотренные абзацем 3 пункта 2.4 раздела 2 приложения 3 к Положению №714-П - о специальности членов ревизионной комиссии согласно диплому</w:t>
      </w:r>
      <w:r>
        <w:rPr>
          <w:rFonts w:ascii="Times New Roman" w:hAnsi="Times New Roman"/>
          <w:b w:val="0"/>
          <w:i w:val="0"/>
          <w:color w:val="000000"/>
          <w:sz w:val="28"/>
        </w:rPr>
        <w:t>.</w:t>
      </w:r>
    </w:p>
    <w:p w14:paraId="9D000000">
      <w:pPr>
        <w:ind w:firstLine="283" w:left="0"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>Сведения, предусмотренные абзацами 5-9 пункта 2.4 раздела 2 приложения 3 добавлены по каждому члену ревизионной комиссии персонально, а не не обобщенно.</w:t>
      </w:r>
    </w:p>
    <w:p w14:paraId="9E000000">
      <w:pPr>
        <w:ind w:firstLine="426" w:left="283"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</w:p>
    <w:p w14:paraId="9F000000">
      <w:pPr>
        <w:ind w:firstLine="283" w:left="0" w:right="171"/>
        <w:jc w:val="both"/>
        <w:rPr>
          <w:rFonts w:ascii="Times New Roman" w:hAnsi="Times New Roman"/>
          <w:b w:val="1"/>
          <w:i w:val="0"/>
          <w:color w:val="000000"/>
          <w:sz w:val="28"/>
        </w:rPr>
      </w:pPr>
      <w:r>
        <w:rPr>
          <w:rFonts w:ascii="Times New Roman" w:hAnsi="Times New Roman"/>
          <w:b w:val="1"/>
          <w:i w:val="0"/>
          <w:caps w:val="0"/>
          <w:color w:val="000000"/>
          <w:spacing w:val="0"/>
          <w:sz w:val="28"/>
          <w:highlight w:val="white"/>
        </w:rPr>
        <w:t>Пункт 5  Письма:</w:t>
      </w:r>
    </w:p>
    <w:p w14:paraId="A0000000">
      <w:pPr>
        <w:ind w:firstLine="283" w:left="0" w:right="171"/>
        <w:jc w:val="both"/>
        <w:rPr>
          <w:rFonts w:ascii="Times New Roman" w:hAnsi="Times New Roman"/>
          <w:b w:val="1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>п.3.1 абзац 2 в исправленной редакции изложен следующим образом</w:t>
      </w:r>
      <w:r>
        <w:rPr>
          <w:rFonts w:ascii="Times New Roman" w:hAnsi="Times New Roman"/>
          <w:b w:val="1"/>
          <w:i w:val="0"/>
          <w:color w:val="000000"/>
          <w:sz w:val="28"/>
        </w:rPr>
        <w:t xml:space="preserve"> :</w:t>
      </w:r>
    </w:p>
    <w:p w14:paraId="A1000000">
      <w:pPr>
        <w:ind w:firstLine="284" w:left="0" w:right="171"/>
        <w:jc w:val="both"/>
        <w:rPr>
          <w:rFonts w:ascii="Times New Roman" w:hAnsi="Times New Roman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>«</w:t>
      </w:r>
      <w:r>
        <w:rPr>
          <w:rFonts w:ascii="Times New Roman" w:hAnsi="Times New Roman"/>
          <w:color w:val="000000"/>
          <w:sz w:val="28"/>
        </w:rPr>
        <w:t>Общее количество лиц, зарегистрированных в реестре акционеров номинальными держателями акций эмитен</w:t>
      </w:r>
      <w:r>
        <w:rPr>
          <w:rFonts w:ascii="Times New Roman" w:hAnsi="Times New Roman"/>
          <w:color w:val="000000"/>
          <w:sz w:val="28"/>
        </w:rPr>
        <w:t>та:</w:t>
      </w:r>
      <w:r>
        <w:rPr>
          <w:rFonts w:ascii="Times New Roman" w:hAnsi="Times New Roman"/>
          <w:color w:val="000000"/>
          <w:sz w:val="28"/>
        </w:rPr>
        <w:t xml:space="preserve"> </w:t>
      </w:r>
      <w:r>
        <w:rPr>
          <w:rFonts w:ascii="Times New Roman" w:hAnsi="Times New Roman"/>
          <w:color w:val="000000"/>
          <w:sz w:val="28"/>
        </w:rPr>
        <w:t>1</w:t>
      </w:r>
      <w:r>
        <w:rPr>
          <w:rFonts w:ascii="Times New Roman" w:hAnsi="Times New Roman"/>
          <w:color w:val="000000"/>
          <w:sz w:val="28"/>
        </w:rPr>
        <w:t>, сч</w:t>
      </w:r>
      <w:r>
        <w:rPr>
          <w:rFonts w:ascii="Times New Roman" w:hAnsi="Times New Roman"/>
          <w:color w:val="000000"/>
          <w:sz w:val="28"/>
        </w:rPr>
        <w:t>ет  «нулевой» с  марта 2017 года»</w:t>
      </w:r>
    </w:p>
    <w:p w14:paraId="A2000000">
      <w:pPr>
        <w:ind/>
        <w:jc w:val="both"/>
        <w:rPr>
          <w:rFonts w:ascii="Times New Roman" w:hAnsi="Times New Roman"/>
          <w:color w:val="F10000"/>
          <w:sz w:val="28"/>
        </w:rPr>
      </w:pPr>
      <w:r>
        <w:rPr>
          <w:rFonts w:ascii="Times New Roman" w:hAnsi="Times New Roman"/>
          <w:color w:val="F10000"/>
          <w:sz w:val="28"/>
        </w:rPr>
        <w:t xml:space="preserve">      </w:t>
      </w:r>
    </w:p>
    <w:p w14:paraId="A3000000">
      <w:pPr>
        <w:ind/>
        <w:jc w:val="both"/>
        <w:rPr>
          <w:rFonts w:ascii="Times New Roman" w:hAnsi="Times New Roman"/>
          <w:color w:val="F10000"/>
          <w:sz w:val="28"/>
        </w:rPr>
      </w:pPr>
      <w:r>
        <w:rPr>
          <w:rFonts w:ascii="Times New Roman" w:hAnsi="Times New Roman"/>
          <w:b w:val="0"/>
          <w:sz w:val="28"/>
        </w:rPr>
        <w:t xml:space="preserve"> </w:t>
      </w:r>
      <w:r>
        <w:rPr>
          <w:rFonts w:ascii="Times New Roman" w:hAnsi="Times New Roman"/>
          <w:b w:val="0"/>
          <w:sz w:val="28"/>
        </w:rPr>
        <w:t>В соответствии с абзацем 1 пункта 1.16 и п.12.4 Положения № 714-П  полный текст документа, содержащего измененную (скорректированную)  информацию опубликован на странице в сети Интернет :</w:t>
      </w:r>
    </w:p>
    <w:tbl>
      <w:tblPr>
        <w:tblStyle w:val="Style_2"/>
        <w:tblW w:type="auto" w:w="0"/>
        <w:tblLayout w:type="fixed"/>
        <w:tblCellMar>
          <w:top w:type="dxa" w:w="0"/>
          <w:left w:type="dxa" w:w="28"/>
          <w:bottom w:type="dxa" w:w="0"/>
          <w:right w:type="dxa" w:w="28"/>
        </w:tblCellMar>
      </w:tblPr>
      <w:tblGrid>
        <w:gridCol w:w="7881"/>
      </w:tblGrid>
      <w:tr>
        <w:tc>
          <w:tcPr>
            <w:tcW w:type="dxa" w:w="7881"/>
            <w:tcBorders>
              <w:top w:color="000000" w:sz="4" w:val="nil"/>
              <w:left w:color="000000" w:sz="4" w:val="nil"/>
              <w:bottom w:color="000000" w:sz="4" w:val="nil"/>
              <w:right w:color="000000" w:sz="4" w:val="nil"/>
              <w:tl2br w:color="000000" w:sz="4" w:val="nil"/>
              <w:tr2bl w:color="000000"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A4000000">
            <w:pPr>
              <w:ind/>
              <w:jc w:val="left"/>
              <w:rPr>
                <w:rFonts w:ascii="Times New Roman" w:hAnsi="Times New Roman"/>
                <w:b w:val="0"/>
                <w:sz w:val="28"/>
              </w:rPr>
            </w:pPr>
            <w:r>
              <w:rPr>
                <w:rFonts w:ascii="Times New Roman" w:hAnsi="Times New Roman"/>
                <w:b w:val="0"/>
                <w:sz w:val="28"/>
              </w:rPr>
              <w:t>disclosure.1prime.ru/Portal/Default.aspx?emId=4714000211</w:t>
            </w:r>
          </w:p>
        </w:tc>
      </w:tr>
    </w:tbl>
    <w:p w14:paraId="A5000000">
      <w:pPr>
        <w:pStyle w:val="Style_3"/>
        <w:ind w:firstLine="567" w:left="0"/>
        <w:jc w:val="both"/>
        <w:rPr>
          <w:rFonts w:ascii="Times New Roman" w:hAnsi="Times New Roman"/>
          <w:b w:val="0"/>
          <w:sz w:val="28"/>
        </w:rPr>
      </w:pPr>
      <w:r>
        <w:rPr>
          <w:rFonts w:ascii="Times New Roman" w:hAnsi="Times New Roman"/>
          <w:b w:val="0"/>
          <w:sz w:val="28"/>
        </w:rPr>
        <w:t>в разделе Отчет эмитента за 12 мес .</w:t>
      </w:r>
    </w:p>
    <w:p w14:paraId="A6000000">
      <w:pPr>
        <w:pStyle w:val="Style_3"/>
        <w:ind/>
        <w:jc w:val="center"/>
      </w:pPr>
    </w:p>
    <w:sectPr>
      <w:footerReference r:id="rId1" w:type="default"/>
      <w:pgSz w:h="16838" w:orient="portrait" w:w="11906"/>
      <w:pgMar w:bottom="567" w:footer="397" w:gutter="0" w:header="397" w:left="1559" w:right="851" w:top="851"/>
      <w:pgNumType w:start="1"/>
      <w:titlePg/>
    </w:sectPr>
  </w:body>
</w:document>
</file>

<file path=word/fontTable.xml><?xml version="1.0" encoding="utf-8"?>
<w:fonts xmlns:w="http://schemas.openxmlformats.org/wordprocessingml/2006/main">
  <w:font w:name="Cambria">
    <w:panose1 w:val="02040503050406030204"/>
    <w:charset w:val="00"/>
    <w:family w:val="auto"/>
    <w:pitch w:val="variable"/>
    <w:sig w:csb0="0000019F" w:csb1="00000000" w:usb0="E00002FF" w:usb1="400004FF" w:usb2="00000000" w:usb3="00000000"/>
  </w:font>
  <w:font w:name="ＭＳ 明朝">
    <w:panose1 w:val="00000000000000000000"/>
    <w:charset w:val="80"/>
    <w:family w:val="roman"/>
    <w:notTrueType/>
    <w:pitch w:val="fixed"/>
    <w:sig w:csb0="00020000" w:csb1="00000000" w:usb0="00000001" w:usb1="08070000" w:usb2="00000010" w:usb3="00000000"/>
  </w:font>
  <w:font w:name="Times New Roman">
    <w:panose1 w:val="02020603050405020304"/>
    <w:charset w:val="00"/>
    <w:family w:val="auto"/>
    <w:pitch w:val="variable"/>
    <w:sig w:csb0="00000001" w:csb1="00000000" w:usb0="00000003" w:usb1="00000000" w:usb2="00000000" w:usb3="00000000"/>
  </w:font>
  <w:font w:name="Calibri">
    <w:panose1 w:val="020F0502020204030204"/>
    <w:charset w:val="00"/>
    <w:family w:val="auto"/>
    <w:pitch w:val="variable"/>
    <w:sig w:csb0="0000019F" w:csb1="00000000" w:usb0="E10002FF" w:usb1="4000ACFF" w:usb2="00000009" w:usb3="00000000"/>
  </w:font>
  <w:font w:name="ＭＳ ゴシック">
    <w:panose1 w:val="00000000000000000000"/>
    <w:charset w:val="80"/>
    <w:family w:val="modern"/>
    <w:notTrueType/>
    <w:pitch w:val="fixed"/>
    <w:sig w:csb0="00020000" w:csb1="00000000" w:usb0="00000001" w:usb1="08070000" w:usb2="00000010" w:usb3="00000000"/>
  </w:font>
  <w:font w:name="Consolas">
    <w:panose1 w:val="020B0609020204030204"/>
    <w:charset w:val="00"/>
    <w:family w:val="auto"/>
    <w:pitch w:val="variable"/>
    <w:sig w:csb0="0000019F" w:csb1="00000000" w:usb0="E10002FF" w:usb1="4000FCFF" w:usb2="00000009" w:usb3="00000000"/>
  </w:font>
  <w:font w:name="Arial">
    <w:panose1 w:val="020B0604020202020204"/>
    <w:charset w:val="00"/>
    <w:family w:val="auto"/>
    <w:pitch w:val="variable"/>
    <w:sig w:csb0="00000001" w:csb1="00000000" w:usb0="00000003" w:usb1="00000000" w:usb2="00000000" w:usb3="00000000"/>
  </w:font>
</w:fonts>
</file>

<file path=word/footer1.xml><?xml version="1.0" encoding="utf-8"?>
<w:ft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p w14:paraId="01000000">
    <w:pPr>
      <w:pStyle w:val="Style_1"/>
      <w:ind/>
      <w:jc w:val="center"/>
    </w:pPr>
    <w:r>
      <w:fldChar w:fldCharType="begin"/>
    </w:r>
    <w:r>
      <w:instrText xml:space="preserve">PAGE </w:instrText>
    </w:r>
    <w:r>
      <w:fldChar w:fldCharType="separate"/>
    </w:r>
    <w:r>
      <w:t xml:space="preserve"> </w:t>
    </w:r>
    <w:r>
      <w:fldChar w:fldCharType="end"/>
    </w:r>
  </w:p>
  <w:p w14:paraId="02000000">
    <w:pPr>
      <w:pStyle w:val="Style_1"/>
      <w:ind w:firstLine="0" w:left="720"/>
    </w:pPr>
  </w:p>
</w:ftr>
</file>

<file path=word/settings.xml><?xml version="1.0" encoding="utf-8"?>
<w:setting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defaultTabStop w:val="720"/>
  <w:compat>
    <w:compatSetting w:name="compatibilityMode" w:uri="http://schemas.microsoft.com/office/word" w:val="15"/>
  </w:compat>
  <w:clrSchemeMapping w:accent1="accent1" w:accent2="accent2" w:accent3="accent3" w:accent4="accent4" w:accent5="accent5" w:accent6="accent6" w:bg1="light1" w:bg2="light2" w:followedHyperlink="followedHyperlink" w:hyperlink="hyperlink" w:t1="dark1" w:t2="dark2"/>
</w:settings>
</file>

<file path=word/styles.xml><?xml version="1.0" encoding="utf-8"?>
<w:style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docDefaults>
    <w:rPrDefault>
      <w:rPr>
        <w:rFonts w:ascii="Calibri" w:hAnsi="Calibri"/>
        <w:color w:val="000000"/>
        <w:spacing w:val="0"/>
        <w:sz w:val="20"/>
      </w:rPr>
    </w:rPrDefault>
    <w:pPrDefault>
      <w:pPr>
        <w:spacing w:after="0" w:before="0" w:line="240" w:lineRule="auto"/>
        <w:ind w:firstLine="0" w:left="0" w:right="0"/>
        <w:jc w:val="left"/>
      </w:pPr>
    </w:pPrDefault>
  </w:docDefaults>
  <w:latentStyles w:count="25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semiHidden="0" w:uiPriority="9" w:unhideWhenUsed="0"/>
    <w:lsdException w:name="heading 3" w:qFormat="1" w:semiHidden="0" w:uiPriority="9" w:unhideWhenUsed="0"/>
    <w:lsdException w:name="heading 4" w:qFormat="1" w:semiHidden="0" w:uiPriority="9" w:unhideWhenUsed="0"/>
    <w:lsdException w:name="heading 5" w:qFormat="1" w:semiHidden="0" w:uiPriority="9" w:unhideWhenUsed="0"/>
    <w:lsdException w:name="heading 6" w:qFormat="1" w:semiHidden="0" w:uiPriority="9" w:unhideWhenUsed="0"/>
    <w:lsdException w:name="heading 7" w:qFormat="1" w:semiHidden="0" w:uiPriority="9" w:unhideWhenUsed="0"/>
    <w:lsdException w:name="heading 8" w:qFormat="1" w:semiHidden="0" w:uiPriority="9" w:unhideWhenUsed="0"/>
    <w:lsdException w:name="heading 9" w:qFormat="1" w:semiHidden="0" w:uiPriority="9" w:unhideWhenUsed="0"/>
    <w:lsdException w:name="Title" w:qFormat="1" w:semiHidden="0" w:uiPriority="10" w:unhideWhenUsed="0"/>
    <w:lsdException w:name="Subtitle" w:qFormat="1" w:semiHidden="0" w:uiPriority="11" w:unhideWhenUsed="0"/>
    <w:lsdException w:name="Header and Footer" w:qFormat="0" w:semiHidden="0" w:unhideWhenUsed="0"/>
    <w:lsdException w:name="Footnote" w:qFormat="0" w:semiHidden="0" w:unhideWhenUsed="0"/>
    <w:lsdException w:name="Endnote" w:qFormat="0" w:semiHidden="0" w:unhideWhenUsed="0"/>
    <w:lsdException w:name="toc 1" w:qFormat="0" w:semiHidden="0" w:uiPriority="39" w:unhideWhenUsed="0"/>
    <w:lsdException w:name="toc 2" w:qFormat="0" w:semiHidden="0" w:uiPriority="39" w:unhideWhenUsed="0"/>
    <w:lsdException w:name="toc 3" w:qFormat="0" w:semiHidden="0" w:uiPriority="39" w:unhideWhenUsed="0"/>
    <w:lsdException w:name="toc 4" w:qFormat="0" w:semiHidden="0" w:uiPriority="39" w:unhideWhenUsed="0"/>
    <w:lsdException w:name="toc 5" w:qFormat="0" w:semiHidden="0" w:uiPriority="39" w:unhideWhenUsed="0"/>
    <w:lsdException w:name="toc 6" w:qFormat="0" w:semiHidden="0" w:uiPriority="39" w:unhideWhenUsed="0"/>
    <w:lsdException w:name="toc 7" w:qFormat="0" w:semiHidden="0" w:uiPriority="39" w:unhideWhenUsed="0"/>
    <w:lsdException w:name="toc 8" w:qFormat="0" w:semiHidden="0" w:uiPriority="39" w:unhideWhenUsed="0"/>
    <w:lsdException w:name="toc 9" w:qFormat="0" w:semiHidden="0" w:uiPriority="39" w:unhideWhenUsed="0"/>
    <w:lsdException w:name="Hyperlink" w:qFormat="0" w:semiHidden="0" w:unhideWhenUsed="0"/>
  </w:latentStyles>
  <w:style w:default="1" w:styleId="Style_4" w:type="paragraph">
    <w:name w:val="Normal"/>
    <w:link w:val="Style_4_ch"/>
    <w:uiPriority w:val="0"/>
    <w:qFormat/>
    <w:pPr>
      <w:widowControl w:val="1"/>
      <w:ind w:firstLine="0" w:left="0" w:right="0"/>
      <w:jc w:val="left"/>
    </w:pPr>
    <w:rPr>
      <w:rFonts w:ascii="Calibri" w:hAnsi="Calibri"/>
      <w:sz w:val="24"/>
    </w:rPr>
  </w:style>
  <w:style w:default="1" w:styleId="Style_4_ch" w:type="character">
    <w:name w:val="Normal"/>
    <w:link w:val="Style_4"/>
    <w:rPr>
      <w:rFonts w:ascii="Calibri" w:hAnsi="Calibri"/>
      <w:sz w:val="24"/>
    </w:rPr>
  </w:style>
  <w:style w:styleId="Style_5" w:type="paragraph">
    <w:name w:val="toc 2"/>
    <w:basedOn w:val="Style_4"/>
    <w:next w:val="Style_4"/>
    <w:link w:val="Style_5_ch"/>
    <w:uiPriority w:val="39"/>
    <w:pPr>
      <w:ind w:firstLine="0" w:left="200"/>
      <w:jc w:val="left"/>
    </w:pPr>
  </w:style>
  <w:style w:styleId="Style_5_ch" w:type="character">
    <w:name w:val="toc 2"/>
    <w:basedOn w:val="Style_4_ch"/>
    <w:link w:val="Style_5"/>
  </w:style>
  <w:style w:styleId="Style_6" w:type="paragraph">
    <w:name w:val="footnote reference"/>
    <w:basedOn w:val="Style_7"/>
    <w:link w:val="Style_6_ch"/>
    <w:rPr>
      <w:vertAlign w:val="superscript"/>
    </w:rPr>
  </w:style>
  <w:style w:styleId="Style_6_ch" w:type="character">
    <w:name w:val="footnote reference"/>
    <w:basedOn w:val="Style_7_ch"/>
    <w:link w:val="Style_6"/>
    <w:rPr>
      <w:vertAlign w:val="superscript"/>
    </w:rPr>
  </w:style>
  <w:style w:styleId="Style_8" w:type="paragraph">
    <w:name w:val="toc 4"/>
    <w:next w:val="Style_4"/>
    <w:link w:val="Style_8_ch"/>
    <w:uiPriority w:val="39"/>
    <w:pPr>
      <w:ind w:firstLine="0" w:left="600"/>
      <w:jc w:val="left"/>
    </w:pPr>
    <w:rPr>
      <w:rFonts w:ascii="XO Thames" w:hAnsi="XO Thames"/>
      <w:sz w:val="28"/>
    </w:rPr>
  </w:style>
  <w:style w:styleId="Style_8_ch" w:type="character">
    <w:name w:val="toc 4"/>
    <w:link w:val="Style_8"/>
    <w:rPr>
      <w:rFonts w:ascii="XO Thames" w:hAnsi="XO Thames"/>
      <w:sz w:val="28"/>
    </w:rPr>
  </w:style>
  <w:style w:styleId="Style_9" w:type="paragraph">
    <w:name w:val="heading 7"/>
    <w:basedOn w:val="Style_4"/>
    <w:next w:val="Style_4"/>
    <w:link w:val="Style_9_ch"/>
    <w:uiPriority w:val="9"/>
    <w:qFormat/>
    <w:pPr>
      <w:spacing w:after="60" w:before="240"/>
      <w:ind/>
      <w:jc w:val="left"/>
      <w:outlineLvl w:val="6"/>
    </w:pPr>
  </w:style>
  <w:style w:styleId="Style_9_ch" w:type="character">
    <w:name w:val="heading 7"/>
    <w:basedOn w:val="Style_4_ch"/>
    <w:link w:val="Style_9"/>
  </w:style>
  <w:style w:styleId="Style_10" w:type="paragraph">
    <w:name w:val="Default"/>
    <w:link w:val="Style_10_ch"/>
    <w:pPr>
      <w:widowControl w:val="1"/>
      <w:ind w:firstLine="0" w:left="0" w:right="0"/>
      <w:jc w:val="left"/>
    </w:pPr>
    <w:rPr>
      <w:rFonts w:ascii="Calibri" w:hAnsi="Calibri"/>
      <w:color w:val="000000"/>
      <w:sz w:val="24"/>
    </w:rPr>
  </w:style>
  <w:style w:styleId="Style_10_ch" w:type="character">
    <w:name w:val="Default"/>
    <w:link w:val="Style_10"/>
    <w:rPr>
      <w:rFonts w:ascii="Calibri" w:hAnsi="Calibri"/>
      <w:color w:val="000000"/>
      <w:sz w:val="24"/>
    </w:rPr>
  </w:style>
  <w:style w:styleId="Style_11" w:type="paragraph">
    <w:name w:val="toc 6"/>
    <w:next w:val="Style_4"/>
    <w:link w:val="Style_11_ch"/>
    <w:uiPriority w:val="39"/>
    <w:pPr>
      <w:ind w:firstLine="0" w:left="1000"/>
      <w:jc w:val="left"/>
    </w:pPr>
    <w:rPr>
      <w:rFonts w:ascii="XO Thames" w:hAnsi="XO Thames"/>
      <w:sz w:val="28"/>
    </w:rPr>
  </w:style>
  <w:style w:styleId="Style_11_ch" w:type="character">
    <w:name w:val="toc 6"/>
    <w:link w:val="Style_11"/>
    <w:rPr>
      <w:rFonts w:ascii="XO Thames" w:hAnsi="XO Thames"/>
      <w:sz w:val="28"/>
    </w:rPr>
  </w:style>
  <w:style w:styleId="Style_12" w:type="paragraph">
    <w:name w:val="toc 7"/>
    <w:next w:val="Style_4"/>
    <w:link w:val="Style_12_ch"/>
    <w:uiPriority w:val="39"/>
    <w:pPr>
      <w:ind w:firstLine="0" w:left="1200"/>
      <w:jc w:val="left"/>
    </w:pPr>
    <w:rPr>
      <w:rFonts w:ascii="XO Thames" w:hAnsi="XO Thames"/>
      <w:sz w:val="28"/>
    </w:rPr>
  </w:style>
  <w:style w:styleId="Style_12_ch" w:type="character">
    <w:name w:val="toc 7"/>
    <w:link w:val="Style_12"/>
    <w:rPr>
      <w:rFonts w:ascii="XO Thames" w:hAnsi="XO Thames"/>
      <w:sz w:val="28"/>
    </w:rPr>
  </w:style>
  <w:style w:styleId="Style_13" w:type="paragraph">
    <w:name w:val="Endnote"/>
    <w:basedOn w:val="Style_4"/>
    <w:link w:val="Style_13_ch"/>
    <w:pPr>
      <w:ind/>
      <w:jc w:val="left"/>
    </w:pPr>
  </w:style>
  <w:style w:styleId="Style_13_ch" w:type="character">
    <w:name w:val="Endnote"/>
    <w:basedOn w:val="Style_4_ch"/>
    <w:link w:val="Style_13"/>
  </w:style>
  <w:style w:styleId="Style_14" w:type="paragraph">
    <w:name w:val="heading 3"/>
    <w:basedOn w:val="Style_4"/>
    <w:next w:val="Style_4"/>
    <w:link w:val="Style_14_ch"/>
    <w:uiPriority w:val="9"/>
    <w:qFormat/>
    <w:pPr>
      <w:keepNext w:val="1"/>
      <w:spacing w:after="60" w:before="240"/>
      <w:ind/>
      <w:jc w:val="left"/>
      <w:outlineLvl w:val="2"/>
    </w:pPr>
    <w:rPr>
      <w:rFonts w:ascii="Cambria" w:hAnsi="Cambria"/>
      <w:b w:val="1"/>
      <w:sz w:val="26"/>
    </w:rPr>
  </w:style>
  <w:style w:styleId="Style_14_ch" w:type="character">
    <w:name w:val="heading 3"/>
    <w:basedOn w:val="Style_4_ch"/>
    <w:link w:val="Style_14"/>
    <w:rPr>
      <w:rFonts w:ascii="Cambria" w:hAnsi="Cambria"/>
      <w:b w:val="1"/>
      <w:sz w:val="26"/>
    </w:rPr>
  </w:style>
  <w:style w:styleId="Style_15" w:type="paragraph">
    <w:name w:val="ConsNormal"/>
    <w:link w:val="Style_15_ch"/>
    <w:pPr>
      <w:widowControl w:val="1"/>
      <w:ind w:firstLine="539" w:left="0" w:right="19771"/>
      <w:jc w:val="left"/>
    </w:pPr>
    <w:rPr>
      <w:rFonts w:ascii="Courier New" w:hAnsi="Courier New"/>
      <w:sz w:val="22"/>
    </w:rPr>
  </w:style>
  <w:style w:styleId="Style_15_ch" w:type="character">
    <w:name w:val="ConsNormal"/>
    <w:link w:val="Style_15"/>
    <w:rPr>
      <w:rFonts w:ascii="Courier New" w:hAnsi="Courier New"/>
      <w:sz w:val="22"/>
    </w:rPr>
  </w:style>
  <w:style w:styleId="Style_16" w:type="paragraph">
    <w:name w:val="Subtle Emphasis"/>
    <w:basedOn w:val="Style_7"/>
    <w:link w:val="Style_16_ch"/>
    <w:rPr>
      <w:i w:val="1"/>
      <w:color w:val="5A5A5A"/>
    </w:rPr>
  </w:style>
  <w:style w:styleId="Style_16_ch" w:type="character">
    <w:name w:val="Subtle Emphasis"/>
    <w:basedOn w:val="Style_7_ch"/>
    <w:link w:val="Style_16"/>
    <w:rPr>
      <w:i w:val="1"/>
      <w:color w:val="5A5A5A"/>
    </w:rPr>
  </w:style>
  <w:style w:styleId="Style_17" w:type="paragraph">
    <w:name w:val="heading 9"/>
    <w:basedOn w:val="Style_4"/>
    <w:next w:val="Style_4"/>
    <w:link w:val="Style_17_ch"/>
    <w:uiPriority w:val="9"/>
    <w:qFormat/>
    <w:pPr>
      <w:spacing w:after="60" w:before="240"/>
      <w:ind/>
      <w:jc w:val="left"/>
      <w:outlineLvl w:val="8"/>
    </w:pPr>
    <w:rPr>
      <w:rFonts w:ascii="Cambria" w:hAnsi="Cambria"/>
      <w:sz w:val="22"/>
    </w:rPr>
  </w:style>
  <w:style w:styleId="Style_17_ch" w:type="character">
    <w:name w:val="heading 9"/>
    <w:basedOn w:val="Style_4_ch"/>
    <w:link w:val="Style_17"/>
    <w:rPr>
      <w:rFonts w:ascii="Cambria" w:hAnsi="Cambria"/>
      <w:sz w:val="22"/>
    </w:rPr>
  </w:style>
  <w:style w:styleId="Style_18" w:type="paragraph">
    <w:name w:val="Subst"/>
    <w:link w:val="Style_18_ch"/>
    <w:rPr>
      <w:b w:val="1"/>
      <w:i w:val="1"/>
    </w:rPr>
  </w:style>
  <w:style w:styleId="Style_18_ch" w:type="character">
    <w:name w:val="Subst"/>
    <w:link w:val="Style_18"/>
    <w:rPr>
      <w:b w:val="1"/>
      <w:i w:val="1"/>
    </w:rPr>
  </w:style>
  <w:style w:styleId="Style_19" w:type="paragraph">
    <w:name w:val="ConsNonformat"/>
    <w:link w:val="Style_19_ch"/>
    <w:pPr>
      <w:widowControl w:val="0"/>
      <w:ind w:firstLine="0" w:left="0" w:right="0"/>
      <w:jc w:val="left"/>
    </w:pPr>
    <w:rPr>
      <w:rFonts w:ascii="Courier New" w:hAnsi="Courier New"/>
      <w:sz w:val="22"/>
    </w:rPr>
  </w:style>
  <w:style w:styleId="Style_19_ch" w:type="character">
    <w:name w:val="ConsNonformat"/>
    <w:link w:val="Style_19"/>
    <w:rPr>
      <w:rFonts w:ascii="Courier New" w:hAnsi="Courier New"/>
      <w:sz w:val="22"/>
    </w:rPr>
  </w:style>
  <w:style w:styleId="Style_20" w:type="paragraph">
    <w:name w:val="Основной текст50"/>
    <w:basedOn w:val="Style_4"/>
    <w:link w:val="Style_20_ch"/>
    <w:pPr>
      <w:spacing w:before="360" w:line="446" w:lineRule="exact"/>
      <w:ind w:hanging="580" w:left="580"/>
      <w:jc w:val="right"/>
    </w:pPr>
    <w:rPr>
      <w:rFonts w:ascii="Times New Roman" w:hAnsi="Times New Roman"/>
      <w:sz w:val="23"/>
    </w:rPr>
  </w:style>
  <w:style w:styleId="Style_20_ch" w:type="character">
    <w:name w:val="Основной текст50"/>
    <w:basedOn w:val="Style_4_ch"/>
    <w:link w:val="Style_20"/>
    <w:rPr>
      <w:rFonts w:ascii="Times New Roman" w:hAnsi="Times New Roman"/>
      <w:sz w:val="23"/>
    </w:rPr>
  </w:style>
  <w:style w:styleId="Style_21" w:type="paragraph">
    <w:name w:val="Normal (Web)"/>
    <w:basedOn w:val="Style_4"/>
    <w:link w:val="Style_21_ch"/>
    <w:pPr>
      <w:spacing w:afterAutospacing="on" w:beforeAutospacing="on"/>
      <w:ind/>
      <w:jc w:val="left"/>
    </w:pPr>
  </w:style>
  <w:style w:styleId="Style_21_ch" w:type="character">
    <w:name w:val="Normal (Web)"/>
    <w:basedOn w:val="Style_4_ch"/>
    <w:link w:val="Style_21"/>
  </w:style>
  <w:style w:styleId="Style_22" w:type="paragraph">
    <w:name w:val="toc 3"/>
    <w:basedOn w:val="Style_4"/>
    <w:next w:val="Style_4"/>
    <w:link w:val="Style_22_ch"/>
    <w:uiPriority w:val="39"/>
    <w:pPr>
      <w:spacing w:after="100" w:line="264" w:lineRule="auto"/>
      <w:ind w:firstLine="0" w:left="440"/>
      <w:jc w:val="left"/>
    </w:pPr>
    <w:rPr>
      <w:sz w:val="22"/>
    </w:rPr>
  </w:style>
  <w:style w:styleId="Style_22_ch" w:type="character">
    <w:name w:val="toc 3"/>
    <w:basedOn w:val="Style_4_ch"/>
    <w:link w:val="Style_22"/>
    <w:rPr>
      <w:sz w:val="22"/>
    </w:rPr>
  </w:style>
  <w:style w:styleId="Style_23" w:type="paragraph">
    <w:name w:val="Subtle Reference"/>
    <w:basedOn w:val="Style_7"/>
    <w:link w:val="Style_23_ch"/>
    <w:rPr>
      <w:sz w:val="24"/>
      <w:u w:val="single"/>
    </w:rPr>
  </w:style>
  <w:style w:styleId="Style_23_ch" w:type="character">
    <w:name w:val="Subtle Reference"/>
    <w:basedOn w:val="Style_7_ch"/>
    <w:link w:val="Style_23"/>
    <w:rPr>
      <w:sz w:val="24"/>
      <w:u w:val="single"/>
    </w:rPr>
  </w:style>
  <w:style w:styleId="Style_1" w:type="paragraph">
    <w:name w:val="footer"/>
    <w:basedOn w:val="Style_4"/>
    <w:link w:val="Style_1_ch"/>
    <w:pPr>
      <w:tabs>
        <w:tab w:leader="none" w:pos="4153" w:val="center"/>
        <w:tab w:leader="none" w:pos="8306" w:val="right"/>
      </w:tabs>
      <w:ind/>
      <w:jc w:val="left"/>
    </w:pPr>
  </w:style>
  <w:style w:styleId="Style_1_ch" w:type="character">
    <w:name w:val="footer"/>
    <w:basedOn w:val="Style_4_ch"/>
    <w:link w:val="Style_1"/>
  </w:style>
  <w:style w:styleId="Style_24" w:type="paragraph">
    <w:name w:val="No Spacing"/>
    <w:basedOn w:val="Style_4"/>
    <w:link w:val="Style_24_ch"/>
    <w:pPr>
      <w:ind/>
      <w:jc w:val="left"/>
    </w:pPr>
  </w:style>
  <w:style w:styleId="Style_24_ch" w:type="character">
    <w:name w:val="No Spacing"/>
    <w:basedOn w:val="Style_4_ch"/>
    <w:link w:val="Style_24"/>
  </w:style>
  <w:style w:styleId="Style_25" w:type="paragraph">
    <w:name w:val="Body Text"/>
    <w:basedOn w:val="Style_4"/>
    <w:link w:val="Style_25_ch"/>
    <w:pPr>
      <w:widowControl w:val="0"/>
      <w:ind w:firstLine="4" w:left="117"/>
      <w:jc w:val="left"/>
    </w:pPr>
    <w:rPr>
      <w:sz w:val="18"/>
    </w:rPr>
  </w:style>
  <w:style w:styleId="Style_25_ch" w:type="character">
    <w:name w:val="Body Text"/>
    <w:basedOn w:val="Style_4_ch"/>
    <w:link w:val="Style_25"/>
    <w:rPr>
      <w:sz w:val="18"/>
    </w:rPr>
  </w:style>
  <w:style w:styleId="Style_26" w:type="paragraph">
    <w:name w:val="heading 5"/>
    <w:basedOn w:val="Style_4"/>
    <w:next w:val="Style_4"/>
    <w:link w:val="Style_26_ch"/>
    <w:uiPriority w:val="9"/>
    <w:qFormat/>
    <w:pPr>
      <w:spacing w:after="60" w:before="240"/>
      <w:ind/>
      <w:jc w:val="left"/>
      <w:outlineLvl w:val="4"/>
    </w:pPr>
    <w:rPr>
      <w:b w:val="1"/>
      <w:i w:val="1"/>
      <w:sz w:val="26"/>
    </w:rPr>
  </w:style>
  <w:style w:styleId="Style_26_ch" w:type="character">
    <w:name w:val="heading 5"/>
    <w:basedOn w:val="Style_4_ch"/>
    <w:link w:val="Style_26"/>
    <w:rPr>
      <w:b w:val="1"/>
      <w:i w:val="1"/>
      <w:sz w:val="26"/>
    </w:rPr>
  </w:style>
  <w:style w:styleId="Style_27" w:type="paragraph">
    <w:name w:val="Sub Heading"/>
    <w:link w:val="Style_27_ch"/>
    <w:pPr>
      <w:widowControl w:val="0"/>
      <w:spacing w:after="40" w:before="240"/>
      <w:ind w:firstLine="0" w:left="0" w:right="0"/>
      <w:jc w:val="left"/>
    </w:pPr>
    <w:rPr>
      <w:rFonts w:ascii="Calibri" w:hAnsi="Calibri"/>
      <w:sz w:val="22"/>
    </w:rPr>
  </w:style>
  <w:style w:styleId="Style_27_ch" w:type="character">
    <w:name w:val="Sub Heading"/>
    <w:link w:val="Style_27"/>
    <w:rPr>
      <w:rFonts w:ascii="Calibri" w:hAnsi="Calibri"/>
      <w:sz w:val="22"/>
    </w:rPr>
  </w:style>
  <w:style w:styleId="Style_28" w:type="paragraph">
    <w:name w:val="Intense Emphasis"/>
    <w:basedOn w:val="Style_7"/>
    <w:link w:val="Style_28_ch"/>
    <w:rPr>
      <w:b w:val="1"/>
      <w:i w:val="1"/>
      <w:sz w:val="24"/>
      <w:u w:val="single"/>
    </w:rPr>
  </w:style>
  <w:style w:styleId="Style_28_ch" w:type="character">
    <w:name w:val="Intense Emphasis"/>
    <w:basedOn w:val="Style_7_ch"/>
    <w:link w:val="Style_28"/>
    <w:rPr>
      <w:b w:val="1"/>
      <w:i w:val="1"/>
      <w:sz w:val="24"/>
      <w:u w:val="single"/>
    </w:rPr>
  </w:style>
  <w:style w:styleId="Style_29" w:type="paragraph">
    <w:name w:val="heading 1"/>
    <w:basedOn w:val="Style_4"/>
    <w:next w:val="Style_4"/>
    <w:link w:val="Style_29_ch"/>
    <w:uiPriority w:val="9"/>
    <w:qFormat/>
    <w:pPr>
      <w:keepNext w:val="1"/>
      <w:spacing w:after="60" w:before="240"/>
      <w:ind/>
      <w:jc w:val="left"/>
      <w:outlineLvl w:val="0"/>
    </w:pPr>
    <w:rPr>
      <w:rFonts w:ascii="Cambria" w:hAnsi="Cambria"/>
      <w:b w:val="1"/>
      <w:sz w:val="32"/>
    </w:rPr>
  </w:style>
  <w:style w:styleId="Style_29_ch" w:type="character">
    <w:name w:val="heading 1"/>
    <w:basedOn w:val="Style_4_ch"/>
    <w:link w:val="Style_29"/>
    <w:rPr>
      <w:rFonts w:ascii="Cambria" w:hAnsi="Cambria"/>
      <w:b w:val="1"/>
      <w:sz w:val="32"/>
    </w:rPr>
  </w:style>
  <w:style w:styleId="Style_30" w:type="paragraph">
    <w:name w:val="Hyperlink"/>
    <w:basedOn w:val="Style_7"/>
    <w:link w:val="Style_30_ch"/>
    <w:rPr>
      <w:color w:val="0563C1"/>
      <w:u w:val="single"/>
    </w:rPr>
  </w:style>
  <w:style w:styleId="Style_30_ch" w:type="character">
    <w:name w:val="Hyperlink"/>
    <w:basedOn w:val="Style_7_ch"/>
    <w:link w:val="Style_30"/>
    <w:rPr>
      <w:color w:val="0563C1"/>
      <w:u w:val="single"/>
    </w:rPr>
  </w:style>
  <w:style w:styleId="Style_31" w:type="paragraph">
    <w:name w:val="Footnote"/>
    <w:basedOn w:val="Style_4"/>
    <w:link w:val="Style_31_ch"/>
    <w:pPr>
      <w:ind/>
      <w:jc w:val="left"/>
    </w:pPr>
  </w:style>
  <w:style w:styleId="Style_31_ch" w:type="character">
    <w:name w:val="Footnote"/>
    <w:basedOn w:val="Style_4_ch"/>
    <w:link w:val="Style_31"/>
  </w:style>
  <w:style w:styleId="Style_32" w:type="paragraph">
    <w:name w:val="heading 8"/>
    <w:basedOn w:val="Style_4"/>
    <w:next w:val="Style_4"/>
    <w:link w:val="Style_32_ch"/>
    <w:uiPriority w:val="9"/>
    <w:qFormat/>
    <w:pPr>
      <w:spacing w:after="60" w:before="240"/>
      <w:ind/>
      <w:jc w:val="left"/>
      <w:outlineLvl w:val="7"/>
    </w:pPr>
    <w:rPr>
      <w:i w:val="1"/>
    </w:rPr>
  </w:style>
  <w:style w:styleId="Style_32_ch" w:type="character">
    <w:name w:val="heading 8"/>
    <w:basedOn w:val="Style_4_ch"/>
    <w:link w:val="Style_32"/>
    <w:rPr>
      <w:i w:val="1"/>
    </w:rPr>
  </w:style>
  <w:style w:styleId="Style_33" w:type="paragraph">
    <w:name w:val="toc 1"/>
    <w:basedOn w:val="Style_4"/>
    <w:next w:val="Style_4"/>
    <w:link w:val="Style_33_ch"/>
    <w:uiPriority w:val="39"/>
    <w:pPr>
      <w:ind/>
      <w:jc w:val="left"/>
    </w:pPr>
  </w:style>
  <w:style w:styleId="Style_33_ch" w:type="character">
    <w:name w:val="toc 1"/>
    <w:basedOn w:val="Style_4_ch"/>
    <w:link w:val="Style_33"/>
  </w:style>
  <w:style w:styleId="Style_34" w:type="paragraph">
    <w:name w:val="ConsPlusNormal"/>
    <w:link w:val="Style_34_ch"/>
    <w:pPr>
      <w:widowControl w:val="0"/>
      <w:ind w:firstLine="0" w:left="0" w:right="0"/>
      <w:jc w:val="left"/>
    </w:pPr>
    <w:rPr>
      <w:rFonts w:ascii="Calibri" w:hAnsi="Calibri"/>
      <w:sz w:val="22"/>
    </w:rPr>
  </w:style>
  <w:style w:styleId="Style_34_ch" w:type="character">
    <w:name w:val="ConsPlusNormal"/>
    <w:link w:val="Style_34"/>
    <w:rPr>
      <w:rFonts w:ascii="Calibri" w:hAnsi="Calibri"/>
      <w:sz w:val="22"/>
    </w:rPr>
  </w:style>
  <w:style w:styleId="Style_35" w:type="paragraph">
    <w:name w:val="Header and Footer"/>
    <w:link w:val="Style_35_ch"/>
    <w:pPr>
      <w:spacing w:line="240" w:lineRule="auto"/>
      <w:ind/>
      <w:jc w:val="both"/>
    </w:pPr>
    <w:rPr>
      <w:rFonts w:ascii="XO Thames" w:hAnsi="XO Thames"/>
      <w:sz w:val="28"/>
    </w:rPr>
  </w:style>
  <w:style w:styleId="Style_35_ch" w:type="character">
    <w:name w:val="Header and Footer"/>
    <w:link w:val="Style_35"/>
    <w:rPr>
      <w:rFonts w:ascii="XO Thames" w:hAnsi="XO Thames"/>
      <w:sz w:val="28"/>
    </w:rPr>
  </w:style>
  <w:style w:styleId="Style_36" w:type="paragraph">
    <w:name w:val="Intense Reference"/>
    <w:basedOn w:val="Style_7"/>
    <w:link w:val="Style_36_ch"/>
    <w:rPr>
      <w:b w:val="1"/>
      <w:sz w:val="24"/>
      <w:u w:val="single"/>
    </w:rPr>
  </w:style>
  <w:style w:styleId="Style_36_ch" w:type="character">
    <w:name w:val="Intense Reference"/>
    <w:basedOn w:val="Style_7_ch"/>
    <w:link w:val="Style_36"/>
    <w:rPr>
      <w:b w:val="1"/>
      <w:sz w:val="24"/>
      <w:u w:val="single"/>
    </w:rPr>
  </w:style>
  <w:style w:styleId="Style_37" w:type="paragraph">
    <w:name w:val="toc 9"/>
    <w:next w:val="Style_4"/>
    <w:link w:val="Style_37_ch"/>
    <w:uiPriority w:val="39"/>
    <w:pPr>
      <w:ind w:firstLine="0" w:left="1600"/>
      <w:jc w:val="left"/>
    </w:pPr>
    <w:rPr>
      <w:rFonts w:ascii="XO Thames" w:hAnsi="XO Thames"/>
      <w:sz w:val="28"/>
    </w:rPr>
  </w:style>
  <w:style w:styleId="Style_37_ch" w:type="character">
    <w:name w:val="toc 9"/>
    <w:link w:val="Style_37"/>
    <w:rPr>
      <w:rFonts w:ascii="XO Thames" w:hAnsi="XO Thames"/>
      <w:sz w:val="28"/>
    </w:rPr>
  </w:style>
  <w:style w:styleId="Style_3" w:type="paragraph">
    <w:name w:val="TOC Heading"/>
    <w:basedOn w:val="Style_29"/>
    <w:next w:val="Style_4"/>
    <w:link w:val="Style_3_ch"/>
    <w:pPr>
      <w:ind/>
      <w:jc w:val="left"/>
      <w:outlineLvl w:val="8"/>
    </w:pPr>
  </w:style>
  <w:style w:styleId="Style_3_ch" w:type="character">
    <w:name w:val="TOC Heading"/>
    <w:basedOn w:val="Style_29_ch"/>
    <w:link w:val="Style_3"/>
  </w:style>
  <w:style w:styleId="Style_38" w:type="paragraph">
    <w:name w:val="endnote reference"/>
    <w:basedOn w:val="Style_7"/>
    <w:link w:val="Style_38_ch"/>
    <w:rPr>
      <w:vertAlign w:val="superscript"/>
    </w:rPr>
  </w:style>
  <w:style w:styleId="Style_38_ch" w:type="character">
    <w:name w:val="endnote reference"/>
    <w:basedOn w:val="Style_7_ch"/>
    <w:link w:val="Style_38"/>
    <w:rPr>
      <w:vertAlign w:val="superscript"/>
    </w:rPr>
  </w:style>
  <w:style w:styleId="Style_39" w:type="paragraph">
    <w:name w:val="Emphasis"/>
    <w:basedOn w:val="Style_7"/>
    <w:link w:val="Style_39_ch"/>
    <w:rPr>
      <w:rFonts w:ascii="Calibri" w:hAnsi="Calibri"/>
      <w:b w:val="1"/>
      <w:i w:val="1"/>
    </w:rPr>
  </w:style>
  <w:style w:styleId="Style_39_ch" w:type="character">
    <w:name w:val="Emphasis"/>
    <w:basedOn w:val="Style_7_ch"/>
    <w:link w:val="Style_39"/>
    <w:rPr>
      <w:rFonts w:ascii="Calibri" w:hAnsi="Calibri"/>
      <w:b w:val="1"/>
      <w:i w:val="1"/>
    </w:rPr>
  </w:style>
  <w:style w:styleId="Style_40" w:type="paragraph">
    <w:name w:val="toc 8"/>
    <w:next w:val="Style_4"/>
    <w:link w:val="Style_40_ch"/>
    <w:uiPriority w:val="39"/>
    <w:pPr>
      <w:ind w:firstLine="0" w:left="1400"/>
      <w:jc w:val="left"/>
    </w:pPr>
    <w:rPr>
      <w:rFonts w:ascii="XO Thames" w:hAnsi="XO Thames"/>
      <w:sz w:val="28"/>
    </w:rPr>
  </w:style>
  <w:style w:styleId="Style_40_ch" w:type="character">
    <w:name w:val="toc 8"/>
    <w:link w:val="Style_40"/>
    <w:rPr>
      <w:rFonts w:ascii="XO Thames" w:hAnsi="XO Thames"/>
      <w:sz w:val="28"/>
    </w:rPr>
  </w:style>
  <w:style w:styleId="Style_41" w:type="paragraph">
    <w:name w:val="Intense Quote"/>
    <w:basedOn w:val="Style_4"/>
    <w:next w:val="Style_4"/>
    <w:link w:val="Style_41_ch"/>
    <w:pPr>
      <w:ind w:firstLine="0" w:left="720" w:right="720"/>
      <w:jc w:val="left"/>
    </w:pPr>
    <w:rPr>
      <w:b w:val="1"/>
      <w:i w:val="1"/>
    </w:rPr>
  </w:style>
  <w:style w:styleId="Style_41_ch" w:type="character">
    <w:name w:val="Intense Quote"/>
    <w:basedOn w:val="Style_4_ch"/>
    <w:link w:val="Style_41"/>
    <w:rPr>
      <w:b w:val="1"/>
      <w:i w:val="1"/>
    </w:rPr>
  </w:style>
  <w:style w:styleId="Style_42" w:type="paragraph">
    <w:name w:val="Thin Delim"/>
    <w:link w:val="Style_42_ch"/>
    <w:pPr>
      <w:widowControl w:val="0"/>
      <w:ind w:firstLine="0" w:left="0" w:right="0"/>
      <w:jc w:val="left"/>
    </w:pPr>
    <w:rPr>
      <w:sz w:val="16"/>
    </w:rPr>
  </w:style>
  <w:style w:styleId="Style_42_ch" w:type="character">
    <w:name w:val="Thin Delim"/>
    <w:link w:val="Style_42"/>
    <w:rPr>
      <w:sz w:val="16"/>
    </w:rPr>
  </w:style>
  <w:style w:styleId="Style_43" w:type="paragraph">
    <w:name w:val="Book Title"/>
    <w:basedOn w:val="Style_7"/>
    <w:link w:val="Style_43_ch"/>
    <w:rPr>
      <w:rFonts w:ascii="Cambria" w:hAnsi="Cambria"/>
      <w:b w:val="1"/>
      <w:i w:val="1"/>
      <w:sz w:val="24"/>
    </w:rPr>
  </w:style>
  <w:style w:styleId="Style_43_ch" w:type="character">
    <w:name w:val="Book Title"/>
    <w:basedOn w:val="Style_7_ch"/>
    <w:link w:val="Style_43"/>
    <w:rPr>
      <w:rFonts w:ascii="Cambria" w:hAnsi="Cambria"/>
      <w:b w:val="1"/>
      <w:i w:val="1"/>
      <w:sz w:val="24"/>
    </w:rPr>
  </w:style>
  <w:style w:styleId="Style_44" w:type="paragraph">
    <w:name w:val="Balloon Text"/>
    <w:basedOn w:val="Style_4"/>
    <w:link w:val="Style_44_ch"/>
    <w:pPr>
      <w:ind/>
      <w:jc w:val="left"/>
    </w:pPr>
    <w:rPr>
      <w:rFonts w:ascii="Segoe UI" w:hAnsi="Segoe UI"/>
      <w:sz w:val="18"/>
    </w:rPr>
  </w:style>
  <w:style w:styleId="Style_44_ch" w:type="character">
    <w:name w:val="Balloon Text"/>
    <w:basedOn w:val="Style_4_ch"/>
    <w:link w:val="Style_44"/>
    <w:rPr>
      <w:rFonts w:ascii="Segoe UI" w:hAnsi="Segoe UI"/>
      <w:sz w:val="18"/>
    </w:rPr>
  </w:style>
  <w:style w:styleId="Style_45" w:type="paragraph">
    <w:name w:val="header"/>
    <w:basedOn w:val="Style_4"/>
    <w:link w:val="Style_45_ch"/>
    <w:pPr>
      <w:tabs>
        <w:tab w:leader="none" w:pos="4153" w:val="center"/>
        <w:tab w:leader="none" w:pos="8306" w:val="right"/>
      </w:tabs>
      <w:ind/>
      <w:jc w:val="left"/>
    </w:pPr>
  </w:style>
  <w:style w:styleId="Style_45_ch" w:type="character">
    <w:name w:val="header"/>
    <w:basedOn w:val="Style_4_ch"/>
    <w:link w:val="Style_45"/>
  </w:style>
  <w:style w:styleId="Style_46" w:type="paragraph">
    <w:name w:val="toc 5"/>
    <w:next w:val="Style_4"/>
    <w:link w:val="Style_46_ch"/>
    <w:uiPriority w:val="39"/>
    <w:pPr>
      <w:ind w:firstLine="0" w:left="800"/>
      <w:jc w:val="left"/>
    </w:pPr>
    <w:rPr>
      <w:rFonts w:ascii="XO Thames" w:hAnsi="XO Thames"/>
      <w:sz w:val="28"/>
    </w:rPr>
  </w:style>
  <w:style w:styleId="Style_46_ch" w:type="character">
    <w:name w:val="toc 5"/>
    <w:link w:val="Style_46"/>
    <w:rPr>
      <w:rFonts w:ascii="XO Thames" w:hAnsi="XO Thames"/>
      <w:sz w:val="28"/>
    </w:rPr>
  </w:style>
  <w:style w:styleId="Style_47" w:type="paragraph">
    <w:name w:val="List Paragraph"/>
    <w:basedOn w:val="Style_4"/>
    <w:link w:val="Style_47_ch"/>
    <w:pPr>
      <w:ind w:firstLine="0" w:left="720"/>
      <w:contextualSpacing w:val="1"/>
      <w:jc w:val="left"/>
    </w:pPr>
  </w:style>
  <w:style w:styleId="Style_47_ch" w:type="character">
    <w:name w:val="List Paragraph"/>
    <w:basedOn w:val="Style_4_ch"/>
    <w:link w:val="Style_47"/>
  </w:style>
  <w:style w:styleId="Style_48" w:type="paragraph">
    <w:name w:val="Strong"/>
    <w:basedOn w:val="Style_7"/>
    <w:link w:val="Style_48_ch"/>
    <w:rPr>
      <w:b w:val="1"/>
    </w:rPr>
  </w:style>
  <w:style w:styleId="Style_48_ch" w:type="character">
    <w:name w:val="Strong"/>
    <w:basedOn w:val="Style_7_ch"/>
    <w:link w:val="Style_48"/>
    <w:rPr>
      <w:b w:val="1"/>
    </w:rPr>
  </w:style>
  <w:style w:styleId="Style_7" w:type="paragraph">
    <w:name w:val="Default Paragraph Font"/>
    <w:link w:val="Style_7_ch"/>
  </w:style>
  <w:style w:styleId="Style_7_ch" w:type="character">
    <w:name w:val="Default Paragraph Font"/>
    <w:link w:val="Style_7"/>
  </w:style>
  <w:style w:styleId="Style_49" w:type="paragraph">
    <w:name w:val="Subtitle"/>
    <w:basedOn w:val="Style_4"/>
    <w:next w:val="Style_4"/>
    <w:link w:val="Style_49_ch"/>
    <w:uiPriority w:val="11"/>
    <w:qFormat/>
    <w:pPr>
      <w:spacing w:after="60"/>
      <w:ind/>
      <w:jc w:val="center"/>
      <w:outlineLvl w:val="1"/>
    </w:pPr>
    <w:rPr>
      <w:rFonts w:ascii="Cambria" w:hAnsi="Cambria"/>
    </w:rPr>
  </w:style>
  <w:style w:styleId="Style_49_ch" w:type="character">
    <w:name w:val="Subtitle"/>
    <w:basedOn w:val="Style_4_ch"/>
    <w:link w:val="Style_49"/>
    <w:rPr>
      <w:rFonts w:ascii="Cambria" w:hAnsi="Cambria"/>
    </w:rPr>
  </w:style>
  <w:style w:styleId="Style_50" w:type="paragraph">
    <w:name w:val="Title"/>
    <w:basedOn w:val="Style_4"/>
    <w:next w:val="Style_4"/>
    <w:link w:val="Style_50_ch"/>
    <w:uiPriority w:val="10"/>
    <w:qFormat/>
    <w:pPr>
      <w:spacing w:after="60" w:before="240"/>
      <w:ind/>
      <w:jc w:val="center"/>
      <w:outlineLvl w:val="0"/>
    </w:pPr>
    <w:rPr>
      <w:rFonts w:ascii="Cambria" w:hAnsi="Cambria"/>
      <w:b w:val="1"/>
      <w:sz w:val="32"/>
    </w:rPr>
  </w:style>
  <w:style w:styleId="Style_50_ch" w:type="character">
    <w:name w:val="Title"/>
    <w:basedOn w:val="Style_4_ch"/>
    <w:link w:val="Style_50"/>
    <w:rPr>
      <w:rFonts w:ascii="Cambria" w:hAnsi="Cambria"/>
      <w:b w:val="1"/>
      <w:sz w:val="32"/>
    </w:rPr>
  </w:style>
  <w:style w:styleId="Style_51" w:type="paragraph">
    <w:name w:val="Quote"/>
    <w:basedOn w:val="Style_4"/>
    <w:next w:val="Style_4"/>
    <w:link w:val="Style_51_ch"/>
    <w:pPr>
      <w:ind/>
      <w:jc w:val="left"/>
    </w:pPr>
    <w:rPr>
      <w:i w:val="1"/>
    </w:rPr>
  </w:style>
  <w:style w:styleId="Style_51_ch" w:type="character">
    <w:name w:val="Quote"/>
    <w:basedOn w:val="Style_4_ch"/>
    <w:link w:val="Style_51"/>
    <w:rPr>
      <w:i w:val="1"/>
    </w:rPr>
  </w:style>
  <w:style w:styleId="Style_52" w:type="paragraph">
    <w:name w:val="heading 4"/>
    <w:basedOn w:val="Style_4"/>
    <w:next w:val="Style_4"/>
    <w:link w:val="Style_52_ch"/>
    <w:uiPriority w:val="9"/>
    <w:qFormat/>
    <w:pPr>
      <w:keepNext w:val="1"/>
      <w:spacing w:after="60" w:before="240"/>
      <w:ind/>
      <w:jc w:val="left"/>
      <w:outlineLvl w:val="3"/>
    </w:pPr>
    <w:rPr>
      <w:b w:val="1"/>
      <w:sz w:val="28"/>
    </w:rPr>
  </w:style>
  <w:style w:styleId="Style_52_ch" w:type="character">
    <w:name w:val="heading 4"/>
    <w:basedOn w:val="Style_4_ch"/>
    <w:link w:val="Style_52"/>
    <w:rPr>
      <w:b w:val="1"/>
      <w:sz w:val="28"/>
    </w:rPr>
  </w:style>
  <w:style w:styleId="Style_53" w:type="paragraph">
    <w:name w:val="heading 2"/>
    <w:basedOn w:val="Style_4"/>
    <w:next w:val="Style_4"/>
    <w:link w:val="Style_53_ch"/>
    <w:uiPriority w:val="9"/>
    <w:qFormat/>
    <w:pPr>
      <w:keepNext w:val="1"/>
      <w:spacing w:after="60" w:before="240"/>
      <w:ind/>
      <w:jc w:val="left"/>
      <w:outlineLvl w:val="1"/>
    </w:pPr>
    <w:rPr>
      <w:rFonts w:ascii="Cambria" w:hAnsi="Cambria"/>
      <w:b w:val="1"/>
      <w:i w:val="1"/>
      <w:sz w:val="28"/>
    </w:rPr>
  </w:style>
  <w:style w:styleId="Style_53_ch" w:type="character">
    <w:name w:val="heading 2"/>
    <w:basedOn w:val="Style_4_ch"/>
    <w:link w:val="Style_53"/>
    <w:rPr>
      <w:rFonts w:ascii="Cambria" w:hAnsi="Cambria"/>
      <w:b w:val="1"/>
      <w:i w:val="1"/>
      <w:sz w:val="28"/>
    </w:rPr>
  </w:style>
  <w:style w:styleId="Style_54" w:type="paragraph">
    <w:name w:val="heading 6"/>
    <w:basedOn w:val="Style_4"/>
    <w:next w:val="Style_4"/>
    <w:link w:val="Style_54_ch"/>
    <w:uiPriority w:val="9"/>
    <w:qFormat/>
    <w:pPr>
      <w:spacing w:after="60" w:before="240"/>
      <w:ind/>
      <w:jc w:val="left"/>
      <w:outlineLvl w:val="5"/>
    </w:pPr>
    <w:rPr>
      <w:b w:val="1"/>
      <w:sz w:val="22"/>
    </w:rPr>
  </w:style>
  <w:style w:styleId="Style_54_ch" w:type="character">
    <w:name w:val="heading 6"/>
    <w:basedOn w:val="Style_4_ch"/>
    <w:link w:val="Style_54"/>
    <w:rPr>
      <w:b w:val="1"/>
      <w:sz w:val="22"/>
    </w:rPr>
  </w:style>
  <w:style w:styleId="Style_55" w:type="table">
    <w:name w:val="Table Grid"/>
    <w:basedOn w:val="Style_2"/>
    <w:tblPr>
      <w:tblBorders>
        <w:top w:color="000000" w:sz="4" w:val="single"/>
        <w:left w:color="000000" w:sz="4" w:val="single"/>
        <w:bottom w:color="000000" w:sz="4" w:val="single"/>
        <w:right w:color="000000" w:sz="4" w:val="single"/>
        <w:insideH w:color="000000" w:sz="4" w:val="single"/>
        <w:insideV w:color="000000" w:sz="4" w:val="single"/>
      </w:tblBorders>
    </w:tblPr>
  </w:style>
  <w:style w:default="1" w:styleId="Style_2" w:type="table">
    <w:name w:val="Normal Table"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</w:styles>
</file>

<file path=word/stylesWithEffects.xml><?xml version="1.0" encoding="utf-8"?>
<w:styles xmlns:w="http://schemas.openxmlformats.org/wordprocessingml/2006/main">
  <w:docDefaults>
    <w:rPrDefault>
      <w:rPr>
        <w:rFonts w:asciiTheme="minorHAnsi" w:cstheme="minorBidi" w:eastAsiaTheme="minorEastAsia" w:hAnsiTheme="minorHAnsi"/>
        <w:sz w:val="24"/>
        <w:szCs w:val="24"/>
        <w:lang w:bidi="ar-SA" w:eastAsia="en-US" w:val="en-US"/>
      </w:rPr>
    </w:rPrDefault>
    <w:pPrDefault/>
  </w:docDefaults>
  <w:latentStyles w:count="276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uiPriority="9"/>
    <w:lsdException w:name="heading 3" w:qFormat="1" w:uiPriority="9"/>
    <w:lsdException w:name="heading 4" w:qFormat="1" w:uiPriority="9"/>
    <w:lsdException w:name="heading 5" w:qFormat="1" w:uiPriority="9"/>
    <w:lsdException w:name="heading 6" w:qFormat="1" w:uiPriority="9"/>
    <w:lsdException w:name="heading 7" w:qFormat="1" w:uiPriority="9"/>
    <w:lsdException w:name="heading 8" w:qFormat="1" w:uiPriority="9"/>
    <w:lsdException w:name="heading 9" w:qFormat="1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 w:uiPriority="35"/>
    <w:lsdException w:name="Title" w:qFormat="1" w:semiHidden="0" w:uiPriority="10" w:unhideWhenUsed="0"/>
    <w:lsdException w:name="Default Paragraph Font" w:uiPriority="1"/>
    <w:lsdException w:name="Subtitle" w:qFormat="1" w:semiHidden="0" w:uiPriority="11" w:unhideWhenUsed="0"/>
    <w:lsdException w:name="Strong" w:qFormat="1" w:semiHidden="0" w:uiPriority="22" w:unhideWhenUsed="0"/>
    <w:lsdException w:name="Emphasis" w:qFormat="1" w:semiHidden="0" w:uiPriority="20" w:unhideWhenUsed="0"/>
    <w:lsdException w:name="Table Grid" w:semiHidden="0" w:uiPriority="59" w:unhideWhenUsed="0"/>
    <w:lsdException w:name="Placeholder Text" w:unhideWhenUsed="0"/>
    <w:lsdException w:name="No Spacing" w:qFormat="1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qFormat="1" w:semiHidden="0" w:uiPriority="34" w:unhideWhenUsed="0"/>
    <w:lsdException w:name="Quote" w:qFormat="1" w:semiHidden="0" w:uiPriority="29" w:unhideWhenUsed="0"/>
    <w:lsdException w:name="Intense Quote" w:qFormat="1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qFormat="1" w:semiHidden="0" w:uiPriority="19" w:unhideWhenUsed="0"/>
    <w:lsdException w:name="Intense Emphasis" w:qFormat="1" w:semiHidden="0" w:uiPriority="21" w:unhideWhenUsed="0"/>
    <w:lsdException w:name="Subtle Reference" w:qFormat="1" w:semiHidden="0" w:uiPriority="31" w:unhideWhenUsed="0"/>
    <w:lsdException w:name="Intense Reference" w:qFormat="1" w:semiHidden="0" w:uiPriority="32" w:unhideWhenUsed="0"/>
    <w:lsdException w:name="Book Title" w:qFormat="1" w:semiHidden="0" w:uiPriority="33" w:unhideWhenUsed="0"/>
    <w:lsdException w:name="Bibliography" w:uiPriority="37"/>
    <w:lsdException w:name="TOC Heading" w:qFormat="1" w:uiPriority="39"/>
  </w:latentStyles>
  <w:style w:default="1" w:styleId="Normal" w:type="paragraph">
    <w:name w:val="Normal"/>
    <w:qFormat/>
  </w:style>
  <w:style w:styleId="Heading1" w:type="paragraph">
    <w:name w:val="heading 1"/>
    <w:basedOn w:val="Normal"/>
    <w:next w:val="Normal"/>
    <w:link w:val="Heading1Char"/>
    <w:uiPriority w:val="9"/>
    <w:qFormat/>
    <w:rsid w:val="00111FAE"/>
    <w:pPr>
      <w:keepNext/>
      <w:keepLines/>
      <w:spacing w:before="480"/>
      <w:outlineLvl w:val="0"/>
    </w:pPr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  <w:style w:default="1" w:styleId="DefaultParagraphFont" w:type="character">
    <w:name w:val="Default Paragraph Font"/>
    <w:uiPriority w:val="1"/>
    <w:semiHidden/>
    <w:unhideWhenUsed/>
  </w:style>
  <w:style w:default="1" w:styleId="TableNormal" w:type="table">
    <w:name w:val="Normal Table"/>
    <w:uiPriority w:val="99"/>
    <w:semiHidden/>
    <w:unhideWhenUsed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  <w:style w:default="1" w:styleId="NoList" w:type="numbering">
    <w:name w:val="No List"/>
    <w:uiPriority w:val="99"/>
    <w:semiHidden/>
    <w:unhideWhenUsed/>
  </w:style>
  <w:style w:customStyle="1" w:styleId="Heading1Char" w:type="character">
    <w:name w:val="Heading 1 Char"/>
    <w:basedOn w:val="DefaultParagraphFont"/>
    <w:link w:val="Heading1"/>
    <w:uiPriority w:val="9"/>
    <w:rsid w:val="00111FAE"/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no" ?>
<Relationships xmlns="http://schemas.openxmlformats.org/package/2006/relationships">
  <Relationship Id="rId6" Target="webSettings.xml" Type="http://schemas.openxmlformats.org/officeDocument/2006/relationships/webSettings"/>
  <Relationship Id="rId1" Target="footer1.xml" Type="http://schemas.openxmlformats.org/officeDocument/2006/relationships/footer"/>
  <Relationship Id="rId2" Target="fontTable.xml" Type="http://schemas.openxmlformats.org/officeDocument/2006/relationships/fontTable"/>
  <Relationship Id="rId3" Target="settings.xml" Type="http://schemas.openxmlformats.org/officeDocument/2006/relationships/settings"/>
  <Relationship Id="rId4" Target="styles.xml" Type="http://schemas.openxmlformats.org/officeDocument/2006/relationships/styles"/>
  <Relationship Id="rId7" Target="theme/theme1.xml" Type="http://schemas.openxmlformats.org/officeDocument/2006/relationships/theme"/>
  <Relationship Id="rId5" Target="stylesWithEffects.xml" Type="http://schemas.microsoft.com/office/2007/relationships/stylesWithEffects"/>
</Relationships>

</file>

<file path=word/theme/theme1.xml><?xml version="1.0" encoding="utf-8"?>
<a:theme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</a:gradFill>
      </a:fillStyleLst>
      <a:lnStyleLst>
        <a:ln w="6350">
          <a:solidFill>
            <a:schemeClr val="phClr"/>
          </a:solidFill>
          <a:prstDash val="solid"/>
        </a:ln>
        <a:ln w="12700">
          <a:solidFill>
            <a:schemeClr val="phClr"/>
          </a:solidFill>
          <a:prstDash val="solid"/>
        </a:ln>
        <a:ln w="1905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</a:gradFill>
      </a:bgFillStyleLst>
    </a:fmtScheme>
  </a:themeElements>
</a:theme>
</file>

<file path=docProps/app.xml><?xml version="1.0" encoding="utf-8"?>
<Properties xmlns="http://schemas.openxmlformats.org/officeDocument/2006/extended-properties">
  <Template>Normal.dotm</Template>
  <TotalTime>0</TotalTime>
  <DocSecurity>0</DocSecurity>
  <ScaleCrop>false</ScaleCrop>
  <Application>MyOffice-CoreFramework-Windows/31-1191.804.9045.819.1@01270b6a23d25f32067dc36f8846da406ea65219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modified xsi:type="dcterms:W3CDTF">2025-01-24T09:32:50Z</dcterms:modified>
</cp:coreProperties>
</file>