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3912" w:rsidRDefault="00233C6E">
      <w:pPr>
        <w:spacing w:after="0" w:line="240" w:lineRule="auto"/>
        <w:jc w:val="center"/>
        <w:rPr>
          <w:rFonts w:ascii="Times New Roman Bold"/>
          <w:lang w:val="ru-RU"/>
        </w:rPr>
      </w:pPr>
      <w:r>
        <w:rPr>
          <w:rFonts w:ascii="Times New Roman Bold"/>
          <w:noProof/>
          <w:lang w:val="ru-RU" w:eastAsia="ru-RU"/>
        </w:rPr>
        <w:drawing>
          <wp:inline distT="0" distB="0" distL="0" distR="0" wp14:anchorId="618AAA7E" wp14:editId="1FBB8D6D">
            <wp:extent cx="817647" cy="1173490"/>
            <wp:effectExtent l="0" t="0" r="0" b="0"/>
            <wp:docPr id="1073741825" name="officeArt object" descr="logo_qiwi_rgb_lat.gif"/>
            <wp:cNvGraphicFramePr/>
            <a:graphic xmlns:a="http://schemas.openxmlformats.org/drawingml/2006/main">
              <a:graphicData uri="http://schemas.openxmlformats.org/drawingml/2006/picture">
                <pic:pic xmlns:pic="http://schemas.openxmlformats.org/drawingml/2006/picture">
                  <pic:nvPicPr>
                    <pic:cNvPr id="1073741825" name="image1.png" descr="logo_qiwi_rgb_lat.gif"/>
                    <pic:cNvPicPr/>
                  </pic:nvPicPr>
                  <pic:blipFill>
                    <a:blip r:embed="rId9">
                      <a:extLst/>
                    </a:blip>
                    <a:srcRect l="14469" t="10052" r="9404" b="11587"/>
                    <a:stretch>
                      <a:fillRect/>
                    </a:stretch>
                  </pic:blipFill>
                  <pic:spPr>
                    <a:xfrm>
                      <a:off x="0" y="0"/>
                      <a:ext cx="817647" cy="1173490"/>
                    </a:xfrm>
                    <a:prstGeom prst="rect">
                      <a:avLst/>
                    </a:prstGeom>
                    <a:ln w="12700" cap="flat">
                      <a:noFill/>
                      <a:miter lim="400000"/>
                    </a:ln>
                    <a:effectLst/>
                  </pic:spPr>
                </pic:pic>
              </a:graphicData>
            </a:graphic>
          </wp:inline>
        </w:drawing>
      </w:r>
    </w:p>
    <w:p w:rsidR="003D3912" w:rsidRDefault="003D3912">
      <w:pPr>
        <w:spacing w:after="0" w:line="240" w:lineRule="auto"/>
        <w:jc w:val="center"/>
        <w:rPr>
          <w:rFonts w:ascii="Times New Roman Bold"/>
        </w:rPr>
      </w:pPr>
    </w:p>
    <w:p w:rsidR="003D3912" w:rsidRPr="004C2998" w:rsidRDefault="00EE3902">
      <w:pPr>
        <w:spacing w:after="0" w:line="240" w:lineRule="auto"/>
        <w:jc w:val="center"/>
        <w:rPr>
          <w:rFonts w:ascii="Times New Roman Bold" w:eastAsia="Times New Roman Bold" w:hAnsi="Times New Roman Bold" w:cs="Times New Roman Bold"/>
          <w:b/>
        </w:rPr>
      </w:pPr>
      <w:r>
        <w:rPr>
          <w:rFonts w:ascii="Times New Roman Bold"/>
          <w:b/>
        </w:rPr>
        <w:t xml:space="preserve">QIWI ANNOUNCES </w:t>
      </w:r>
      <w:r w:rsidRPr="00EE3902">
        <w:rPr>
          <w:rFonts w:ascii="Times New Roman Bold"/>
          <w:b/>
        </w:rPr>
        <w:t>FIRST</w:t>
      </w:r>
      <w:r w:rsidR="00240EDF">
        <w:rPr>
          <w:rFonts w:ascii="Times New Roman Bold"/>
          <w:b/>
        </w:rPr>
        <w:t>-</w:t>
      </w:r>
      <w:r w:rsidR="00233C6E" w:rsidRPr="004C2998">
        <w:rPr>
          <w:rFonts w:ascii="Times New Roman Bold"/>
          <w:b/>
        </w:rPr>
        <w:t>QUARTER RESULTS</w:t>
      </w:r>
    </w:p>
    <w:p w:rsidR="003D3912" w:rsidRDefault="003D3912">
      <w:pPr>
        <w:spacing w:after="0" w:line="240" w:lineRule="auto"/>
        <w:jc w:val="center"/>
        <w:rPr>
          <w:rFonts w:ascii="Times New Roman" w:eastAsia="Times New Roman" w:hAnsi="Times New Roman" w:cs="Times New Roman"/>
        </w:rPr>
      </w:pPr>
    </w:p>
    <w:p w:rsidR="00240EDF" w:rsidRDefault="00240EDF" w:rsidP="00EE3902">
      <w:pPr>
        <w:spacing w:after="0" w:line="240" w:lineRule="auto"/>
        <w:jc w:val="center"/>
        <w:rPr>
          <w:rFonts w:ascii="Times New Roman" w:hAnsi="Times New Roman"/>
          <w:i/>
        </w:rPr>
      </w:pPr>
      <w:r>
        <w:rPr>
          <w:rFonts w:ascii="Times New Roman" w:hAnsi="Times New Roman"/>
          <w:i/>
        </w:rPr>
        <w:t>First-</w:t>
      </w:r>
      <w:r w:rsidR="004B6F75">
        <w:rPr>
          <w:rFonts w:ascii="Times New Roman" w:hAnsi="Times New Roman"/>
          <w:i/>
        </w:rPr>
        <w:t xml:space="preserve">Quarter Total </w:t>
      </w:r>
      <w:r w:rsidR="00EE3902">
        <w:rPr>
          <w:rFonts w:ascii="Times New Roman" w:hAnsi="Times New Roman"/>
          <w:i/>
        </w:rPr>
        <w:t>A</w:t>
      </w:r>
      <w:r w:rsidR="00750104">
        <w:rPr>
          <w:rFonts w:ascii="Times New Roman" w:hAnsi="Times New Roman"/>
          <w:i/>
        </w:rPr>
        <w:t>djusted Net Revenue Increases 34</w:t>
      </w:r>
      <w:r w:rsidR="00EE3902">
        <w:rPr>
          <w:rFonts w:ascii="Times New Roman" w:hAnsi="Times New Roman"/>
          <w:i/>
        </w:rPr>
        <w:t>% to RUB 2,515</w:t>
      </w:r>
      <w:r>
        <w:rPr>
          <w:rFonts w:ascii="Times New Roman" w:hAnsi="Times New Roman"/>
          <w:i/>
        </w:rPr>
        <w:t xml:space="preserve"> Million</w:t>
      </w:r>
    </w:p>
    <w:p w:rsidR="004B6F75" w:rsidRDefault="004B6F75" w:rsidP="00EE3902">
      <w:pPr>
        <w:spacing w:after="0" w:line="240" w:lineRule="auto"/>
        <w:jc w:val="center"/>
        <w:rPr>
          <w:rFonts w:ascii="Times New Roman" w:hAnsi="Times New Roman"/>
          <w:i/>
        </w:rPr>
      </w:pPr>
      <w:r w:rsidRPr="00B80D03">
        <w:rPr>
          <w:rFonts w:ascii="Times New Roman" w:hAnsi="Times New Roman"/>
          <w:i/>
        </w:rPr>
        <w:t xml:space="preserve">Adjusted Net </w:t>
      </w:r>
      <w:r>
        <w:rPr>
          <w:rFonts w:ascii="Times New Roman" w:hAnsi="Times New Roman"/>
          <w:i/>
        </w:rPr>
        <w:t>Profit</w:t>
      </w:r>
      <w:r w:rsidRPr="00B80D03">
        <w:rPr>
          <w:rFonts w:ascii="Times New Roman" w:hAnsi="Times New Roman"/>
          <w:i/>
        </w:rPr>
        <w:t xml:space="preserve"> Increase</w:t>
      </w:r>
      <w:r>
        <w:rPr>
          <w:rFonts w:ascii="Times New Roman" w:hAnsi="Times New Roman"/>
          <w:i/>
        </w:rPr>
        <w:t>s</w:t>
      </w:r>
      <w:r w:rsidRPr="00B80D03">
        <w:rPr>
          <w:rFonts w:ascii="Times New Roman" w:hAnsi="Times New Roman"/>
          <w:i/>
        </w:rPr>
        <w:t xml:space="preserve"> </w:t>
      </w:r>
      <w:r w:rsidR="00750104">
        <w:rPr>
          <w:rFonts w:ascii="Times New Roman" w:hAnsi="Times New Roman"/>
          <w:i/>
        </w:rPr>
        <w:t>42</w:t>
      </w:r>
      <w:r>
        <w:rPr>
          <w:rFonts w:ascii="Times New Roman" w:hAnsi="Times New Roman"/>
          <w:i/>
        </w:rPr>
        <w:t>%</w:t>
      </w:r>
      <w:r w:rsidRPr="00B80D03">
        <w:rPr>
          <w:rFonts w:ascii="Times New Roman" w:hAnsi="Times New Roman"/>
          <w:i/>
        </w:rPr>
        <w:t xml:space="preserve"> to </w:t>
      </w:r>
      <w:r>
        <w:rPr>
          <w:rFonts w:ascii="Times New Roman" w:hAnsi="Times New Roman"/>
          <w:i/>
        </w:rPr>
        <w:t xml:space="preserve">RUB </w:t>
      </w:r>
      <w:r w:rsidR="00EE3902">
        <w:rPr>
          <w:rFonts w:ascii="Times New Roman" w:hAnsi="Times New Roman"/>
          <w:i/>
        </w:rPr>
        <w:t>1,1</w:t>
      </w:r>
      <w:r w:rsidR="00750104">
        <w:rPr>
          <w:rFonts w:ascii="Times New Roman" w:hAnsi="Times New Roman"/>
          <w:i/>
        </w:rPr>
        <w:t>17</w:t>
      </w:r>
      <w:r>
        <w:rPr>
          <w:rFonts w:ascii="Times New Roman" w:hAnsi="Times New Roman"/>
          <w:i/>
        </w:rPr>
        <w:t xml:space="preserve"> </w:t>
      </w:r>
      <w:r w:rsidRPr="00B80D03">
        <w:rPr>
          <w:rFonts w:ascii="Times New Roman" w:hAnsi="Times New Roman"/>
          <w:i/>
        </w:rPr>
        <w:t>Million</w:t>
      </w:r>
      <w:r w:rsidR="00EE3902">
        <w:rPr>
          <w:rFonts w:ascii="Times New Roman" w:hAnsi="Times New Roman"/>
          <w:i/>
        </w:rPr>
        <w:t xml:space="preserve"> or RUB </w:t>
      </w:r>
      <w:r w:rsidR="001F7A82">
        <w:rPr>
          <w:rFonts w:ascii="Times New Roman" w:hAnsi="Times New Roman"/>
          <w:i/>
        </w:rPr>
        <w:t>20</w:t>
      </w:r>
      <w:r w:rsidRPr="001F7A82">
        <w:rPr>
          <w:rFonts w:ascii="Times New Roman" w:hAnsi="Times New Roman"/>
          <w:i/>
        </w:rPr>
        <w:t>.</w:t>
      </w:r>
      <w:r w:rsidR="00750104">
        <w:rPr>
          <w:rFonts w:ascii="Times New Roman" w:hAnsi="Times New Roman"/>
          <w:i/>
        </w:rPr>
        <w:t>29</w:t>
      </w:r>
      <w:r>
        <w:rPr>
          <w:rFonts w:ascii="Times New Roman" w:hAnsi="Times New Roman"/>
          <w:i/>
        </w:rPr>
        <w:t xml:space="preserve"> per diluted share</w:t>
      </w:r>
    </w:p>
    <w:p w:rsidR="0064744A" w:rsidRDefault="00BD6E04" w:rsidP="00EE3902">
      <w:pPr>
        <w:spacing w:after="0" w:line="240" w:lineRule="auto"/>
        <w:jc w:val="center"/>
        <w:rPr>
          <w:rFonts w:ascii="Times New Roman" w:hAnsi="Times New Roman"/>
          <w:i/>
        </w:rPr>
      </w:pPr>
      <w:r>
        <w:rPr>
          <w:rFonts w:ascii="Times New Roman" w:hAnsi="Times New Roman"/>
          <w:i/>
        </w:rPr>
        <w:t>QIWI acquires 100% in</w:t>
      </w:r>
      <w:r w:rsidR="0064744A">
        <w:rPr>
          <w:rFonts w:ascii="Times New Roman" w:hAnsi="Times New Roman"/>
          <w:i/>
        </w:rPr>
        <w:t xml:space="preserve"> Contact and </w:t>
      </w:r>
      <w:proofErr w:type="spellStart"/>
      <w:r w:rsidR="0064744A">
        <w:rPr>
          <w:rFonts w:ascii="Times New Roman" w:hAnsi="Times New Roman"/>
          <w:i/>
        </w:rPr>
        <w:t>Rapida</w:t>
      </w:r>
      <w:proofErr w:type="spellEnd"/>
    </w:p>
    <w:p w:rsidR="007044BD" w:rsidRPr="007044BD" w:rsidRDefault="004B6F75" w:rsidP="004B6F75">
      <w:pPr>
        <w:spacing w:after="0" w:line="240" w:lineRule="auto"/>
        <w:jc w:val="center"/>
        <w:rPr>
          <w:rFonts w:ascii="Times New Roman"/>
          <w:i/>
          <w:iCs/>
        </w:rPr>
      </w:pPr>
      <w:r w:rsidRPr="004B6F75">
        <w:rPr>
          <w:rFonts w:ascii="Times New Roman"/>
          <w:i/>
          <w:iCs/>
        </w:rPr>
        <w:t xml:space="preserve"> </w:t>
      </w:r>
      <w:r w:rsidR="00EE3902" w:rsidRPr="0021609E">
        <w:rPr>
          <w:rFonts w:ascii="Times New Roman"/>
          <w:i/>
          <w:iCs/>
        </w:rPr>
        <w:t>QIWI reiterates</w:t>
      </w:r>
      <w:r w:rsidRPr="0021609E">
        <w:rPr>
          <w:rFonts w:ascii="Times New Roman"/>
          <w:i/>
          <w:iCs/>
        </w:rPr>
        <w:t xml:space="preserve"> 2015 Guidance</w:t>
      </w:r>
    </w:p>
    <w:p w:rsidR="004B6F75" w:rsidRPr="004B6F75" w:rsidRDefault="007044BD" w:rsidP="004B6F75">
      <w:pPr>
        <w:spacing w:after="0" w:line="240" w:lineRule="auto"/>
        <w:jc w:val="center"/>
        <w:rPr>
          <w:rFonts w:ascii="Times New Roman" w:eastAsia="Times New Roman" w:hAnsi="Times New Roman" w:cs="Times New Roman"/>
          <w:i/>
          <w:iCs/>
        </w:rPr>
      </w:pPr>
      <w:r>
        <w:rPr>
          <w:rFonts w:ascii="Times New Roman"/>
          <w:i/>
          <w:iCs/>
        </w:rPr>
        <w:t xml:space="preserve">Board of Directors Approves Dividend of </w:t>
      </w:r>
      <w:r w:rsidRPr="007044BD">
        <w:rPr>
          <w:rFonts w:ascii="Times New Roman"/>
          <w:i/>
          <w:iCs/>
        </w:rPr>
        <w:t>25</w:t>
      </w:r>
      <w:r>
        <w:rPr>
          <w:rFonts w:ascii="Times New Roman"/>
          <w:i/>
          <w:iCs/>
        </w:rPr>
        <w:t xml:space="preserve"> cents per share</w:t>
      </w:r>
      <w:r w:rsidR="004B6F75">
        <w:rPr>
          <w:rFonts w:ascii="Times New Roman"/>
          <w:i/>
          <w:iCs/>
        </w:rPr>
        <w:t xml:space="preserve"> </w:t>
      </w:r>
    </w:p>
    <w:p w:rsidR="003D3912" w:rsidRDefault="003D3912">
      <w:pPr>
        <w:spacing w:after="0" w:line="240" w:lineRule="auto"/>
        <w:jc w:val="both"/>
        <w:rPr>
          <w:rFonts w:ascii="Times New Roman" w:eastAsia="Times New Roman" w:hAnsi="Times New Roman" w:cs="Times New Roman"/>
        </w:rPr>
      </w:pPr>
    </w:p>
    <w:p w:rsidR="003D3912" w:rsidRDefault="00233C6E">
      <w:pPr>
        <w:spacing w:after="0"/>
        <w:jc w:val="both"/>
        <w:rPr>
          <w:rFonts w:ascii="Times New Roman" w:eastAsia="Times New Roman" w:hAnsi="Times New Roman" w:cs="Times New Roman"/>
          <w:lang w:val="es-ES_tradnl"/>
        </w:rPr>
      </w:pPr>
      <w:r>
        <w:rPr>
          <w:rFonts w:ascii="Times New Roman"/>
          <w:lang w:val="es-ES_tradnl"/>
        </w:rPr>
        <w:t xml:space="preserve">MOSCOW, RUSSIA </w:t>
      </w:r>
      <w:r>
        <w:rPr>
          <w:rFonts w:hAnsi="Times New Roman"/>
          <w:lang w:val="es-ES_tradnl"/>
        </w:rPr>
        <w:t>–</w:t>
      </w:r>
      <w:r>
        <w:rPr>
          <w:rFonts w:ascii="Trebuchet MS"/>
          <w:lang w:val="es-ES_tradnl"/>
        </w:rPr>
        <w:t xml:space="preserve"> </w:t>
      </w:r>
      <w:r w:rsidR="00EE3902">
        <w:rPr>
          <w:rFonts w:ascii="Times New Roman"/>
          <w:lang w:val="es-ES_tradnl"/>
        </w:rPr>
        <w:t>May</w:t>
      </w:r>
      <w:r w:rsidR="004B6F75">
        <w:rPr>
          <w:rFonts w:ascii="Times New Roman"/>
          <w:lang w:val="es-ES_tradnl"/>
        </w:rPr>
        <w:t xml:space="preserve"> </w:t>
      </w:r>
      <w:r w:rsidR="00EE3902">
        <w:rPr>
          <w:rFonts w:ascii="Times New Roman"/>
          <w:lang w:val="es-ES_tradnl"/>
        </w:rPr>
        <w:t>14</w:t>
      </w:r>
      <w:r>
        <w:rPr>
          <w:rFonts w:ascii="Times New Roman"/>
          <w:lang w:val="es-ES_tradnl"/>
        </w:rPr>
        <w:t>, 201</w:t>
      </w:r>
      <w:r w:rsidR="00855F08">
        <w:rPr>
          <w:rFonts w:ascii="Times New Roman"/>
          <w:lang w:val="es-ES_tradnl"/>
        </w:rPr>
        <w:t>5</w:t>
      </w:r>
      <w:r>
        <w:rPr>
          <w:rFonts w:ascii="Times New Roman"/>
          <w:lang w:val="es-ES_tradnl"/>
        </w:rPr>
        <w:t xml:space="preserve"> </w:t>
      </w:r>
      <w:r>
        <w:rPr>
          <w:rFonts w:hAnsi="Times New Roman"/>
          <w:lang w:val="es-ES_tradnl"/>
        </w:rPr>
        <w:t>–</w:t>
      </w:r>
      <w:r>
        <w:rPr>
          <w:rFonts w:ascii="Trebuchet MS"/>
          <w:lang w:val="es-ES_tradnl"/>
        </w:rPr>
        <w:t xml:space="preserve"> </w:t>
      </w:r>
      <w:r>
        <w:rPr>
          <w:rFonts w:ascii="Times New Roman"/>
          <w:lang w:val="es-ES_tradnl"/>
        </w:rPr>
        <w:t>QIWI plc, (NASDAQ: QIWI)</w:t>
      </w:r>
      <w:r>
        <w:rPr>
          <w:rFonts w:ascii="Times New Roman"/>
        </w:rPr>
        <w:t xml:space="preserve"> (</w:t>
      </w:r>
      <w:r>
        <w:rPr>
          <w:rFonts w:hAnsi="Times New Roman"/>
        </w:rPr>
        <w:t>“</w:t>
      </w:r>
      <w:r>
        <w:rPr>
          <w:rFonts w:ascii="Times New Roman"/>
        </w:rPr>
        <w:t>QIWI</w:t>
      </w:r>
      <w:r>
        <w:rPr>
          <w:rFonts w:hAnsi="Times New Roman"/>
        </w:rPr>
        <w:t>”</w:t>
      </w:r>
      <w:r>
        <w:rPr>
          <w:rFonts w:ascii="Trebuchet MS"/>
        </w:rPr>
        <w:t xml:space="preserve"> </w:t>
      </w:r>
      <w:r>
        <w:rPr>
          <w:rFonts w:ascii="Times New Roman"/>
        </w:rPr>
        <w:t xml:space="preserve">or the </w:t>
      </w:r>
      <w:r>
        <w:rPr>
          <w:rFonts w:hAnsi="Times New Roman"/>
        </w:rPr>
        <w:t>“</w:t>
      </w:r>
      <w:r>
        <w:rPr>
          <w:rFonts w:ascii="Times New Roman"/>
        </w:rPr>
        <w:t>Company</w:t>
      </w:r>
      <w:r>
        <w:rPr>
          <w:rFonts w:hAnsi="Times New Roman"/>
        </w:rPr>
        <w:t>”</w:t>
      </w:r>
      <w:r>
        <w:rPr>
          <w:rFonts w:ascii="Times New Roman"/>
        </w:rPr>
        <w:t xml:space="preserve">) today announced results </w:t>
      </w:r>
      <w:r w:rsidR="004B6F75" w:rsidRPr="00287E62">
        <w:rPr>
          <w:rFonts w:ascii="Times New Roman" w:hAnsi="Times New Roman"/>
        </w:rPr>
        <w:t xml:space="preserve">for the </w:t>
      </w:r>
      <w:r w:rsidR="00EE3902">
        <w:rPr>
          <w:rFonts w:ascii="Times New Roman" w:hAnsi="Times New Roman"/>
        </w:rPr>
        <w:t>fi</w:t>
      </w:r>
      <w:r w:rsidR="00240EDF">
        <w:rPr>
          <w:rFonts w:ascii="Times New Roman" w:hAnsi="Times New Roman"/>
        </w:rPr>
        <w:t>rst-</w:t>
      </w:r>
      <w:r w:rsidR="00EE3902">
        <w:rPr>
          <w:rFonts w:ascii="Times New Roman" w:hAnsi="Times New Roman"/>
        </w:rPr>
        <w:t>quarter ended March 31, 2015</w:t>
      </w:r>
      <w:r>
        <w:rPr>
          <w:rFonts w:ascii="Times New Roman"/>
        </w:rPr>
        <w:t>.</w:t>
      </w:r>
    </w:p>
    <w:p w:rsidR="003D3912" w:rsidRDefault="003D3912">
      <w:pPr>
        <w:spacing w:after="0"/>
        <w:jc w:val="both"/>
        <w:rPr>
          <w:rFonts w:ascii="Times New Roman" w:eastAsia="Times New Roman" w:hAnsi="Times New Roman" w:cs="Times New Roman"/>
          <w:lang w:val="es-ES_tradnl"/>
        </w:rPr>
      </w:pPr>
    </w:p>
    <w:p w:rsidR="003D3912" w:rsidRPr="004C2998" w:rsidRDefault="00240EDF">
      <w:pPr>
        <w:spacing w:after="0"/>
        <w:jc w:val="both"/>
        <w:rPr>
          <w:rFonts w:ascii="Times New Roman Bold" w:eastAsia="Times New Roman Bold" w:hAnsi="Times New Roman Bold" w:cs="Times New Roman Bold"/>
          <w:b/>
        </w:rPr>
      </w:pPr>
      <w:r>
        <w:rPr>
          <w:rFonts w:ascii="Times New Roman Bold"/>
          <w:b/>
        </w:rPr>
        <w:t>First-</w:t>
      </w:r>
      <w:r w:rsidR="00233C6E" w:rsidRPr="004C2998">
        <w:rPr>
          <w:rFonts w:ascii="Times New Roman Bold"/>
          <w:b/>
        </w:rPr>
        <w:t>Quarter 201</w:t>
      </w:r>
      <w:r>
        <w:rPr>
          <w:rFonts w:ascii="Times New Roman Bold"/>
          <w:b/>
        </w:rPr>
        <w:t>5</w:t>
      </w:r>
      <w:r w:rsidR="00233C6E" w:rsidRPr="004C2998">
        <w:rPr>
          <w:rFonts w:ascii="Times New Roman Bold"/>
          <w:b/>
        </w:rPr>
        <w:t xml:space="preserve"> Operating and Financial Highlights</w:t>
      </w:r>
    </w:p>
    <w:p w:rsidR="003D3912" w:rsidRDefault="003D3912">
      <w:pPr>
        <w:spacing w:after="0"/>
        <w:jc w:val="both"/>
        <w:rPr>
          <w:rFonts w:ascii="Times New Roman Bold" w:eastAsia="Times New Roman Bold" w:hAnsi="Times New Roman Bold" w:cs="Times New Roman Bold"/>
        </w:rPr>
      </w:pPr>
    </w:p>
    <w:p w:rsidR="003D3912" w:rsidRDefault="00233C6E">
      <w:pPr>
        <w:numPr>
          <w:ilvl w:val="0"/>
          <w:numId w:val="3"/>
        </w:numPr>
        <w:tabs>
          <w:tab w:val="num" w:pos="720"/>
        </w:tabs>
        <w:spacing w:after="0"/>
        <w:ind w:left="720" w:hanging="360"/>
        <w:jc w:val="both"/>
        <w:rPr>
          <w:rFonts w:ascii="Times New Roman" w:eastAsia="Times New Roman" w:hAnsi="Times New Roman" w:cs="Times New Roman"/>
        </w:rPr>
      </w:pPr>
      <w:r>
        <w:rPr>
          <w:rFonts w:ascii="Times New Roman"/>
        </w:rPr>
        <w:t>Total A</w:t>
      </w:r>
      <w:r w:rsidR="00240EDF">
        <w:rPr>
          <w:rFonts w:ascii="Times New Roman"/>
        </w:rPr>
        <w:t>djusted Net Revenue increased 34</w:t>
      </w:r>
      <w:r>
        <w:rPr>
          <w:rFonts w:ascii="Times New Roman"/>
        </w:rPr>
        <w:t>% to RUB 2,</w:t>
      </w:r>
      <w:r w:rsidR="00240EDF">
        <w:rPr>
          <w:rFonts w:ascii="Times New Roman"/>
        </w:rPr>
        <w:t>515</w:t>
      </w:r>
      <w:r w:rsidR="00526788">
        <w:rPr>
          <w:rFonts w:ascii="Times New Roman"/>
        </w:rPr>
        <w:t xml:space="preserve"> million ($43.</w:t>
      </w:r>
      <w:r w:rsidR="00240EDF">
        <w:rPr>
          <w:rFonts w:ascii="Times New Roman"/>
        </w:rPr>
        <w:t>0</w:t>
      </w:r>
      <w:r>
        <w:rPr>
          <w:rFonts w:ascii="Times New Roman"/>
        </w:rPr>
        <w:t xml:space="preserve"> million)</w:t>
      </w:r>
    </w:p>
    <w:p w:rsidR="003D3912" w:rsidRDefault="00240EDF">
      <w:pPr>
        <w:numPr>
          <w:ilvl w:val="0"/>
          <w:numId w:val="6"/>
        </w:numPr>
        <w:tabs>
          <w:tab w:val="num" w:pos="720"/>
        </w:tabs>
        <w:spacing w:after="0"/>
        <w:ind w:left="720" w:hanging="360"/>
        <w:jc w:val="both"/>
        <w:rPr>
          <w:rFonts w:ascii="Times New Roman" w:eastAsia="Times New Roman" w:hAnsi="Times New Roman" w:cs="Times New Roman"/>
        </w:rPr>
      </w:pPr>
      <w:r>
        <w:rPr>
          <w:rFonts w:ascii="Times New Roman"/>
        </w:rPr>
        <w:t>Adjusted EBITDA increased 50% to RUB 1,60</w:t>
      </w:r>
      <w:r w:rsidR="00750104">
        <w:rPr>
          <w:rFonts w:ascii="Times New Roman"/>
        </w:rPr>
        <w:t>0</w:t>
      </w:r>
      <w:r>
        <w:rPr>
          <w:rFonts w:ascii="Times New Roman"/>
        </w:rPr>
        <w:t xml:space="preserve"> million ($27</w:t>
      </w:r>
      <w:r w:rsidR="00526788">
        <w:rPr>
          <w:rFonts w:ascii="Times New Roman"/>
        </w:rPr>
        <w:t>.</w:t>
      </w:r>
      <w:r>
        <w:rPr>
          <w:rFonts w:ascii="Times New Roman"/>
        </w:rPr>
        <w:t>4</w:t>
      </w:r>
      <w:r w:rsidR="00233C6E">
        <w:rPr>
          <w:rFonts w:ascii="Times New Roman"/>
        </w:rPr>
        <w:t xml:space="preserve"> million)</w:t>
      </w:r>
    </w:p>
    <w:p w:rsidR="003D3912" w:rsidRDefault="00855F08">
      <w:pPr>
        <w:numPr>
          <w:ilvl w:val="0"/>
          <w:numId w:val="9"/>
        </w:numPr>
        <w:tabs>
          <w:tab w:val="num" w:pos="720"/>
        </w:tabs>
        <w:spacing w:after="0"/>
        <w:ind w:left="720" w:hanging="360"/>
        <w:jc w:val="both"/>
        <w:rPr>
          <w:rFonts w:ascii="Times New Roman" w:eastAsia="Times New Roman" w:hAnsi="Times New Roman" w:cs="Times New Roman"/>
        </w:rPr>
      </w:pPr>
      <w:r>
        <w:rPr>
          <w:rFonts w:ascii="Times New Roman"/>
        </w:rPr>
        <w:t xml:space="preserve">Adjusted Net Profit increased </w:t>
      </w:r>
      <w:r w:rsidR="00240EDF">
        <w:rPr>
          <w:rFonts w:ascii="Times New Roman"/>
        </w:rPr>
        <w:t>43</w:t>
      </w:r>
      <w:r w:rsidR="00526788">
        <w:rPr>
          <w:rFonts w:ascii="Times New Roman"/>
        </w:rPr>
        <w:t xml:space="preserve">% to RUB </w:t>
      </w:r>
      <w:r w:rsidR="00750104">
        <w:rPr>
          <w:rFonts w:ascii="Times New Roman"/>
        </w:rPr>
        <w:t>1,117</w:t>
      </w:r>
      <w:r w:rsidR="00526788">
        <w:rPr>
          <w:rFonts w:ascii="Times New Roman"/>
        </w:rPr>
        <w:t xml:space="preserve"> million ($1</w:t>
      </w:r>
      <w:r w:rsidR="00750104">
        <w:rPr>
          <w:rFonts w:ascii="Times New Roman"/>
        </w:rPr>
        <w:t>9.1</w:t>
      </w:r>
      <w:r w:rsidR="00233C6E">
        <w:rPr>
          <w:rFonts w:ascii="Times New Roman"/>
        </w:rPr>
        <w:t xml:space="preserve"> million), or RUB </w:t>
      </w:r>
      <w:r w:rsidR="001F7A82">
        <w:rPr>
          <w:rFonts w:ascii="Times New Roman"/>
          <w:i/>
          <w:iCs/>
        </w:rPr>
        <w:t>20</w:t>
      </w:r>
      <w:r w:rsidRPr="001F7A82">
        <w:rPr>
          <w:rFonts w:ascii="Times New Roman"/>
          <w:i/>
          <w:iCs/>
        </w:rPr>
        <w:t>.</w:t>
      </w:r>
      <w:r w:rsidR="00750104">
        <w:rPr>
          <w:rFonts w:ascii="Times New Roman"/>
          <w:i/>
          <w:iCs/>
        </w:rPr>
        <w:t>29</w:t>
      </w:r>
      <w:r w:rsidR="00233C6E">
        <w:rPr>
          <w:rFonts w:ascii="Times New Roman"/>
          <w:i/>
          <w:iCs/>
        </w:rPr>
        <w:t xml:space="preserve"> </w:t>
      </w:r>
      <w:r w:rsidR="00233C6E">
        <w:rPr>
          <w:rFonts w:ascii="Times New Roman"/>
        </w:rPr>
        <w:t>per diluted share</w:t>
      </w:r>
    </w:p>
    <w:p w:rsidR="003D3912" w:rsidRPr="00526788" w:rsidRDefault="00233C6E">
      <w:pPr>
        <w:numPr>
          <w:ilvl w:val="0"/>
          <w:numId w:val="12"/>
        </w:numPr>
        <w:tabs>
          <w:tab w:val="num" w:pos="720"/>
        </w:tabs>
        <w:spacing w:after="0"/>
        <w:ind w:left="720" w:hanging="360"/>
        <w:jc w:val="both"/>
        <w:rPr>
          <w:rFonts w:ascii="Times New Roman" w:eastAsia="Times New Roman" w:hAnsi="Times New Roman" w:cs="Times New Roman"/>
        </w:rPr>
      </w:pPr>
      <w:r>
        <w:rPr>
          <w:rFonts w:ascii="Times New Roman"/>
        </w:rPr>
        <w:t>T</w:t>
      </w:r>
      <w:r w:rsidR="00526788">
        <w:rPr>
          <w:rFonts w:ascii="Times New Roman"/>
        </w:rPr>
        <w:t xml:space="preserve">otal payment volume increased </w:t>
      </w:r>
      <w:r w:rsidR="00C42E4A">
        <w:rPr>
          <w:rFonts w:ascii="Times New Roman"/>
        </w:rPr>
        <w:t>6% to RUB 158</w:t>
      </w:r>
      <w:r w:rsidR="00855F08">
        <w:rPr>
          <w:rFonts w:ascii="Times New Roman"/>
        </w:rPr>
        <w:t>.</w:t>
      </w:r>
      <w:r w:rsidR="00C42E4A">
        <w:rPr>
          <w:rFonts w:ascii="Times New Roman"/>
        </w:rPr>
        <w:t>4 billion ($2.7</w:t>
      </w:r>
      <w:r>
        <w:rPr>
          <w:rFonts w:ascii="Times New Roman"/>
        </w:rPr>
        <w:t xml:space="preserve"> billion)</w:t>
      </w:r>
    </w:p>
    <w:p w:rsidR="003D3912" w:rsidRPr="00526788" w:rsidRDefault="003D3912" w:rsidP="00526788">
      <w:pPr>
        <w:tabs>
          <w:tab w:val="left" w:pos="2990"/>
        </w:tabs>
        <w:spacing w:after="0"/>
        <w:jc w:val="both"/>
        <w:rPr>
          <w:rFonts w:ascii="Times New Roman Bold" w:eastAsia="Times New Roman Bold" w:hAnsi="Times New Roman Bold" w:cs="Times New Roman Bold"/>
        </w:rPr>
      </w:pPr>
    </w:p>
    <w:p w:rsidR="003D3912" w:rsidRDefault="00233C6E">
      <w:pPr>
        <w:spacing w:after="0"/>
        <w:jc w:val="both"/>
        <w:rPr>
          <w:rFonts w:ascii="Times New Roman" w:eastAsia="Times New Roman" w:hAnsi="Times New Roman" w:cs="Times New Roman"/>
        </w:rPr>
      </w:pPr>
      <w:r w:rsidRPr="00D16BEC">
        <w:rPr>
          <w:rFonts w:ascii="Times New Roman"/>
        </w:rPr>
        <w:t>“</w:t>
      </w:r>
      <w:r w:rsidR="0013027F" w:rsidRPr="00D16BEC">
        <w:rPr>
          <w:rFonts w:ascii="Times New Roman"/>
        </w:rPr>
        <w:t>I am very pleased with our solid</w:t>
      </w:r>
      <w:r w:rsidR="0013027F">
        <w:rPr>
          <w:rFonts w:hAnsi="Times New Roman"/>
        </w:rPr>
        <w:t xml:space="preserve"> </w:t>
      </w:r>
      <w:r w:rsidR="00C42E4A">
        <w:rPr>
          <w:rFonts w:ascii="Times New Roman"/>
        </w:rPr>
        <w:t>first-</w:t>
      </w:r>
      <w:r>
        <w:rPr>
          <w:rFonts w:ascii="Times New Roman"/>
        </w:rPr>
        <w:t>quarter results,</w:t>
      </w:r>
      <w:r>
        <w:rPr>
          <w:rFonts w:hAnsi="Times New Roman"/>
        </w:rPr>
        <w:t>”</w:t>
      </w:r>
      <w:r>
        <w:rPr>
          <w:rFonts w:ascii="Trebuchet MS"/>
        </w:rPr>
        <w:t xml:space="preserve"> </w:t>
      </w:r>
      <w:r>
        <w:rPr>
          <w:rFonts w:ascii="Times New Roman"/>
        </w:rPr>
        <w:t xml:space="preserve">said Sergey </w:t>
      </w:r>
      <w:proofErr w:type="spellStart"/>
      <w:r>
        <w:rPr>
          <w:rFonts w:ascii="Times New Roman"/>
        </w:rPr>
        <w:t>Solonin</w:t>
      </w:r>
      <w:proofErr w:type="spellEnd"/>
      <w:r>
        <w:rPr>
          <w:rFonts w:ascii="Times New Roman"/>
        </w:rPr>
        <w:t>, QIWI</w:t>
      </w:r>
      <w:r>
        <w:rPr>
          <w:rFonts w:hAnsi="Times New Roman"/>
        </w:rPr>
        <w:t>’</w:t>
      </w:r>
      <w:r>
        <w:rPr>
          <w:rFonts w:ascii="Times New Roman"/>
        </w:rPr>
        <w:t xml:space="preserve">s chief executive officer. </w:t>
      </w:r>
      <w:r>
        <w:rPr>
          <w:rFonts w:hAnsi="Times New Roman"/>
        </w:rPr>
        <w:t>“</w:t>
      </w:r>
      <w:r w:rsidR="00B03607" w:rsidRPr="001F7A82">
        <w:rPr>
          <w:rFonts w:ascii="Times New Roman"/>
        </w:rPr>
        <w:t xml:space="preserve">Despite the general </w:t>
      </w:r>
      <w:r w:rsidR="0013027F">
        <w:rPr>
          <w:rFonts w:ascii="Times New Roman"/>
        </w:rPr>
        <w:t xml:space="preserve">macroeconomic </w:t>
      </w:r>
      <w:r w:rsidR="00B03607">
        <w:rPr>
          <w:rFonts w:ascii="Times New Roman"/>
        </w:rPr>
        <w:t xml:space="preserve">slowdown we continued to deliver strong financial and operational results. </w:t>
      </w:r>
      <w:r>
        <w:rPr>
          <w:rFonts w:ascii="Times New Roman"/>
        </w:rPr>
        <w:t>We see plenty of opportunities ahead</w:t>
      </w:r>
      <w:r w:rsidR="0013027F">
        <w:rPr>
          <w:rFonts w:ascii="Times New Roman"/>
        </w:rPr>
        <w:t xml:space="preserve">, especially in gaining market share </w:t>
      </w:r>
      <w:r w:rsidR="004C6989">
        <w:rPr>
          <w:rFonts w:ascii="Times New Roman"/>
        </w:rPr>
        <w:t>in</w:t>
      </w:r>
      <w:r w:rsidR="0013027F">
        <w:rPr>
          <w:rFonts w:ascii="Times New Roman"/>
        </w:rPr>
        <w:t xml:space="preserve"> </w:t>
      </w:r>
      <w:r w:rsidR="00F32895">
        <w:rPr>
          <w:rFonts w:ascii="Times New Roman"/>
        </w:rPr>
        <w:t xml:space="preserve">the </w:t>
      </w:r>
      <w:r w:rsidR="0013027F">
        <w:rPr>
          <w:rFonts w:ascii="Times New Roman"/>
        </w:rPr>
        <w:t xml:space="preserve">key verticals, </w:t>
      </w:r>
      <w:r>
        <w:rPr>
          <w:rFonts w:ascii="Times New Roman"/>
        </w:rPr>
        <w:t xml:space="preserve">and will continue to focus on our core market </w:t>
      </w:r>
      <w:r w:rsidR="00037864">
        <w:rPr>
          <w:rFonts w:ascii="Times New Roman"/>
        </w:rPr>
        <w:t xml:space="preserve">verticals </w:t>
      </w:r>
      <w:r>
        <w:rPr>
          <w:rFonts w:ascii="Times New Roman"/>
        </w:rPr>
        <w:t>and execute our strategy.</w:t>
      </w:r>
      <w:r>
        <w:rPr>
          <w:rFonts w:hAnsi="Times New Roman"/>
        </w:rPr>
        <w:t>”</w:t>
      </w:r>
    </w:p>
    <w:p w:rsidR="003D3912" w:rsidRDefault="003D3912">
      <w:pPr>
        <w:spacing w:after="0"/>
        <w:jc w:val="both"/>
        <w:rPr>
          <w:rFonts w:ascii="Times New Roman Bold" w:eastAsia="Times New Roman Bold" w:hAnsi="Times New Roman Bold" w:cs="Times New Roman Bold"/>
        </w:rPr>
      </w:pPr>
    </w:p>
    <w:p w:rsidR="003D3912" w:rsidRPr="004C2998" w:rsidRDefault="00C42E4A">
      <w:pPr>
        <w:spacing w:after="0"/>
        <w:jc w:val="both"/>
        <w:rPr>
          <w:rFonts w:ascii="Times New Roman Bold" w:eastAsia="Times New Roman Bold" w:hAnsi="Times New Roman Bold" w:cs="Times New Roman Bold"/>
          <w:b/>
        </w:rPr>
      </w:pPr>
      <w:r>
        <w:rPr>
          <w:rFonts w:ascii="Times New Roman Bold"/>
          <w:b/>
        </w:rPr>
        <w:t>First-Quarter 2015</w:t>
      </w:r>
      <w:r w:rsidR="00233C6E" w:rsidRPr="004C2998">
        <w:rPr>
          <w:rFonts w:ascii="Times New Roman Bold"/>
          <w:b/>
        </w:rPr>
        <w:t xml:space="preserve"> Results</w:t>
      </w:r>
    </w:p>
    <w:p w:rsidR="003D3912" w:rsidRDefault="003D3912">
      <w:pPr>
        <w:spacing w:after="0"/>
        <w:jc w:val="both"/>
        <w:rPr>
          <w:rFonts w:ascii="Times New Roman" w:eastAsia="Times New Roman" w:hAnsi="Times New Roman" w:cs="Times New Roman"/>
        </w:rPr>
      </w:pPr>
    </w:p>
    <w:p w:rsidR="003D3912" w:rsidRDefault="00233C6E">
      <w:pPr>
        <w:spacing w:after="0"/>
        <w:jc w:val="both"/>
        <w:rPr>
          <w:rFonts w:ascii="Times New Roman" w:eastAsia="Times New Roman" w:hAnsi="Times New Roman" w:cs="Times New Roman"/>
        </w:rPr>
      </w:pPr>
      <w:r>
        <w:rPr>
          <w:rFonts w:ascii="Times New Roman"/>
          <w:i/>
          <w:iCs/>
        </w:rPr>
        <w:t>Revenues:</w:t>
      </w:r>
      <w:r>
        <w:rPr>
          <w:rFonts w:ascii="Times New Roman"/>
        </w:rPr>
        <w:t xml:space="preserve"> Total Adjusted Net Revenue</w:t>
      </w:r>
      <w:r w:rsidR="00C42E4A">
        <w:rPr>
          <w:rFonts w:ascii="Times New Roman"/>
        </w:rPr>
        <w:t xml:space="preserve"> for the quarter ended March</w:t>
      </w:r>
      <w:r w:rsidR="00356A42">
        <w:rPr>
          <w:rFonts w:ascii="Times New Roman"/>
        </w:rPr>
        <w:t xml:space="preserve"> 31</w:t>
      </w:r>
      <w:r w:rsidR="00C42E4A">
        <w:rPr>
          <w:rFonts w:ascii="Times New Roman"/>
        </w:rPr>
        <w:t>, 2015</w:t>
      </w:r>
      <w:r>
        <w:rPr>
          <w:rFonts w:ascii="Times New Roman"/>
        </w:rPr>
        <w:t xml:space="preserve"> was RUB 2</w:t>
      </w:r>
      <w:r w:rsidR="00C42E4A">
        <w:rPr>
          <w:rFonts w:ascii="Times New Roman"/>
        </w:rPr>
        <w:t>,515</w:t>
      </w:r>
      <w:r w:rsidR="00356A42">
        <w:rPr>
          <w:rFonts w:ascii="Times New Roman"/>
        </w:rPr>
        <w:t xml:space="preserve"> million ($43.</w:t>
      </w:r>
      <w:r w:rsidR="00C42E4A">
        <w:rPr>
          <w:rFonts w:ascii="Times New Roman"/>
        </w:rPr>
        <w:t>0 million), an increase of 34% compared with RUB 1,877</w:t>
      </w:r>
      <w:r>
        <w:rPr>
          <w:rFonts w:ascii="Times New Roman"/>
        </w:rPr>
        <w:t xml:space="preserve"> million in the prior year.</w:t>
      </w:r>
    </w:p>
    <w:p w:rsidR="003D3912" w:rsidRDefault="003D3912">
      <w:pPr>
        <w:spacing w:after="0"/>
        <w:jc w:val="both"/>
        <w:rPr>
          <w:rFonts w:ascii="Times New Roman" w:eastAsia="Times New Roman" w:hAnsi="Times New Roman" w:cs="Times New Roman"/>
        </w:rPr>
      </w:pPr>
    </w:p>
    <w:p w:rsidR="003D3912" w:rsidRDefault="00233C6E" w:rsidP="001F7A82">
      <w:pPr>
        <w:spacing w:after="0"/>
        <w:jc w:val="both"/>
        <w:rPr>
          <w:rFonts w:ascii="Times New Roman" w:eastAsia="Times New Roman" w:hAnsi="Times New Roman" w:cs="Times New Roman"/>
        </w:rPr>
      </w:pPr>
      <w:r>
        <w:rPr>
          <w:rFonts w:ascii="Times New Roman"/>
        </w:rPr>
        <w:t>Payment Ad</w:t>
      </w:r>
      <w:r w:rsidR="00C42E4A">
        <w:rPr>
          <w:rFonts w:ascii="Times New Roman"/>
        </w:rPr>
        <w:t>justed Net Revenue was RUB 1,840 million ($31</w:t>
      </w:r>
      <w:r w:rsidR="00356A42">
        <w:rPr>
          <w:rFonts w:ascii="Times New Roman"/>
        </w:rPr>
        <w:t>.</w:t>
      </w:r>
      <w:r w:rsidR="00C42E4A">
        <w:rPr>
          <w:rFonts w:ascii="Times New Roman"/>
        </w:rPr>
        <w:t>5 million), an increase of 35</w:t>
      </w:r>
      <w:r>
        <w:rPr>
          <w:rFonts w:ascii="Times New Roman"/>
        </w:rPr>
        <w:t>% compared with</w:t>
      </w:r>
      <w:r w:rsidR="00C42E4A">
        <w:rPr>
          <w:rFonts w:ascii="Times New Roman"/>
        </w:rPr>
        <w:t xml:space="preserve"> RUB 1,362</w:t>
      </w:r>
      <w:r>
        <w:rPr>
          <w:rFonts w:ascii="Times New Roman"/>
        </w:rPr>
        <w:t xml:space="preserve"> million in the prior year. Payment Adjusted Net Revenue growth was predominantly driven by an increase in payment volume</w:t>
      </w:r>
      <w:r w:rsidR="00356A42">
        <w:rPr>
          <w:rFonts w:ascii="Times New Roman"/>
        </w:rPr>
        <w:t xml:space="preserve"> in the E-commerce and Money Remittances market </w:t>
      </w:r>
      <w:r w:rsidR="00037864">
        <w:rPr>
          <w:rFonts w:ascii="Times New Roman"/>
        </w:rPr>
        <w:t xml:space="preserve">verticals </w:t>
      </w:r>
      <w:r>
        <w:rPr>
          <w:rFonts w:ascii="Times New Roman"/>
        </w:rPr>
        <w:t>and net revenue yield in the E-commerce, Financial Services and Money Remittances market</w:t>
      </w:r>
      <w:r w:rsidR="00286836">
        <w:rPr>
          <w:rFonts w:ascii="Times New Roman"/>
        </w:rPr>
        <w:t xml:space="preserve">. Payment Adjusted Net Revenue was </w:t>
      </w:r>
      <w:r w:rsidR="00177313">
        <w:rPr>
          <w:rFonts w:ascii="Times New Roman"/>
        </w:rPr>
        <w:t xml:space="preserve">slightly offset by a decrease in payment volume </w:t>
      </w:r>
      <w:r w:rsidR="00C42E4A">
        <w:rPr>
          <w:rFonts w:ascii="Times New Roman"/>
        </w:rPr>
        <w:t xml:space="preserve">in Financial Services </w:t>
      </w:r>
      <w:r w:rsidR="00177313">
        <w:rPr>
          <w:rFonts w:ascii="Times New Roman"/>
        </w:rPr>
        <w:t xml:space="preserve">and net revenue yield in the Telecom market </w:t>
      </w:r>
      <w:r w:rsidR="00037864">
        <w:rPr>
          <w:rFonts w:ascii="Times New Roman"/>
        </w:rPr>
        <w:t>vertical</w:t>
      </w:r>
      <w:r w:rsidR="00177313">
        <w:rPr>
          <w:rFonts w:ascii="Times New Roman"/>
        </w:rPr>
        <w:t>.</w:t>
      </w:r>
      <w:r w:rsidR="006D58DD">
        <w:rPr>
          <w:rFonts w:ascii="Times New Roman"/>
        </w:rPr>
        <w:t xml:space="preserve"> </w:t>
      </w:r>
    </w:p>
    <w:p w:rsidR="003D3912" w:rsidRDefault="003D3912">
      <w:pPr>
        <w:spacing w:after="0"/>
        <w:jc w:val="both"/>
        <w:rPr>
          <w:rFonts w:ascii="Times New Roman" w:eastAsia="Times New Roman" w:hAnsi="Times New Roman" w:cs="Times New Roman"/>
        </w:rPr>
      </w:pPr>
    </w:p>
    <w:p w:rsidR="003D3912" w:rsidRDefault="00233C6E" w:rsidP="006D58DD">
      <w:pPr>
        <w:spacing w:after="0"/>
        <w:jc w:val="both"/>
        <w:rPr>
          <w:rFonts w:ascii="Times New Roman" w:eastAsia="Times New Roman" w:hAnsi="Times New Roman" w:cs="Times New Roman"/>
        </w:rPr>
      </w:pPr>
      <w:r>
        <w:rPr>
          <w:rFonts w:ascii="Times New Roman"/>
        </w:rPr>
        <w:t xml:space="preserve">Other Adjusted Net Revenue, which is principally composed of revenue from inactivity fees, interest revenue and gain from currency swaps and overdrafts provided to agents, </w:t>
      </w:r>
      <w:r w:rsidR="00356A42">
        <w:rPr>
          <w:rFonts w:ascii="Times New Roman"/>
        </w:rPr>
        <w:t xml:space="preserve">revenue from rent of space for kiosks and sale of kiosks, </w:t>
      </w:r>
      <w:r>
        <w:rPr>
          <w:rFonts w:ascii="Times New Roman"/>
        </w:rPr>
        <w:t>cash and settlement services and advertising, was RUB 6</w:t>
      </w:r>
      <w:r w:rsidR="00C42E4A">
        <w:rPr>
          <w:rFonts w:ascii="Times New Roman"/>
        </w:rPr>
        <w:t>75</w:t>
      </w:r>
      <w:r>
        <w:rPr>
          <w:rFonts w:ascii="Times New Roman"/>
        </w:rPr>
        <w:t xml:space="preserve"> million ($1</w:t>
      </w:r>
      <w:r w:rsidR="00356A42">
        <w:rPr>
          <w:rFonts w:ascii="Times New Roman"/>
        </w:rPr>
        <w:t>1</w:t>
      </w:r>
      <w:r>
        <w:rPr>
          <w:rFonts w:ascii="Times New Roman"/>
        </w:rPr>
        <w:t>.</w:t>
      </w:r>
      <w:r w:rsidR="00C42E4A">
        <w:rPr>
          <w:rFonts w:ascii="Times New Roman"/>
        </w:rPr>
        <w:t>5</w:t>
      </w:r>
      <w:r>
        <w:rPr>
          <w:rFonts w:ascii="Times New Roman"/>
        </w:rPr>
        <w:t xml:space="preserve"> million), an increase of </w:t>
      </w:r>
      <w:r w:rsidR="00C42E4A">
        <w:rPr>
          <w:rFonts w:ascii="Times New Roman"/>
        </w:rPr>
        <w:t>31</w:t>
      </w:r>
      <w:r>
        <w:rPr>
          <w:rFonts w:ascii="Times New Roman"/>
        </w:rPr>
        <w:t xml:space="preserve">% compared with RUB </w:t>
      </w:r>
      <w:r w:rsidR="00C42E4A">
        <w:rPr>
          <w:rFonts w:ascii="Times New Roman"/>
        </w:rPr>
        <w:t>515</w:t>
      </w:r>
      <w:r>
        <w:rPr>
          <w:rFonts w:ascii="Times New Roman"/>
        </w:rPr>
        <w:t xml:space="preserve"> million in the prior year. </w:t>
      </w:r>
      <w:r w:rsidR="001B4550">
        <w:rPr>
          <w:rFonts w:ascii="Times New Roman"/>
        </w:rPr>
        <w:t>The growth in the first- quarter was mainly due to increase in revenue from sales of kiosks</w:t>
      </w:r>
      <w:r w:rsidR="00CB0335">
        <w:rPr>
          <w:rFonts w:ascii="Times New Roman"/>
        </w:rPr>
        <w:t>,</w:t>
      </w:r>
      <w:r w:rsidR="001B4550">
        <w:rPr>
          <w:rFonts w:ascii="Times New Roman"/>
        </w:rPr>
        <w:t xml:space="preserve"> interest revenue</w:t>
      </w:r>
      <w:r w:rsidR="001B4550" w:rsidRPr="001B4550">
        <w:rPr>
          <w:rFonts w:ascii="Times New Roman"/>
        </w:rPr>
        <w:t xml:space="preserve"> </w:t>
      </w:r>
      <w:r w:rsidR="001B4550">
        <w:rPr>
          <w:rFonts w:ascii="Times New Roman"/>
        </w:rPr>
        <w:t>from deposits and</w:t>
      </w:r>
      <w:r w:rsidR="001B4550" w:rsidRPr="0010791E">
        <w:rPr>
          <w:rFonts w:ascii="Times New Roman"/>
        </w:rPr>
        <w:t xml:space="preserve"> </w:t>
      </w:r>
      <w:r w:rsidR="001B4550">
        <w:rPr>
          <w:rFonts w:ascii="Times New Roman"/>
        </w:rPr>
        <w:t>overdrafts provided to agents, slightly offset by a decrease in gain from currency swaps.</w:t>
      </w:r>
    </w:p>
    <w:p w:rsidR="003D3912" w:rsidRDefault="003D3912">
      <w:pPr>
        <w:spacing w:after="0"/>
        <w:jc w:val="both"/>
        <w:rPr>
          <w:rFonts w:ascii="Times New Roman" w:eastAsia="Times New Roman" w:hAnsi="Times New Roman" w:cs="Times New Roman"/>
        </w:rPr>
      </w:pPr>
    </w:p>
    <w:p w:rsidR="003D3912" w:rsidRDefault="00233C6E">
      <w:pPr>
        <w:spacing w:after="0"/>
        <w:jc w:val="both"/>
        <w:rPr>
          <w:rFonts w:ascii="Times New Roman" w:eastAsia="Times New Roman" w:hAnsi="Times New Roman" w:cs="Times New Roman"/>
        </w:rPr>
      </w:pPr>
      <w:r>
        <w:rPr>
          <w:rFonts w:ascii="Times New Roman"/>
          <w:i/>
          <w:iCs/>
        </w:rPr>
        <w:t>Adjusted EBITDA:</w:t>
      </w:r>
      <w:r>
        <w:rPr>
          <w:rFonts w:ascii="Times New Roman"/>
        </w:rPr>
        <w:t xml:space="preserve"> For the quarter ended </w:t>
      </w:r>
      <w:r w:rsidR="006D58DD">
        <w:rPr>
          <w:rFonts w:ascii="Times New Roman"/>
        </w:rPr>
        <w:t>March</w:t>
      </w:r>
      <w:r w:rsidR="00F17FDB">
        <w:rPr>
          <w:rFonts w:ascii="Times New Roman"/>
        </w:rPr>
        <w:t xml:space="preserve"> </w:t>
      </w:r>
      <w:r>
        <w:rPr>
          <w:rFonts w:ascii="Times New Roman"/>
        </w:rPr>
        <w:t>3</w:t>
      </w:r>
      <w:r w:rsidR="00F17FDB">
        <w:rPr>
          <w:rFonts w:ascii="Times New Roman"/>
        </w:rPr>
        <w:t>1</w:t>
      </w:r>
      <w:r w:rsidR="006D58DD">
        <w:rPr>
          <w:rFonts w:ascii="Times New Roman"/>
        </w:rPr>
        <w:t>, 2015</w:t>
      </w:r>
      <w:r>
        <w:rPr>
          <w:rFonts w:ascii="Times New Roman"/>
        </w:rPr>
        <w:t xml:space="preserve">, Adjusted EBITDA was RUB </w:t>
      </w:r>
      <w:r w:rsidR="00750104">
        <w:rPr>
          <w:rFonts w:ascii="Times New Roman"/>
        </w:rPr>
        <w:t>1,600</w:t>
      </w:r>
      <w:r>
        <w:rPr>
          <w:rFonts w:ascii="Times New Roman"/>
        </w:rPr>
        <w:t xml:space="preserve"> million ($</w:t>
      </w:r>
      <w:r w:rsidR="006D58DD">
        <w:rPr>
          <w:rFonts w:ascii="Times New Roman"/>
        </w:rPr>
        <w:t>27</w:t>
      </w:r>
      <w:r>
        <w:rPr>
          <w:rFonts w:ascii="Times New Roman"/>
        </w:rPr>
        <w:t>.</w:t>
      </w:r>
      <w:r w:rsidR="006D58DD">
        <w:rPr>
          <w:rFonts w:ascii="Times New Roman"/>
        </w:rPr>
        <w:t>4</w:t>
      </w:r>
      <w:r>
        <w:rPr>
          <w:rFonts w:ascii="Times New Roman"/>
        </w:rPr>
        <w:t xml:space="preserve"> million), an increase of </w:t>
      </w:r>
      <w:r w:rsidR="006D58DD">
        <w:rPr>
          <w:rFonts w:ascii="Times New Roman"/>
        </w:rPr>
        <w:t>50% compared with RUB 1,068</w:t>
      </w:r>
      <w:r>
        <w:rPr>
          <w:rFonts w:ascii="Times New Roman"/>
        </w:rPr>
        <w:t xml:space="preserve"> million in the prior </w:t>
      </w:r>
      <w:r w:rsidRPr="00CF0D8B">
        <w:rPr>
          <w:rFonts w:ascii="Times New Roman"/>
        </w:rPr>
        <w:t xml:space="preserve">year. </w:t>
      </w:r>
      <w:r w:rsidR="006D58DD" w:rsidRPr="00E72E79">
        <w:rPr>
          <w:rFonts w:ascii="Times New Roman"/>
        </w:rPr>
        <w:t>Adjusted EBITDA growth was mainly driven by revenue growth and continued operating leverage in the business</w:t>
      </w:r>
      <w:r w:rsidR="00AE6B13" w:rsidRPr="00AE6B13">
        <w:rPr>
          <w:rFonts w:ascii="Times New Roman"/>
        </w:rPr>
        <w:t xml:space="preserve"> </w:t>
      </w:r>
      <w:r w:rsidR="00AE6B13">
        <w:rPr>
          <w:rFonts w:ascii="Times New Roman"/>
        </w:rPr>
        <w:t xml:space="preserve">as well as bad debt recovery of RUB 67 million </w:t>
      </w:r>
      <w:r w:rsidR="00CF24B5">
        <w:rPr>
          <w:rFonts w:ascii="Times New Roman"/>
        </w:rPr>
        <w:t>as compared to bad debt provision of RUB 62 million in the first quarter of 2014</w:t>
      </w:r>
      <w:r w:rsidR="006D58DD" w:rsidRPr="00E72E79">
        <w:rPr>
          <w:rFonts w:ascii="Times New Roman"/>
        </w:rPr>
        <w:t>.</w:t>
      </w:r>
      <w:r w:rsidR="006D58DD" w:rsidRPr="006D58DD">
        <w:rPr>
          <w:rFonts w:ascii="Times New Roman"/>
        </w:rPr>
        <w:t xml:space="preserve"> </w:t>
      </w:r>
      <w:r w:rsidRPr="00CF0D8B">
        <w:rPr>
          <w:rFonts w:ascii="Times New Roman"/>
        </w:rPr>
        <w:t>Adjusted</w:t>
      </w:r>
      <w:r>
        <w:rPr>
          <w:rFonts w:ascii="Times New Roman"/>
        </w:rPr>
        <w:t xml:space="preserve"> EBITDA margin (Adjusted EBITDA as a percentage of Total Adjusted Net Revenue) was </w:t>
      </w:r>
      <w:r w:rsidR="006D58DD">
        <w:rPr>
          <w:rFonts w:ascii="Times New Roman"/>
        </w:rPr>
        <w:t>63</w:t>
      </w:r>
      <w:r>
        <w:rPr>
          <w:rFonts w:ascii="Times New Roman"/>
        </w:rPr>
        <w:t>.</w:t>
      </w:r>
      <w:r w:rsidR="00750104">
        <w:rPr>
          <w:rFonts w:ascii="Times New Roman"/>
        </w:rPr>
        <w:t>6</w:t>
      </w:r>
      <w:r w:rsidR="006D58DD">
        <w:rPr>
          <w:rFonts w:ascii="Times New Roman"/>
        </w:rPr>
        <w:t>% compared with 56</w:t>
      </w:r>
      <w:r>
        <w:rPr>
          <w:rFonts w:ascii="Times New Roman"/>
        </w:rPr>
        <w:t>.</w:t>
      </w:r>
      <w:r w:rsidR="006D58DD">
        <w:rPr>
          <w:rFonts w:ascii="Times New Roman"/>
        </w:rPr>
        <w:t>9</w:t>
      </w:r>
      <w:r w:rsidR="001F7A82">
        <w:rPr>
          <w:rFonts w:ascii="Times New Roman"/>
        </w:rPr>
        <w:t>% in the prior year.</w:t>
      </w:r>
    </w:p>
    <w:p w:rsidR="003D3912" w:rsidRDefault="003D3912">
      <w:pPr>
        <w:spacing w:after="0"/>
        <w:jc w:val="both"/>
        <w:rPr>
          <w:rFonts w:ascii="Times New Roman" w:eastAsia="Times New Roman" w:hAnsi="Times New Roman" w:cs="Times New Roman"/>
        </w:rPr>
      </w:pPr>
    </w:p>
    <w:p w:rsidR="003D3912" w:rsidRDefault="00233C6E">
      <w:pPr>
        <w:spacing w:after="0"/>
        <w:jc w:val="both"/>
        <w:rPr>
          <w:rFonts w:ascii="Times New Roman" w:eastAsia="Times New Roman" w:hAnsi="Times New Roman" w:cs="Times New Roman"/>
        </w:rPr>
      </w:pPr>
      <w:r>
        <w:rPr>
          <w:rFonts w:ascii="Times New Roman"/>
          <w:i/>
          <w:iCs/>
        </w:rPr>
        <w:t>Adjusted Net Profit:</w:t>
      </w:r>
      <w:r>
        <w:rPr>
          <w:rFonts w:ascii="Times New Roman"/>
        </w:rPr>
        <w:t xml:space="preserve"> For the quarter ended </w:t>
      </w:r>
      <w:r w:rsidR="006D58DD">
        <w:rPr>
          <w:rFonts w:ascii="Times New Roman"/>
        </w:rPr>
        <w:t xml:space="preserve">March </w:t>
      </w:r>
      <w:r>
        <w:rPr>
          <w:rFonts w:ascii="Times New Roman"/>
        </w:rPr>
        <w:t>3</w:t>
      </w:r>
      <w:r w:rsidR="00F17FDB">
        <w:rPr>
          <w:rFonts w:ascii="Times New Roman"/>
        </w:rPr>
        <w:t>1</w:t>
      </w:r>
      <w:r w:rsidR="006D58DD">
        <w:rPr>
          <w:rFonts w:ascii="Times New Roman"/>
        </w:rPr>
        <w:t>, 2015</w:t>
      </w:r>
      <w:r>
        <w:rPr>
          <w:rFonts w:ascii="Times New Roman"/>
        </w:rPr>
        <w:t xml:space="preserve">, Adjusted Net Profit was RUB </w:t>
      </w:r>
      <w:r w:rsidR="00750104">
        <w:rPr>
          <w:rFonts w:ascii="Times New Roman"/>
        </w:rPr>
        <w:t>1,117</w:t>
      </w:r>
      <w:r>
        <w:rPr>
          <w:rFonts w:ascii="Times New Roman"/>
        </w:rPr>
        <w:t xml:space="preserve"> million ($</w:t>
      </w:r>
      <w:r w:rsidR="00F17FDB">
        <w:rPr>
          <w:rFonts w:ascii="Times New Roman"/>
        </w:rPr>
        <w:t>1</w:t>
      </w:r>
      <w:r w:rsidR="006D58DD">
        <w:rPr>
          <w:rFonts w:ascii="Times New Roman"/>
        </w:rPr>
        <w:t>9</w:t>
      </w:r>
      <w:r>
        <w:rPr>
          <w:rFonts w:ascii="Times New Roman"/>
        </w:rPr>
        <w:t>.</w:t>
      </w:r>
      <w:r w:rsidR="00750104">
        <w:rPr>
          <w:rFonts w:ascii="Times New Roman"/>
        </w:rPr>
        <w:t>1</w:t>
      </w:r>
      <w:r>
        <w:rPr>
          <w:rFonts w:ascii="Times New Roman"/>
        </w:rPr>
        <w:t xml:space="preserve"> million), an increase of </w:t>
      </w:r>
      <w:r w:rsidR="00750104">
        <w:rPr>
          <w:rFonts w:ascii="Times New Roman"/>
        </w:rPr>
        <w:t>42</w:t>
      </w:r>
      <w:r>
        <w:rPr>
          <w:rFonts w:ascii="Times New Roman"/>
        </w:rPr>
        <w:t xml:space="preserve">% compared with RUB </w:t>
      </w:r>
      <w:r w:rsidR="006D58DD">
        <w:rPr>
          <w:rFonts w:ascii="Times New Roman"/>
        </w:rPr>
        <w:t>785</w:t>
      </w:r>
      <w:r>
        <w:rPr>
          <w:rFonts w:ascii="Times New Roman"/>
        </w:rPr>
        <w:t xml:space="preserve"> million in the prior year. The increase in Adjusted Net Profit was primarily driven by the same factors impacting Adjusted EBITDA</w:t>
      </w:r>
      <w:r w:rsidR="00D12212">
        <w:rPr>
          <w:rFonts w:ascii="Times New Roman"/>
        </w:rPr>
        <w:t>, with exception of transaction foreign exchange effect</w:t>
      </w:r>
      <w:r w:rsidR="001F7A82">
        <w:rPr>
          <w:rFonts w:ascii="Times New Roman"/>
        </w:rPr>
        <w:t>.</w:t>
      </w:r>
    </w:p>
    <w:p w:rsidR="003D3912" w:rsidRDefault="003D3912">
      <w:pPr>
        <w:spacing w:after="0"/>
        <w:jc w:val="both"/>
        <w:rPr>
          <w:rFonts w:ascii="Times New Roman" w:eastAsia="Times New Roman" w:hAnsi="Times New Roman" w:cs="Times New Roman"/>
        </w:rPr>
      </w:pPr>
    </w:p>
    <w:p w:rsidR="003D3912" w:rsidRDefault="00233C6E">
      <w:pPr>
        <w:spacing w:after="0"/>
        <w:jc w:val="both"/>
        <w:rPr>
          <w:rFonts w:ascii="Times New Roman" w:eastAsia="Times New Roman" w:hAnsi="Times New Roman" w:cs="Times New Roman"/>
        </w:rPr>
      </w:pPr>
      <w:r>
        <w:rPr>
          <w:rFonts w:ascii="Times New Roman"/>
          <w:i/>
          <w:iCs/>
        </w:rPr>
        <w:t xml:space="preserve">Other Operating Data: </w:t>
      </w:r>
      <w:r>
        <w:rPr>
          <w:rFonts w:ascii="Times New Roman"/>
        </w:rPr>
        <w:t xml:space="preserve">For the quarter ended </w:t>
      </w:r>
      <w:r w:rsidR="006D58DD">
        <w:rPr>
          <w:rFonts w:ascii="Times New Roman"/>
        </w:rPr>
        <w:t>March</w:t>
      </w:r>
      <w:r w:rsidR="00633CBB">
        <w:rPr>
          <w:rFonts w:ascii="Times New Roman"/>
        </w:rPr>
        <w:t xml:space="preserve"> </w:t>
      </w:r>
      <w:r>
        <w:rPr>
          <w:rFonts w:ascii="Times New Roman"/>
        </w:rPr>
        <w:t>3</w:t>
      </w:r>
      <w:r w:rsidR="00633CBB">
        <w:rPr>
          <w:rFonts w:ascii="Times New Roman"/>
        </w:rPr>
        <w:t>1</w:t>
      </w:r>
      <w:r w:rsidR="006D58DD">
        <w:rPr>
          <w:rFonts w:ascii="Times New Roman"/>
        </w:rPr>
        <w:t>, 2015</w:t>
      </w:r>
      <w:r>
        <w:rPr>
          <w:rFonts w:ascii="Times New Roman"/>
        </w:rPr>
        <w:t>, total payment volume was RUB 1</w:t>
      </w:r>
      <w:r w:rsidR="006D58DD">
        <w:rPr>
          <w:rFonts w:ascii="Times New Roman"/>
        </w:rPr>
        <w:t>58</w:t>
      </w:r>
      <w:r>
        <w:rPr>
          <w:rFonts w:ascii="Times New Roman"/>
        </w:rPr>
        <w:t>.</w:t>
      </w:r>
      <w:r w:rsidR="006D58DD">
        <w:rPr>
          <w:rFonts w:ascii="Times New Roman"/>
        </w:rPr>
        <w:t>4</w:t>
      </w:r>
      <w:r>
        <w:rPr>
          <w:rFonts w:ascii="Times New Roman"/>
        </w:rPr>
        <w:t xml:space="preserve"> billion ($</w:t>
      </w:r>
      <w:r w:rsidR="006D58DD">
        <w:rPr>
          <w:rFonts w:ascii="Times New Roman"/>
        </w:rPr>
        <w:t>2</w:t>
      </w:r>
      <w:r>
        <w:rPr>
          <w:rFonts w:ascii="Times New Roman"/>
        </w:rPr>
        <w:t>.</w:t>
      </w:r>
      <w:r w:rsidR="006D58DD">
        <w:rPr>
          <w:rFonts w:ascii="Times New Roman"/>
        </w:rPr>
        <w:t>7</w:t>
      </w:r>
      <w:r>
        <w:rPr>
          <w:rFonts w:ascii="Times New Roman"/>
        </w:rPr>
        <w:t xml:space="preserve"> billion), an increase of </w:t>
      </w:r>
      <w:r w:rsidR="006D58DD">
        <w:rPr>
          <w:rFonts w:ascii="Times New Roman"/>
        </w:rPr>
        <w:t>6</w:t>
      </w:r>
      <w:r>
        <w:rPr>
          <w:rFonts w:ascii="Times New Roman"/>
        </w:rPr>
        <w:t>% compared with RUB 1</w:t>
      </w:r>
      <w:r w:rsidR="006D58DD">
        <w:rPr>
          <w:rFonts w:ascii="Times New Roman"/>
        </w:rPr>
        <w:t>4</w:t>
      </w:r>
      <w:r w:rsidR="00633CBB">
        <w:rPr>
          <w:rFonts w:ascii="Times New Roman"/>
        </w:rPr>
        <w:t>9</w:t>
      </w:r>
      <w:r>
        <w:rPr>
          <w:rFonts w:ascii="Times New Roman"/>
        </w:rPr>
        <w:t>.</w:t>
      </w:r>
      <w:r w:rsidR="006D58DD">
        <w:rPr>
          <w:rFonts w:ascii="Times New Roman"/>
        </w:rPr>
        <w:t>6</w:t>
      </w:r>
      <w:r>
        <w:rPr>
          <w:rFonts w:ascii="Times New Roman"/>
        </w:rPr>
        <w:t xml:space="preserve"> billion in the prior year. </w:t>
      </w:r>
      <w:r w:rsidR="00D12212">
        <w:rPr>
          <w:rFonts w:ascii="Times New Roman"/>
        </w:rPr>
        <w:t xml:space="preserve">Payment volume increased across all verticals except for financial services which demonstrated a 26% decrease caused by the general situation in retail loans segment. </w:t>
      </w:r>
      <w:r>
        <w:rPr>
          <w:rFonts w:ascii="Times New Roman"/>
        </w:rPr>
        <w:t>Average payment net revenue yield was 1.</w:t>
      </w:r>
      <w:r w:rsidR="006D58DD">
        <w:rPr>
          <w:rFonts w:ascii="Times New Roman"/>
        </w:rPr>
        <w:t>16</w:t>
      </w:r>
      <w:r>
        <w:rPr>
          <w:rFonts w:ascii="Times New Roman"/>
        </w:rPr>
        <w:t xml:space="preserve">%, an increase of </w:t>
      </w:r>
      <w:r w:rsidR="006D58DD">
        <w:rPr>
          <w:rFonts w:ascii="Times New Roman"/>
        </w:rPr>
        <w:t>25</w:t>
      </w:r>
      <w:r>
        <w:rPr>
          <w:rFonts w:ascii="Times New Roman"/>
        </w:rPr>
        <w:t xml:space="preserve"> bps compared with </w:t>
      </w:r>
      <w:r w:rsidR="006D58DD">
        <w:rPr>
          <w:rFonts w:ascii="Times New Roman"/>
        </w:rPr>
        <w:t>0.91</w:t>
      </w:r>
      <w:r>
        <w:rPr>
          <w:rFonts w:ascii="Times New Roman"/>
        </w:rPr>
        <w:t xml:space="preserve">% in the prior year. The increase in payment volume </w:t>
      </w:r>
      <w:r w:rsidR="00CF24B5">
        <w:rPr>
          <w:rFonts w:ascii="Times New Roman"/>
        </w:rPr>
        <w:t xml:space="preserve">and average payment net revenue yield </w:t>
      </w:r>
      <w:r>
        <w:rPr>
          <w:rFonts w:ascii="Times New Roman"/>
        </w:rPr>
        <w:t xml:space="preserve">in the </w:t>
      </w:r>
      <w:r w:rsidR="006D58DD">
        <w:rPr>
          <w:rFonts w:ascii="Times New Roman"/>
        </w:rPr>
        <w:t>first-</w:t>
      </w:r>
      <w:r>
        <w:rPr>
          <w:rFonts w:ascii="Times New Roman"/>
        </w:rPr>
        <w:t xml:space="preserve">quarter was mainly driven by strong growth in the E-commerce and Money Remittances market </w:t>
      </w:r>
      <w:r w:rsidR="00C3360B">
        <w:rPr>
          <w:rFonts w:ascii="Times New Roman"/>
        </w:rPr>
        <w:t>verticals</w:t>
      </w:r>
      <w:r>
        <w:rPr>
          <w:rFonts w:ascii="Times New Roman"/>
        </w:rPr>
        <w:t>.</w:t>
      </w:r>
      <w:r w:rsidR="00286836">
        <w:rPr>
          <w:rFonts w:ascii="Times New Roman" w:eastAsia="Times New Roman" w:hAnsi="Times New Roman" w:cs="Times New Roman"/>
        </w:rPr>
        <w:t xml:space="preserve"> </w:t>
      </w:r>
    </w:p>
    <w:p w:rsidR="003D3912" w:rsidRPr="00CF24B5" w:rsidRDefault="003D3912">
      <w:pPr>
        <w:spacing w:after="0"/>
        <w:jc w:val="both"/>
        <w:rPr>
          <w:rFonts w:ascii="Times New Roman" w:eastAsia="Times New Roman" w:hAnsi="Times New Roman" w:cs="Times New Roman"/>
        </w:rPr>
      </w:pPr>
    </w:p>
    <w:p w:rsidR="003D3912" w:rsidRDefault="00233C6E">
      <w:pPr>
        <w:spacing w:after="0"/>
        <w:jc w:val="both"/>
        <w:rPr>
          <w:rFonts w:ascii="Times New Roman"/>
        </w:rPr>
      </w:pPr>
      <w:r>
        <w:rPr>
          <w:rFonts w:ascii="Times New Roman"/>
        </w:rPr>
        <w:t>The total a</w:t>
      </w:r>
      <w:r w:rsidR="006D58DD">
        <w:rPr>
          <w:rFonts w:ascii="Times New Roman"/>
        </w:rPr>
        <w:t>verage Net Revenue Yield was 1.59</w:t>
      </w:r>
      <w:r>
        <w:rPr>
          <w:rFonts w:ascii="Times New Roman"/>
        </w:rPr>
        <w:t>%, an increase of 3</w:t>
      </w:r>
      <w:r w:rsidR="006D58DD">
        <w:rPr>
          <w:rFonts w:ascii="Times New Roman"/>
        </w:rPr>
        <w:t>3</w:t>
      </w:r>
      <w:r>
        <w:rPr>
          <w:rFonts w:ascii="Times New Roman"/>
        </w:rPr>
        <w:t xml:space="preserve"> bps as compared with 1.</w:t>
      </w:r>
      <w:r w:rsidR="006D58DD">
        <w:rPr>
          <w:rFonts w:ascii="Times New Roman"/>
        </w:rPr>
        <w:t>26</w:t>
      </w:r>
      <w:r>
        <w:rPr>
          <w:rFonts w:ascii="Times New Roman"/>
        </w:rPr>
        <w:t xml:space="preserve">% in the prior year. </w:t>
      </w:r>
    </w:p>
    <w:p w:rsidR="0067127E" w:rsidRDefault="0067127E">
      <w:pPr>
        <w:spacing w:after="0"/>
        <w:jc w:val="both"/>
        <w:rPr>
          <w:rFonts w:ascii="Times New Roman"/>
        </w:rPr>
      </w:pPr>
    </w:p>
    <w:p w:rsidR="0067127E" w:rsidRDefault="0067127E">
      <w:pPr>
        <w:spacing w:after="0"/>
        <w:jc w:val="both"/>
        <w:rPr>
          <w:rFonts w:ascii="Times New Roman"/>
        </w:rPr>
      </w:pPr>
      <w:r w:rsidRPr="0067127E">
        <w:rPr>
          <w:rFonts w:ascii="Times New Roman"/>
        </w:rPr>
        <w:t>The number of act</w:t>
      </w:r>
      <w:r>
        <w:rPr>
          <w:rFonts w:ascii="Times New Roman"/>
        </w:rPr>
        <w:t>ive kiosks and terminals was 177,448, an increase of 6</w:t>
      </w:r>
      <w:r w:rsidRPr="0067127E">
        <w:rPr>
          <w:rFonts w:ascii="Times New Roman"/>
        </w:rPr>
        <w:t xml:space="preserve">% compared with the prior year. The number of active </w:t>
      </w:r>
      <w:r>
        <w:rPr>
          <w:rFonts w:ascii="Times New Roman"/>
        </w:rPr>
        <w:t xml:space="preserve">Visa </w:t>
      </w:r>
      <w:proofErr w:type="spellStart"/>
      <w:r>
        <w:rPr>
          <w:rFonts w:ascii="Times New Roman"/>
        </w:rPr>
        <w:t>Qiwi</w:t>
      </w:r>
      <w:proofErr w:type="spellEnd"/>
      <w:r>
        <w:rPr>
          <w:rFonts w:ascii="Times New Roman"/>
        </w:rPr>
        <w:t xml:space="preserve"> Wallet accounts was 17.3</w:t>
      </w:r>
      <w:r w:rsidRPr="0067127E">
        <w:rPr>
          <w:rFonts w:ascii="Times New Roman"/>
        </w:rPr>
        <w:t xml:space="preserve"> m</w:t>
      </w:r>
      <w:r>
        <w:rPr>
          <w:rFonts w:ascii="Times New Roman"/>
        </w:rPr>
        <w:t>illion in the first-quarter 2015, an increase of 1.7 million, or 11%, as compared with 15.6</w:t>
      </w:r>
      <w:r w:rsidRPr="0067127E">
        <w:rPr>
          <w:rFonts w:ascii="Times New Roman"/>
        </w:rPr>
        <w:t xml:space="preserve"> million in the f</w:t>
      </w:r>
      <w:r>
        <w:rPr>
          <w:rFonts w:ascii="Times New Roman"/>
        </w:rPr>
        <w:t>irst-quarter 2014</w:t>
      </w:r>
      <w:r w:rsidRPr="0067127E">
        <w:rPr>
          <w:rFonts w:ascii="Times New Roman"/>
        </w:rPr>
        <w:t>.</w:t>
      </w:r>
    </w:p>
    <w:p w:rsidR="004235DB" w:rsidRDefault="004235DB">
      <w:pPr>
        <w:spacing w:after="0" w:line="240" w:lineRule="auto"/>
        <w:rPr>
          <w:rFonts w:ascii="Times New Roman Bold"/>
          <w:b/>
        </w:rPr>
      </w:pPr>
    </w:p>
    <w:p w:rsidR="00F32895" w:rsidRPr="004C2998" w:rsidRDefault="00F32895" w:rsidP="004235DB">
      <w:pPr>
        <w:keepNext/>
        <w:spacing w:after="0"/>
        <w:rPr>
          <w:rFonts w:ascii="Times New Roman Bold" w:eastAsia="Times New Roman Bold" w:hAnsi="Times New Roman Bold" w:cs="Times New Roman Bold"/>
          <w:b/>
        </w:rPr>
      </w:pPr>
      <w:r w:rsidRPr="004C2998">
        <w:rPr>
          <w:rFonts w:ascii="Times New Roman Bold"/>
          <w:b/>
        </w:rPr>
        <w:t>Recent Developments</w:t>
      </w:r>
    </w:p>
    <w:p w:rsidR="00F32895" w:rsidRDefault="00F32895" w:rsidP="004235DB">
      <w:pPr>
        <w:keepNext/>
        <w:spacing w:after="0"/>
        <w:jc w:val="both"/>
        <w:rPr>
          <w:rFonts w:ascii="Times New Roman" w:eastAsia="Times New Roman" w:hAnsi="Times New Roman" w:cs="Times New Roman"/>
          <w:i/>
          <w:iCs/>
        </w:rPr>
      </w:pPr>
    </w:p>
    <w:p w:rsidR="00F32895" w:rsidRDefault="00F32895" w:rsidP="004235DB">
      <w:pPr>
        <w:keepNext/>
        <w:spacing w:after="0"/>
        <w:jc w:val="both"/>
        <w:rPr>
          <w:rFonts w:ascii="Times New Roman" w:eastAsia="Times New Roman" w:hAnsi="Times New Roman" w:cs="Times New Roman"/>
        </w:rPr>
      </w:pPr>
      <w:r w:rsidRPr="007044BD">
        <w:rPr>
          <w:rFonts w:ascii="Times New Roman"/>
          <w:i/>
          <w:iCs/>
        </w:rPr>
        <w:t>Dividend:</w:t>
      </w:r>
      <w:r w:rsidRPr="007044BD">
        <w:rPr>
          <w:rFonts w:ascii="Times New Roman" w:eastAsia="Times New Roman" w:hAnsi="Times New Roman" w:cs="Times New Roman"/>
        </w:rPr>
        <w:t xml:space="preserve"> </w:t>
      </w:r>
      <w:r w:rsidR="007044BD" w:rsidRPr="007044BD">
        <w:rPr>
          <w:rFonts w:ascii="Times New Roman"/>
        </w:rPr>
        <w:t>QIWI</w:t>
      </w:r>
      <w:r w:rsidR="007044BD">
        <w:rPr>
          <w:rFonts w:ascii="Times New Roman"/>
        </w:rPr>
        <w:t xml:space="preserve"> announces that following the determination of first-quarter 2015 financial results its Board of Directors recommended a dividend of USD 25 cents per share. The dividend record date is 26 May 2015, and the Company intends to pay the dividend on 28 May, 2015. The holders of ADSs will receive the dividend shortly thereafter.</w:t>
      </w:r>
    </w:p>
    <w:p w:rsidR="000E18D7" w:rsidRDefault="000E18D7" w:rsidP="004235DB">
      <w:pPr>
        <w:keepNext/>
        <w:spacing w:after="0"/>
        <w:jc w:val="both"/>
        <w:rPr>
          <w:rFonts w:ascii="Times New Roman" w:eastAsia="Times New Roman" w:hAnsi="Times New Roman" w:cs="Times New Roman"/>
          <w:i/>
        </w:rPr>
      </w:pPr>
    </w:p>
    <w:p w:rsidR="004E2D18" w:rsidRPr="007C45F3" w:rsidRDefault="00413EA7" w:rsidP="004235DB">
      <w:pPr>
        <w:keepNext/>
        <w:spacing w:after="0"/>
        <w:jc w:val="both"/>
        <w:rPr>
          <w:rFonts w:ascii="Times New Roman" w:eastAsia="Times New Roman" w:hAnsi="Times New Roman" w:cs="Times New Roman"/>
          <w:highlight w:val="yellow"/>
        </w:rPr>
      </w:pPr>
      <w:r>
        <w:rPr>
          <w:rFonts w:ascii="Times New Roman" w:eastAsia="Times New Roman" w:hAnsi="Times New Roman" w:cs="Times New Roman"/>
          <w:i/>
        </w:rPr>
        <w:t xml:space="preserve">Acquisition of Contact and </w:t>
      </w:r>
      <w:proofErr w:type="spellStart"/>
      <w:r>
        <w:rPr>
          <w:rFonts w:ascii="Times New Roman" w:eastAsia="Times New Roman" w:hAnsi="Times New Roman" w:cs="Times New Roman"/>
          <w:i/>
        </w:rPr>
        <w:t>Rapida</w:t>
      </w:r>
      <w:proofErr w:type="spellEnd"/>
      <w:r>
        <w:rPr>
          <w:rFonts w:ascii="Times New Roman" w:eastAsia="Times New Roman" w:hAnsi="Times New Roman" w:cs="Times New Roman"/>
        </w:rPr>
        <w:t>:</w:t>
      </w:r>
      <w:r>
        <w:rPr>
          <w:rFonts w:ascii="Times New Roman" w:eastAsia="Times New Roman" w:hAnsi="Times New Roman" w:cs="Times New Roman"/>
          <w:i/>
        </w:rPr>
        <w:t xml:space="preserve"> </w:t>
      </w:r>
      <w:r>
        <w:rPr>
          <w:rFonts w:ascii="Times New Roman" w:eastAsia="Times New Roman" w:hAnsi="Times New Roman" w:cs="Times New Roman"/>
        </w:rPr>
        <w:t xml:space="preserve">as announced separately today QIWI </w:t>
      </w:r>
      <w:r>
        <w:rPr>
          <w:rFonts w:ascii="Times New Roman" w:hAnsi="Times New Roman" w:cs="Times New Roman"/>
          <w:lang w:val="en-GB"/>
        </w:rPr>
        <w:t xml:space="preserve">has entered into an agreement with </w:t>
      </w:r>
      <w:proofErr w:type="spellStart"/>
      <w:r>
        <w:rPr>
          <w:rFonts w:ascii="Times New Roman" w:hAnsi="Times New Roman" w:cs="Times New Roman"/>
          <w:lang w:val="en-GB"/>
        </w:rPr>
        <w:t>Otkritie</w:t>
      </w:r>
      <w:proofErr w:type="spellEnd"/>
      <w:r>
        <w:rPr>
          <w:rFonts w:ascii="Times New Roman" w:hAnsi="Times New Roman" w:cs="Times New Roman"/>
          <w:lang w:val="en-GB"/>
        </w:rPr>
        <w:t xml:space="preserve"> Financial Corporation to acquire 100% ownership of the Contact money transfer system and the </w:t>
      </w:r>
      <w:proofErr w:type="spellStart"/>
      <w:r>
        <w:rPr>
          <w:rFonts w:ascii="Times New Roman" w:hAnsi="Times New Roman" w:cs="Times New Roman"/>
          <w:lang w:val="en-GB"/>
        </w:rPr>
        <w:t>Rapida</w:t>
      </w:r>
      <w:proofErr w:type="spellEnd"/>
      <w:r>
        <w:rPr>
          <w:rFonts w:ascii="Times New Roman" w:hAnsi="Times New Roman" w:cs="Times New Roman"/>
          <w:lang w:val="en-GB"/>
        </w:rPr>
        <w:t xml:space="preserve"> payment processing system. Under the terms of the agreement, QIWI will issue 5,593,041 class B shares to </w:t>
      </w:r>
      <w:proofErr w:type="spellStart"/>
      <w:r>
        <w:rPr>
          <w:rFonts w:ascii="Times New Roman" w:hAnsi="Times New Roman" w:cs="Times New Roman"/>
          <w:lang w:val="en-GB"/>
        </w:rPr>
        <w:t>Otkritie</w:t>
      </w:r>
      <w:proofErr w:type="spellEnd"/>
      <w:r>
        <w:rPr>
          <w:rFonts w:ascii="Times New Roman" w:hAnsi="Times New Roman" w:cs="Times New Roman"/>
          <w:lang w:val="en-GB"/>
        </w:rPr>
        <w:t xml:space="preserve"> Financial Corporation in exchange for all of the outstanding interests in Contact and </w:t>
      </w:r>
      <w:proofErr w:type="spellStart"/>
      <w:r>
        <w:rPr>
          <w:rFonts w:ascii="Times New Roman" w:hAnsi="Times New Roman" w:cs="Times New Roman"/>
          <w:lang w:val="en-GB"/>
        </w:rPr>
        <w:t>Rapida</w:t>
      </w:r>
      <w:proofErr w:type="spellEnd"/>
      <w:r>
        <w:rPr>
          <w:rFonts w:ascii="Times New Roman" w:hAnsi="Times New Roman" w:cs="Times New Roman"/>
          <w:lang w:val="en-GB"/>
        </w:rPr>
        <w:t xml:space="preserve">. The Company expects that the acquisition of Contact and </w:t>
      </w:r>
      <w:proofErr w:type="spellStart"/>
      <w:r>
        <w:rPr>
          <w:rFonts w:ascii="Times New Roman" w:hAnsi="Times New Roman" w:cs="Times New Roman"/>
          <w:lang w:val="en-GB"/>
        </w:rPr>
        <w:t>Rapida</w:t>
      </w:r>
      <w:proofErr w:type="spellEnd"/>
      <w:r>
        <w:rPr>
          <w:rFonts w:ascii="Times New Roman" w:hAnsi="Times New Roman" w:cs="Times New Roman"/>
          <w:lang w:val="en-GB"/>
        </w:rPr>
        <w:t xml:space="preserve"> will contribute between approximately 15% and 20% in annualized terms to both QIWI’s adjusted net revenue and adjusted net profit acquisition in 2015 following closing, which is expected to occur in two </w:t>
      </w:r>
      <w:r>
        <w:rPr>
          <w:rFonts w:ascii="Times New Roman" w:hAnsi="Times New Roman" w:cs="Times New Roman"/>
        </w:rPr>
        <w:t>installments</w:t>
      </w:r>
      <w:r>
        <w:rPr>
          <w:rFonts w:ascii="Times New Roman" w:hAnsi="Times New Roman" w:cs="Times New Roman"/>
          <w:lang w:val="en-GB"/>
        </w:rPr>
        <w:t xml:space="preserve"> by mid-September 2015, and is subject to customary closing conditions, including regulatory approvals.</w:t>
      </w:r>
    </w:p>
    <w:p w:rsidR="003D3912" w:rsidRPr="007C45F3" w:rsidRDefault="003D3912" w:rsidP="004235DB">
      <w:pPr>
        <w:spacing w:after="0"/>
        <w:jc w:val="both"/>
        <w:rPr>
          <w:rFonts w:ascii="Times New Roman" w:eastAsia="Times New Roman" w:hAnsi="Times New Roman" w:cs="Times New Roman"/>
          <w:highlight w:val="yellow"/>
        </w:rPr>
      </w:pPr>
    </w:p>
    <w:p w:rsidR="003D3912" w:rsidRPr="0021609E" w:rsidRDefault="00233C6E" w:rsidP="004235DB">
      <w:pPr>
        <w:spacing w:after="0"/>
        <w:rPr>
          <w:rFonts w:ascii="Times New Roman Bold" w:eastAsia="Times New Roman Bold" w:hAnsi="Times New Roman Bold" w:cs="Times New Roman Bold"/>
          <w:b/>
        </w:rPr>
      </w:pPr>
      <w:r w:rsidRPr="0021609E">
        <w:rPr>
          <w:rFonts w:ascii="Times New Roman Bold"/>
          <w:b/>
        </w:rPr>
        <w:t>201</w:t>
      </w:r>
      <w:r w:rsidR="00CF4758" w:rsidRPr="0021609E">
        <w:rPr>
          <w:rFonts w:ascii="Times New Roman Bold"/>
          <w:b/>
        </w:rPr>
        <w:t>5</w:t>
      </w:r>
      <w:r w:rsidRPr="0021609E">
        <w:rPr>
          <w:rFonts w:ascii="Times New Roman Bold"/>
          <w:b/>
        </w:rPr>
        <w:t xml:space="preserve"> Guidance</w:t>
      </w:r>
      <w:r w:rsidR="004235DB" w:rsidRPr="0021609E">
        <w:rPr>
          <w:rStyle w:val="af"/>
          <w:rFonts w:ascii="Times New Roman Bold"/>
          <w:b/>
        </w:rPr>
        <w:footnoteReference w:id="1"/>
      </w:r>
    </w:p>
    <w:p w:rsidR="003D3912" w:rsidRPr="0021609E" w:rsidRDefault="003D3912" w:rsidP="004235DB">
      <w:pPr>
        <w:spacing w:after="0"/>
        <w:jc w:val="both"/>
        <w:rPr>
          <w:rFonts w:ascii="Times New Roman" w:eastAsia="Times New Roman" w:hAnsi="Times New Roman" w:cs="Times New Roman"/>
        </w:rPr>
      </w:pPr>
    </w:p>
    <w:p w:rsidR="003D3912" w:rsidRPr="0021609E" w:rsidRDefault="00233C6E" w:rsidP="004235DB">
      <w:pPr>
        <w:spacing w:after="0"/>
        <w:jc w:val="both"/>
        <w:rPr>
          <w:rFonts w:ascii="Times New Roman" w:eastAsia="Times New Roman" w:hAnsi="Times New Roman" w:cs="Times New Roman"/>
        </w:rPr>
      </w:pPr>
      <w:r w:rsidRPr="0021609E">
        <w:rPr>
          <w:rFonts w:ascii="Times New Roman"/>
        </w:rPr>
        <w:t xml:space="preserve">QIWI </w:t>
      </w:r>
      <w:r w:rsidR="006D58DD" w:rsidRPr="0021609E">
        <w:rPr>
          <w:rFonts w:ascii="Times New Roman"/>
        </w:rPr>
        <w:t>reiterates</w:t>
      </w:r>
      <w:r w:rsidR="00CB2EC3" w:rsidRPr="0021609E">
        <w:rPr>
          <w:rFonts w:ascii="Times New Roman"/>
        </w:rPr>
        <w:t xml:space="preserve"> its guidance in respect of </w:t>
      </w:r>
      <w:r w:rsidRPr="0021609E">
        <w:rPr>
          <w:rFonts w:ascii="Times New Roman"/>
        </w:rPr>
        <w:t>201</w:t>
      </w:r>
      <w:r w:rsidR="00CB2EC3" w:rsidRPr="0021609E">
        <w:rPr>
          <w:rFonts w:ascii="Times New Roman"/>
        </w:rPr>
        <w:t>5</w:t>
      </w:r>
      <w:r w:rsidRPr="0021609E">
        <w:rPr>
          <w:rFonts w:ascii="Times New Roman"/>
        </w:rPr>
        <w:t xml:space="preserve"> outlook:</w:t>
      </w:r>
    </w:p>
    <w:p w:rsidR="003D3912" w:rsidRPr="0021609E" w:rsidRDefault="003D3912" w:rsidP="004235DB">
      <w:pPr>
        <w:spacing w:after="0"/>
        <w:jc w:val="both"/>
        <w:rPr>
          <w:rFonts w:ascii="Times New Roman" w:eastAsia="Times New Roman" w:hAnsi="Times New Roman" w:cs="Times New Roman"/>
        </w:rPr>
      </w:pPr>
    </w:p>
    <w:p w:rsidR="003D3912" w:rsidRPr="0021609E" w:rsidRDefault="00233C6E">
      <w:pPr>
        <w:numPr>
          <w:ilvl w:val="0"/>
          <w:numId w:val="15"/>
        </w:numPr>
        <w:tabs>
          <w:tab w:val="num" w:pos="720"/>
        </w:tabs>
        <w:spacing w:after="0"/>
        <w:ind w:left="720" w:hanging="360"/>
        <w:jc w:val="both"/>
        <w:rPr>
          <w:rFonts w:ascii="Times New Roman" w:eastAsia="Times New Roman" w:hAnsi="Times New Roman" w:cs="Times New Roman"/>
        </w:rPr>
      </w:pPr>
      <w:r w:rsidRPr="0021609E">
        <w:rPr>
          <w:rFonts w:ascii="Times New Roman"/>
        </w:rPr>
        <w:t xml:space="preserve">Total Adjusted Net Revenue is expected to increase by </w:t>
      </w:r>
      <w:r w:rsidR="006D0F79" w:rsidRPr="0021609E">
        <w:rPr>
          <w:rFonts w:ascii="Times New Roman"/>
        </w:rPr>
        <w:t>12</w:t>
      </w:r>
      <w:r w:rsidRPr="0021609E">
        <w:rPr>
          <w:rFonts w:ascii="Times New Roman"/>
        </w:rPr>
        <w:t xml:space="preserve">% to </w:t>
      </w:r>
      <w:r w:rsidR="006D0F79" w:rsidRPr="0021609E">
        <w:rPr>
          <w:rFonts w:ascii="Times New Roman"/>
        </w:rPr>
        <w:t>16</w:t>
      </w:r>
      <w:r w:rsidRPr="0021609E">
        <w:rPr>
          <w:rFonts w:ascii="Times New Roman"/>
        </w:rPr>
        <w:t>% over 201</w:t>
      </w:r>
      <w:r w:rsidR="00CB2EC3" w:rsidRPr="0021609E">
        <w:rPr>
          <w:rFonts w:ascii="Times New Roman"/>
        </w:rPr>
        <w:t>4</w:t>
      </w:r>
    </w:p>
    <w:p w:rsidR="003D3912" w:rsidRPr="0021609E" w:rsidRDefault="00233C6E">
      <w:pPr>
        <w:numPr>
          <w:ilvl w:val="0"/>
          <w:numId w:val="18"/>
        </w:numPr>
        <w:tabs>
          <w:tab w:val="num" w:pos="720"/>
        </w:tabs>
        <w:spacing w:after="0"/>
        <w:ind w:left="720" w:hanging="360"/>
        <w:jc w:val="both"/>
        <w:rPr>
          <w:rFonts w:ascii="Times New Roman" w:eastAsia="Times New Roman" w:hAnsi="Times New Roman" w:cs="Times New Roman"/>
        </w:rPr>
      </w:pPr>
      <w:r w:rsidRPr="0021609E">
        <w:rPr>
          <w:rFonts w:ascii="Times New Roman"/>
        </w:rPr>
        <w:t xml:space="preserve">Adjusted Net Profit is expected to increase by </w:t>
      </w:r>
      <w:r w:rsidR="00E27EAB" w:rsidRPr="0021609E">
        <w:rPr>
          <w:rFonts w:ascii="Times New Roman"/>
        </w:rPr>
        <w:t>12</w:t>
      </w:r>
      <w:r w:rsidRPr="0021609E">
        <w:rPr>
          <w:rFonts w:ascii="Times New Roman"/>
        </w:rPr>
        <w:t xml:space="preserve">% to </w:t>
      </w:r>
      <w:r w:rsidR="00E27EAB" w:rsidRPr="0021609E">
        <w:rPr>
          <w:rFonts w:ascii="Times New Roman"/>
        </w:rPr>
        <w:t>16</w:t>
      </w:r>
      <w:r w:rsidRPr="0021609E">
        <w:rPr>
          <w:rFonts w:ascii="Times New Roman"/>
        </w:rPr>
        <w:t>% over 201</w:t>
      </w:r>
      <w:r w:rsidR="00CB2EC3" w:rsidRPr="0021609E">
        <w:rPr>
          <w:rFonts w:ascii="Times New Roman"/>
        </w:rPr>
        <w:t>4</w:t>
      </w:r>
    </w:p>
    <w:p w:rsidR="003D3912" w:rsidRDefault="003D3912">
      <w:pPr>
        <w:spacing w:after="0"/>
        <w:jc w:val="both"/>
        <w:rPr>
          <w:rFonts w:ascii="Times New Roman" w:eastAsia="Times New Roman" w:hAnsi="Times New Roman" w:cs="Times New Roman"/>
        </w:rPr>
      </w:pPr>
    </w:p>
    <w:p w:rsidR="003D3912" w:rsidRDefault="00233C6E">
      <w:pPr>
        <w:rPr>
          <w:rFonts w:ascii="Times New Roman" w:eastAsia="Times New Roman" w:hAnsi="Times New Roman" w:cs="Times New Roman"/>
        </w:rPr>
      </w:pPr>
      <w:r w:rsidRPr="00CF24B5">
        <w:rPr>
          <w:rFonts w:ascii="Times New Roman"/>
        </w:rPr>
        <w:t>We have</w:t>
      </w:r>
      <w:r w:rsidR="004E2D18" w:rsidRPr="00CF24B5">
        <w:rPr>
          <w:rFonts w:ascii="Times New Roman"/>
        </w:rPr>
        <w:t xml:space="preserve"> started to note </w:t>
      </w:r>
      <w:r w:rsidRPr="00CF24B5">
        <w:rPr>
          <w:rFonts w:ascii="Times New Roman"/>
        </w:rPr>
        <w:t xml:space="preserve">the effects of the macroeconomic slowdown in Russia in </w:t>
      </w:r>
      <w:r w:rsidR="00CF4758" w:rsidRPr="00CF24B5">
        <w:rPr>
          <w:rFonts w:ascii="Times New Roman"/>
        </w:rPr>
        <w:t xml:space="preserve">the second half of 2014 </w:t>
      </w:r>
      <w:r w:rsidRPr="00CF24B5">
        <w:rPr>
          <w:rFonts w:ascii="Times New Roman"/>
        </w:rPr>
        <w:t>and especially in Q</w:t>
      </w:r>
      <w:r w:rsidR="00CF4758" w:rsidRPr="00CF24B5">
        <w:rPr>
          <w:rFonts w:ascii="Times New Roman"/>
        </w:rPr>
        <w:t>4</w:t>
      </w:r>
      <w:r w:rsidRPr="00CF24B5">
        <w:rPr>
          <w:rFonts w:ascii="Times New Roman"/>
        </w:rPr>
        <w:t xml:space="preserve">, which we believe can be long lasting and could have a significant negative effect on </w:t>
      </w:r>
      <w:r w:rsidR="00CF4758" w:rsidRPr="00CF24B5">
        <w:rPr>
          <w:rFonts w:ascii="Times New Roman"/>
        </w:rPr>
        <w:t xml:space="preserve">both </w:t>
      </w:r>
      <w:r w:rsidRPr="00CF24B5">
        <w:rPr>
          <w:rFonts w:ascii="Times New Roman"/>
        </w:rPr>
        <w:t>consumer spending</w:t>
      </w:r>
      <w:r w:rsidR="00CF4758" w:rsidRPr="00CF24B5">
        <w:rPr>
          <w:rFonts w:ascii="Times New Roman"/>
        </w:rPr>
        <w:t xml:space="preserve"> and the banking system</w:t>
      </w:r>
      <w:r w:rsidRPr="00CF24B5">
        <w:rPr>
          <w:rFonts w:ascii="Times New Roman"/>
        </w:rPr>
        <w:t xml:space="preserve"> in Russia and, accordingly, on our business</w:t>
      </w:r>
      <w:r w:rsidR="00CB2EC3" w:rsidRPr="00CF24B5">
        <w:rPr>
          <w:rFonts w:ascii="Times New Roman"/>
        </w:rPr>
        <w:t xml:space="preserve"> in the future</w:t>
      </w:r>
      <w:r w:rsidRPr="00CF24B5">
        <w:rPr>
          <w:rFonts w:ascii="Times New Roman"/>
        </w:rPr>
        <w:t>. The extent of the slowdown, and if that were to result in a full scale banking crisis, is yet to be assessed. We, therefore, do not currently have enough visibility on our Total Adjusted Net Revenue and Adjusted Net Profit in</w:t>
      </w:r>
      <w:r w:rsidR="00A5672D" w:rsidRPr="00CF24B5">
        <w:rPr>
          <w:rFonts w:ascii="Times New Roman"/>
        </w:rPr>
        <w:t xml:space="preserve"> </w:t>
      </w:r>
      <w:r w:rsidRPr="00CF24B5">
        <w:rPr>
          <w:rFonts w:ascii="Times New Roman"/>
        </w:rPr>
        <w:t xml:space="preserve">2015. We </w:t>
      </w:r>
      <w:r w:rsidR="00CF24B5">
        <w:rPr>
          <w:rFonts w:ascii="Times New Roman"/>
        </w:rPr>
        <w:t>reiterate</w:t>
      </w:r>
      <w:r w:rsidRPr="00CF24B5">
        <w:rPr>
          <w:rFonts w:ascii="Times New Roman"/>
        </w:rPr>
        <w:t xml:space="preserve"> the 201</w:t>
      </w:r>
      <w:r w:rsidR="00CF4758" w:rsidRPr="00CF24B5">
        <w:rPr>
          <w:rFonts w:ascii="Times New Roman"/>
        </w:rPr>
        <w:t>5</w:t>
      </w:r>
      <w:r w:rsidRPr="00CF24B5">
        <w:rPr>
          <w:rFonts w:ascii="Times New Roman"/>
        </w:rPr>
        <w:t xml:space="preserve"> guidance</w:t>
      </w:r>
      <w:r w:rsidR="00485092" w:rsidRPr="00CF24B5">
        <w:rPr>
          <w:rFonts w:ascii="Times New Roman"/>
        </w:rPr>
        <w:t xml:space="preserve"> based on our current understanding of the macroeconomic situation, which is subject to change</w:t>
      </w:r>
      <w:r w:rsidRPr="00CF24B5">
        <w:rPr>
          <w:rFonts w:ascii="Times New Roman"/>
        </w:rPr>
        <w:t xml:space="preserve">. We reserve the right to revisit our </w:t>
      </w:r>
      <w:r w:rsidR="00A5672D" w:rsidRPr="00CF24B5">
        <w:rPr>
          <w:rFonts w:ascii="Times New Roman"/>
        </w:rPr>
        <w:t xml:space="preserve">2015 </w:t>
      </w:r>
      <w:r w:rsidRPr="00CF24B5">
        <w:rPr>
          <w:rFonts w:ascii="Times New Roman"/>
        </w:rPr>
        <w:t xml:space="preserve">guidance in case we see the situation changing </w:t>
      </w:r>
      <w:r w:rsidR="00A5672D" w:rsidRPr="00CF24B5">
        <w:rPr>
          <w:rFonts w:ascii="Times New Roman"/>
        </w:rPr>
        <w:t>throughout the year</w:t>
      </w:r>
      <w:r w:rsidRPr="00CF24B5">
        <w:rPr>
          <w:rFonts w:ascii="Times New Roman"/>
        </w:rPr>
        <w:t>.</w:t>
      </w:r>
      <w:r w:rsidR="00675668" w:rsidRPr="00CF24B5">
        <w:rPr>
          <w:rFonts w:ascii="Times New Roman"/>
        </w:rPr>
        <w:t xml:space="preserve"> Expected growth of Adjusted Net Profit equals to the expected growth of Adjusted Net Revenue as a consequence of our desire and commitment to invest into new products and </w:t>
      </w:r>
      <w:r w:rsidR="004E2D18" w:rsidRPr="00CF24B5">
        <w:rPr>
          <w:rFonts w:ascii="Times New Roman"/>
        </w:rPr>
        <w:t xml:space="preserve">gain </w:t>
      </w:r>
      <w:r w:rsidR="00675668" w:rsidRPr="00CF24B5">
        <w:rPr>
          <w:rFonts w:ascii="Times New Roman"/>
        </w:rPr>
        <w:t>market share in 2015.</w:t>
      </w:r>
    </w:p>
    <w:p w:rsidR="00DE2AAC" w:rsidRDefault="00DE2AAC">
      <w:pPr>
        <w:spacing w:after="0"/>
        <w:jc w:val="both"/>
        <w:rPr>
          <w:rFonts w:ascii="Times New Roman" w:eastAsia="Times New Roman" w:hAnsi="Times New Roman" w:cs="Times New Roman"/>
        </w:rPr>
      </w:pPr>
    </w:p>
    <w:p w:rsidR="003D3912" w:rsidRPr="004C2998" w:rsidRDefault="00233C6E">
      <w:pPr>
        <w:keepNext/>
        <w:spacing w:after="0"/>
        <w:rPr>
          <w:rFonts w:ascii="Times New Roman Bold" w:eastAsia="Times New Roman Bold" w:hAnsi="Times New Roman Bold" w:cs="Times New Roman Bold"/>
          <w:b/>
        </w:rPr>
      </w:pPr>
      <w:r w:rsidRPr="004C2998">
        <w:rPr>
          <w:rFonts w:ascii="Times New Roman Bold"/>
          <w:b/>
        </w:rPr>
        <w:t>Earnings Conference Call and Audio Webcast</w:t>
      </w:r>
    </w:p>
    <w:p w:rsidR="003D3912" w:rsidRDefault="003D3912">
      <w:pPr>
        <w:keepNext/>
        <w:spacing w:after="0"/>
        <w:rPr>
          <w:rFonts w:ascii="Times New Roman Bold" w:eastAsia="Times New Roman Bold" w:hAnsi="Times New Roman Bold" w:cs="Times New Roman Bold"/>
          <w:u w:val="single"/>
        </w:rPr>
      </w:pPr>
    </w:p>
    <w:p w:rsidR="003D3912" w:rsidRDefault="00233C6E">
      <w:pPr>
        <w:keepNext/>
        <w:spacing w:after="0"/>
        <w:jc w:val="both"/>
        <w:rPr>
          <w:rFonts w:ascii="Times New Roman" w:eastAsia="Times New Roman" w:hAnsi="Times New Roman" w:cs="Times New Roman"/>
        </w:rPr>
      </w:pPr>
      <w:r>
        <w:rPr>
          <w:rFonts w:ascii="Times New Roman"/>
        </w:rPr>
        <w:t xml:space="preserve">QIWI will host a conference call to discuss </w:t>
      </w:r>
      <w:r w:rsidR="0067127E">
        <w:rPr>
          <w:rFonts w:ascii="Times New Roman"/>
        </w:rPr>
        <w:t>first-</w:t>
      </w:r>
      <w:r>
        <w:rPr>
          <w:rFonts w:ascii="Times New Roman"/>
        </w:rPr>
        <w:t>quarter</w:t>
      </w:r>
      <w:r w:rsidR="0067127E">
        <w:rPr>
          <w:rFonts w:ascii="Times New Roman"/>
        </w:rPr>
        <w:t xml:space="preserve"> 2015</w:t>
      </w:r>
      <w:r>
        <w:rPr>
          <w:rFonts w:ascii="Times New Roman"/>
        </w:rPr>
        <w:t xml:space="preserve"> financial results today at 8:30 a.m. ET. Hosting the call will be Sergey </w:t>
      </w:r>
      <w:proofErr w:type="spellStart"/>
      <w:r>
        <w:rPr>
          <w:rFonts w:ascii="Times New Roman"/>
        </w:rPr>
        <w:t>Solonin</w:t>
      </w:r>
      <w:proofErr w:type="spellEnd"/>
      <w:r>
        <w:rPr>
          <w:rFonts w:ascii="Times New Roman"/>
        </w:rPr>
        <w:t xml:space="preserve">, chief executive officer, and Alexander Karavaev, chief financial officer. The conference call can be accessed live over the phone by dialing +1 (877) 407-3982 or for international callers by dialing +1 (201) 493-6780. A replay will be available at 11:30 a.m. ET and can be accessed by dialing +1 (877) 870-5176 or +1 (858) 384-5517 for international callers; the pin number is </w:t>
      </w:r>
      <w:r w:rsidR="00750104" w:rsidRPr="00750104">
        <w:rPr>
          <w:rFonts w:ascii="Times New Roman"/>
        </w:rPr>
        <w:t>13608949</w:t>
      </w:r>
      <w:r>
        <w:rPr>
          <w:rFonts w:ascii="Times New Roman"/>
        </w:rPr>
        <w:t>. The replay will be available until T</w:t>
      </w:r>
      <w:r w:rsidR="0067127E">
        <w:rPr>
          <w:rFonts w:ascii="Times New Roman"/>
        </w:rPr>
        <w:t>hursday, May 21</w:t>
      </w:r>
      <w:r w:rsidR="00CF4758">
        <w:rPr>
          <w:rFonts w:ascii="Times New Roman"/>
        </w:rPr>
        <w:t>, 2015</w:t>
      </w:r>
      <w:r>
        <w:rPr>
          <w:rFonts w:ascii="Times New Roman"/>
        </w:rPr>
        <w:t>. The call will be webcast live from the Company</w:t>
      </w:r>
      <w:r>
        <w:rPr>
          <w:rFonts w:hAnsi="Times New Roman"/>
        </w:rPr>
        <w:t>’</w:t>
      </w:r>
      <w:r>
        <w:rPr>
          <w:rFonts w:ascii="Times New Roman"/>
        </w:rPr>
        <w:t>s website at https://www.qiwi.ru under the Corporate Investor Relations section or directly at http://investor.qiwi.com/.</w:t>
      </w:r>
    </w:p>
    <w:p w:rsidR="003D3912" w:rsidRDefault="003D3912">
      <w:pPr>
        <w:spacing w:after="0"/>
        <w:jc w:val="both"/>
        <w:rPr>
          <w:rFonts w:ascii="Times New Roman Bold" w:eastAsia="Times New Roman Bold" w:hAnsi="Times New Roman Bold" w:cs="Times New Roman Bold"/>
          <w:u w:val="single"/>
        </w:rPr>
      </w:pPr>
    </w:p>
    <w:p w:rsidR="004235DB" w:rsidRDefault="004235DB">
      <w:pPr>
        <w:spacing w:after="0" w:line="240" w:lineRule="auto"/>
        <w:rPr>
          <w:rFonts w:ascii="Times New Roman Bold"/>
          <w:b/>
        </w:rPr>
      </w:pPr>
      <w:r>
        <w:rPr>
          <w:rFonts w:ascii="Times New Roman Bold"/>
          <w:b/>
        </w:rPr>
        <w:br w:type="page"/>
      </w:r>
    </w:p>
    <w:p w:rsidR="003D3912" w:rsidRPr="004C2998" w:rsidRDefault="00233C6E" w:rsidP="004235DB">
      <w:pPr>
        <w:keepNext/>
        <w:spacing w:after="0"/>
        <w:jc w:val="both"/>
        <w:rPr>
          <w:rFonts w:ascii="Times New Roman Bold" w:eastAsia="Times New Roman Bold" w:hAnsi="Times New Roman Bold" w:cs="Times New Roman Bold"/>
          <w:b/>
        </w:rPr>
      </w:pPr>
      <w:proofErr w:type="gramStart"/>
      <w:r w:rsidRPr="004C2998">
        <w:rPr>
          <w:rFonts w:ascii="Times New Roman Bold"/>
          <w:b/>
        </w:rPr>
        <w:t>About QIWI plc.</w:t>
      </w:r>
      <w:proofErr w:type="gramEnd"/>
    </w:p>
    <w:p w:rsidR="003D3912" w:rsidRDefault="003D3912" w:rsidP="004235DB">
      <w:pPr>
        <w:keepNext/>
        <w:spacing w:after="0"/>
        <w:jc w:val="both"/>
        <w:rPr>
          <w:rFonts w:ascii="Times New Roman Bold" w:eastAsia="Times New Roman Bold" w:hAnsi="Times New Roman Bold" w:cs="Times New Roman Bold"/>
          <w:u w:val="single"/>
        </w:rPr>
      </w:pPr>
    </w:p>
    <w:p w:rsidR="003D3912" w:rsidRDefault="00233C6E" w:rsidP="004235DB">
      <w:pPr>
        <w:keepNext/>
        <w:spacing w:after="0"/>
        <w:jc w:val="both"/>
        <w:rPr>
          <w:rFonts w:ascii="Times New Roman" w:eastAsia="Times New Roman" w:hAnsi="Times New Roman" w:cs="Times New Roman"/>
        </w:rPr>
      </w:pPr>
      <w:r>
        <w:rPr>
          <w:rFonts w:ascii="Times New Roman"/>
        </w:rPr>
        <w:t>QIWI is a leading provider of next generation payment services in Russia and the CIS. It has an integrated proprietary network that enables payment services across physical, online and mobile channels. It has deployed over 1</w:t>
      </w:r>
      <w:r w:rsidR="00CF4758">
        <w:rPr>
          <w:rFonts w:ascii="Times New Roman"/>
        </w:rPr>
        <w:t>7</w:t>
      </w:r>
      <w:r>
        <w:rPr>
          <w:rFonts w:ascii="Times New Roman"/>
        </w:rPr>
        <w:t>.</w:t>
      </w:r>
      <w:r w:rsidR="007E3AE6">
        <w:rPr>
          <w:rFonts w:ascii="Times New Roman"/>
        </w:rPr>
        <w:t>3</w:t>
      </w:r>
      <w:r>
        <w:rPr>
          <w:rFonts w:ascii="Times New Roman"/>
        </w:rPr>
        <w:t xml:space="preserve"> million virtual wallets, over 1</w:t>
      </w:r>
      <w:r w:rsidR="007E3AE6">
        <w:rPr>
          <w:rFonts w:ascii="Times New Roman"/>
        </w:rPr>
        <w:t>77</w:t>
      </w:r>
      <w:r>
        <w:rPr>
          <w:rFonts w:ascii="Times New Roman"/>
        </w:rPr>
        <w:t>,000 kiosks and terminals, and enabled merchants to accept over RUB 50 billion cash and electronic payments monthly from over 70 million consumers using its network at least once a month. QIWI</w:t>
      </w:r>
      <w:r>
        <w:rPr>
          <w:rFonts w:hAnsi="Times New Roman"/>
        </w:rPr>
        <w:t>’</w:t>
      </w:r>
      <w:r>
        <w:rPr>
          <w:rFonts w:ascii="Times New Roman"/>
        </w:rPr>
        <w:t>s consumers can use cash, stored value and other electronic payment methods to order and pay for goods and services across physical or online environments interchangeably.</w:t>
      </w:r>
    </w:p>
    <w:p w:rsidR="003D3912" w:rsidRDefault="003D3912">
      <w:pPr>
        <w:spacing w:after="0"/>
        <w:jc w:val="both"/>
        <w:rPr>
          <w:rFonts w:ascii="Times New Roman Bold" w:eastAsia="Times New Roman Bold" w:hAnsi="Times New Roman Bold" w:cs="Times New Roman Bold"/>
        </w:rPr>
      </w:pPr>
    </w:p>
    <w:p w:rsidR="003D3912" w:rsidRDefault="00233C6E">
      <w:pPr>
        <w:spacing w:after="0"/>
        <w:jc w:val="both"/>
      </w:pPr>
      <w:r>
        <w:rPr>
          <w:rFonts w:ascii="Times New Roman Bold" w:eastAsia="Times New Roman Bold" w:hAnsi="Times New Roman Bold" w:cs="Times New Roman Bold"/>
        </w:rPr>
        <w:br w:type="page"/>
      </w:r>
    </w:p>
    <w:p w:rsidR="003D3912" w:rsidRDefault="003D3912">
      <w:pPr>
        <w:spacing w:after="0"/>
        <w:jc w:val="both"/>
        <w:rPr>
          <w:rFonts w:ascii="Times New Roman Bold" w:eastAsia="Times New Roman Bold" w:hAnsi="Times New Roman Bold" w:cs="Times New Roman Bold"/>
        </w:rPr>
      </w:pPr>
    </w:p>
    <w:p w:rsidR="003D3912" w:rsidRPr="004C2998" w:rsidRDefault="00233C6E">
      <w:pPr>
        <w:spacing w:after="0"/>
        <w:jc w:val="both"/>
        <w:rPr>
          <w:rFonts w:ascii="Times New Roman" w:eastAsia="Times New Roman" w:hAnsi="Times New Roman" w:cs="Times New Roman"/>
          <w:b/>
        </w:rPr>
      </w:pPr>
      <w:r w:rsidRPr="004C2998">
        <w:rPr>
          <w:rFonts w:ascii="Times New Roman Bold"/>
          <w:b/>
        </w:rPr>
        <w:t xml:space="preserve">Forward-Looking Statements </w:t>
      </w:r>
    </w:p>
    <w:p w:rsidR="003D3912" w:rsidRDefault="003D3912">
      <w:pPr>
        <w:spacing w:after="0"/>
        <w:jc w:val="both"/>
        <w:rPr>
          <w:rFonts w:ascii="Times New Roman" w:eastAsia="Times New Roman" w:hAnsi="Times New Roman" w:cs="Times New Roman"/>
          <w:u w:val="single"/>
        </w:rPr>
      </w:pPr>
    </w:p>
    <w:p w:rsidR="003D3912" w:rsidRDefault="00413EA7">
      <w:pPr>
        <w:spacing w:after="0"/>
        <w:jc w:val="both"/>
        <w:rPr>
          <w:rFonts w:ascii="Times New Roman" w:eastAsia="Times New Roman" w:hAnsi="Times New Roman" w:cs="Times New Roman"/>
        </w:rPr>
      </w:pPr>
      <w:r>
        <w:rPr>
          <w:rFonts w:ascii="Times New Roman"/>
        </w:rPr>
        <w:t xml:space="preserve">This press release includes </w:t>
      </w:r>
      <w:r>
        <w:rPr>
          <w:rFonts w:hAnsi="Times New Roman"/>
        </w:rPr>
        <w:t>“</w:t>
      </w:r>
      <w:r>
        <w:rPr>
          <w:rFonts w:ascii="Times New Roman"/>
        </w:rPr>
        <w:t>forward-looking statements</w:t>
      </w:r>
      <w:r>
        <w:rPr>
          <w:rFonts w:hAnsi="Times New Roman"/>
        </w:rPr>
        <w:t>”</w:t>
      </w:r>
      <w:r>
        <w:rPr>
          <w:rFonts w:ascii="Trebuchet MS"/>
        </w:rPr>
        <w:t xml:space="preserve"> </w:t>
      </w:r>
      <w:r>
        <w:rPr>
          <w:rFonts w:ascii="Times New Roman"/>
        </w:rPr>
        <w:t xml:space="preserve">within the meaning of, and subject to the protection of, the Private Securities Litigation Reform Act of 1995, including, without limitation, statements regarding the closing and expected benefits from the acquisition of Contact and </w:t>
      </w:r>
      <w:proofErr w:type="spellStart"/>
      <w:r>
        <w:rPr>
          <w:rFonts w:ascii="Times New Roman"/>
        </w:rPr>
        <w:t>Rapida</w:t>
      </w:r>
      <w:proofErr w:type="spellEnd"/>
      <w:r>
        <w:rPr>
          <w:rFonts w:ascii="Times New Roman"/>
        </w:rPr>
        <w:t xml:space="preserve">, expected total adjusted net revenue, adjusted net profit and net revenue yield, dividend payments, payment volume growth, and growth of physical and virtual distribution channels. Such forward-looking statements involve known and unknown risks, uncertainties, and other factors that may cause the actual results, performance or achievements of QIWI plc. </w:t>
      </w:r>
      <w:proofErr w:type="gramStart"/>
      <w:r>
        <w:rPr>
          <w:rFonts w:ascii="Times New Roman"/>
        </w:rPr>
        <w:t>to</w:t>
      </w:r>
      <w:proofErr w:type="gramEnd"/>
      <w:r>
        <w:rPr>
          <w:rFonts w:ascii="Times New Roman"/>
        </w:rPr>
        <w:t xml:space="preserve"> be materially different from future results, performance or achievements expressed or implied by such forward-looking statements. Various factors that could cause actual future results and other future events to differ materially from those estimated by management include, but are not limited to, </w:t>
      </w:r>
      <w:r>
        <w:rPr>
          <w:rFonts w:ascii="Times New Roman" w:eastAsia="Times New Roman" w:hAnsi="Times New Roman" w:cs="Times New Roman"/>
          <w:lang w:val="en-GB"/>
        </w:rPr>
        <w:t xml:space="preserve">the failure to obtain necessary regulatory approvals for the acquisition of Contact and </w:t>
      </w:r>
      <w:proofErr w:type="spellStart"/>
      <w:r>
        <w:rPr>
          <w:rFonts w:ascii="Times New Roman" w:eastAsia="Times New Roman" w:hAnsi="Times New Roman" w:cs="Times New Roman"/>
          <w:lang w:val="en-GB"/>
        </w:rPr>
        <w:t>Rapida</w:t>
      </w:r>
      <w:proofErr w:type="spellEnd"/>
      <w:r>
        <w:rPr>
          <w:rFonts w:ascii="Times New Roman" w:eastAsia="Times New Roman" w:hAnsi="Times New Roman" w:cs="Times New Roman"/>
          <w:lang w:val="en-GB"/>
        </w:rPr>
        <w:t xml:space="preserve">, the satisfaction of other conditions to the closing of the acquisition of Contact and </w:t>
      </w:r>
      <w:proofErr w:type="spellStart"/>
      <w:r>
        <w:rPr>
          <w:rFonts w:ascii="Times New Roman" w:eastAsia="Times New Roman" w:hAnsi="Times New Roman" w:cs="Times New Roman"/>
          <w:lang w:val="en-GB"/>
        </w:rPr>
        <w:t>Rapida</w:t>
      </w:r>
      <w:proofErr w:type="spellEnd"/>
      <w:r>
        <w:rPr>
          <w:rFonts w:ascii="Times New Roman" w:eastAsia="Times New Roman" w:hAnsi="Times New Roman" w:cs="Times New Roman"/>
          <w:lang w:val="en-GB"/>
        </w:rPr>
        <w:t xml:space="preserve">, the possibility that the length of time necessary to consummate the acquisition of Contact and </w:t>
      </w:r>
      <w:proofErr w:type="spellStart"/>
      <w:r>
        <w:rPr>
          <w:rFonts w:ascii="Times New Roman" w:eastAsia="Times New Roman" w:hAnsi="Times New Roman" w:cs="Times New Roman"/>
          <w:lang w:val="en-GB"/>
        </w:rPr>
        <w:t>Rapida</w:t>
      </w:r>
      <w:proofErr w:type="spellEnd"/>
      <w:r>
        <w:rPr>
          <w:rFonts w:ascii="Times New Roman" w:eastAsia="Times New Roman" w:hAnsi="Times New Roman" w:cs="Times New Roman"/>
          <w:lang w:val="en-GB"/>
        </w:rPr>
        <w:t xml:space="preserve"> may be longer than anticipated, the achievement of the expected benefits of the acquisition of Contact and </w:t>
      </w:r>
      <w:proofErr w:type="spellStart"/>
      <w:r>
        <w:rPr>
          <w:rFonts w:ascii="Times New Roman" w:eastAsia="Times New Roman" w:hAnsi="Times New Roman" w:cs="Times New Roman"/>
          <w:lang w:val="en-GB"/>
        </w:rPr>
        <w:t>Rapida</w:t>
      </w:r>
      <w:proofErr w:type="spellEnd"/>
      <w:r>
        <w:rPr>
          <w:rFonts w:ascii="Times New Roman" w:eastAsia="Times New Roman" w:hAnsi="Times New Roman" w:cs="Times New Roman"/>
          <w:lang w:val="en-GB"/>
        </w:rPr>
        <w:t xml:space="preserve">, risks associated with integrating the businesses of QIWI, Contact and </w:t>
      </w:r>
      <w:proofErr w:type="spellStart"/>
      <w:r>
        <w:rPr>
          <w:rFonts w:ascii="Times New Roman" w:eastAsia="Times New Roman" w:hAnsi="Times New Roman" w:cs="Times New Roman"/>
          <w:lang w:val="en-GB"/>
        </w:rPr>
        <w:t>Rapida</w:t>
      </w:r>
      <w:proofErr w:type="spellEnd"/>
      <w:r>
        <w:rPr>
          <w:rFonts w:ascii="Times New Roman" w:eastAsia="Times New Roman" w:hAnsi="Times New Roman" w:cs="Times New Roman"/>
          <w:lang w:val="en-GB"/>
        </w:rPr>
        <w:t xml:space="preserve">, </w:t>
      </w:r>
      <w:r>
        <w:rPr>
          <w:rFonts w:ascii="Times New Roman"/>
        </w:rPr>
        <w:t>competition, a decline in average net revenue yield, fees levied on QIWI</w:t>
      </w:r>
      <w:r>
        <w:rPr>
          <w:rFonts w:hAnsi="Times New Roman"/>
        </w:rPr>
        <w:t>’</w:t>
      </w:r>
      <w:r>
        <w:rPr>
          <w:rFonts w:ascii="Times New Roman"/>
        </w:rPr>
        <w:t>s consumers, regulation, QIWI</w:t>
      </w:r>
      <w:r>
        <w:rPr>
          <w:rFonts w:hAnsi="Times New Roman"/>
        </w:rPr>
        <w:t>’</w:t>
      </w:r>
      <w:r>
        <w:rPr>
          <w:rFonts w:ascii="Times New Roman"/>
        </w:rPr>
        <w:t>s ability to grow physical and virtual distribution channels, QIWI</w:t>
      </w:r>
      <w:r>
        <w:rPr>
          <w:rFonts w:hAnsi="Times New Roman"/>
        </w:rPr>
        <w:t>’</w:t>
      </w:r>
      <w:r>
        <w:rPr>
          <w:rFonts w:ascii="Times New Roman"/>
        </w:rPr>
        <w:t xml:space="preserve">s ability to expand geographically and other risks identified under the Caption </w:t>
      </w:r>
      <w:r>
        <w:rPr>
          <w:rFonts w:hAnsi="Times New Roman"/>
        </w:rPr>
        <w:t>“</w:t>
      </w:r>
      <w:r>
        <w:rPr>
          <w:rFonts w:ascii="Times New Roman"/>
        </w:rPr>
        <w:t>Risk Factors</w:t>
      </w:r>
      <w:r>
        <w:rPr>
          <w:rFonts w:hAnsi="Times New Roman"/>
        </w:rPr>
        <w:t>”</w:t>
      </w:r>
      <w:r>
        <w:rPr>
          <w:rFonts w:ascii="Trebuchet MS"/>
        </w:rPr>
        <w:t xml:space="preserve"> </w:t>
      </w:r>
      <w:r>
        <w:rPr>
          <w:rFonts w:ascii="Times New Roman"/>
        </w:rPr>
        <w:t>in QIWI</w:t>
      </w:r>
      <w:r>
        <w:rPr>
          <w:rFonts w:hAnsi="Times New Roman"/>
        </w:rPr>
        <w:t>’</w:t>
      </w:r>
      <w:r>
        <w:rPr>
          <w:rFonts w:ascii="Times New Roman"/>
        </w:rPr>
        <w:t>s Annual Report on Form 20-F and in other reports QIWI files with the U.S. Securities and Exchange Commission. QIWI undertakes no obligation to revise any forward-looking statements or to report future events that may affect such forward-looking statements unless QIWI is required to do so by law.</w:t>
      </w:r>
    </w:p>
    <w:p w:rsidR="003D3912" w:rsidRPr="003D7326" w:rsidRDefault="003D3912">
      <w:pPr>
        <w:spacing w:after="0"/>
        <w:jc w:val="both"/>
        <w:rPr>
          <w:rFonts w:ascii="Times New Roman" w:eastAsia="Times New Roman" w:hAnsi="Times New Roman" w:cs="Times New Roman"/>
        </w:rPr>
      </w:pPr>
    </w:p>
    <w:p w:rsidR="004C2998" w:rsidRPr="003D7326" w:rsidRDefault="004C2998">
      <w:pPr>
        <w:spacing w:after="0"/>
        <w:jc w:val="both"/>
        <w:rPr>
          <w:rFonts w:ascii="Times New Roman" w:eastAsia="Times New Roman" w:hAnsi="Times New Roman" w:cs="Times New Roman"/>
        </w:rPr>
      </w:pPr>
    </w:p>
    <w:p w:rsidR="003D3912" w:rsidRPr="004C2998" w:rsidRDefault="00233C6E">
      <w:pPr>
        <w:spacing w:after="0"/>
        <w:rPr>
          <w:rFonts w:ascii="Times New Roman Bold" w:eastAsia="Times New Roman Bold" w:hAnsi="Times New Roman Bold" w:cs="Times New Roman Bold"/>
          <w:b/>
        </w:rPr>
      </w:pPr>
      <w:r w:rsidRPr="004C2998">
        <w:rPr>
          <w:rFonts w:ascii="Times New Roman Bold"/>
          <w:b/>
        </w:rPr>
        <w:t>Contact</w:t>
      </w:r>
    </w:p>
    <w:p w:rsidR="003D3912" w:rsidRPr="004C2998" w:rsidRDefault="003D3912">
      <w:pPr>
        <w:spacing w:after="0"/>
        <w:rPr>
          <w:rFonts w:ascii="Times New Roman" w:eastAsia="Times New Roman" w:hAnsi="Times New Roman" w:cs="Times New Roman"/>
          <w:b/>
        </w:rPr>
      </w:pPr>
    </w:p>
    <w:tbl>
      <w:tblPr>
        <w:tblStyle w:val="TableNormal1"/>
        <w:tblW w:w="12945"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4003"/>
        <w:gridCol w:w="2735"/>
        <w:gridCol w:w="6207"/>
      </w:tblGrid>
      <w:tr w:rsidR="00037864" w:rsidTr="00CF24B5">
        <w:trPr>
          <w:trHeight w:val="1604"/>
        </w:trPr>
        <w:tc>
          <w:tcPr>
            <w:tcW w:w="4003" w:type="dxa"/>
            <w:tcBorders>
              <w:top w:val="nil"/>
              <w:left w:val="nil"/>
              <w:bottom w:val="nil"/>
              <w:right w:val="nil"/>
            </w:tcBorders>
          </w:tcPr>
          <w:p w:rsidR="00037864" w:rsidRDefault="00037864" w:rsidP="004D5BFA">
            <w:pPr>
              <w:spacing w:after="0"/>
              <w:rPr>
                <w:rFonts w:ascii="Times New Roman"/>
              </w:rPr>
            </w:pPr>
            <w:proofErr w:type="spellStart"/>
            <w:r>
              <w:rPr>
                <w:rFonts w:ascii="Times New Roman"/>
              </w:rPr>
              <w:t>Yakov</w:t>
            </w:r>
            <w:proofErr w:type="spellEnd"/>
            <w:r>
              <w:rPr>
                <w:rFonts w:ascii="Times New Roman"/>
              </w:rPr>
              <w:t xml:space="preserve"> </w:t>
            </w:r>
            <w:proofErr w:type="spellStart"/>
            <w:r>
              <w:rPr>
                <w:rFonts w:ascii="Times New Roman"/>
              </w:rPr>
              <w:t>Barinskiy</w:t>
            </w:r>
            <w:proofErr w:type="spellEnd"/>
          </w:p>
          <w:p w:rsidR="00037864" w:rsidRDefault="00BF2781" w:rsidP="004D5BFA">
            <w:pPr>
              <w:spacing w:after="0"/>
              <w:rPr>
                <w:rFonts w:ascii="Times New Roman"/>
              </w:rPr>
            </w:pPr>
            <w:r>
              <w:rPr>
                <w:rFonts w:ascii="Times New Roman"/>
              </w:rPr>
              <w:t>Head of</w:t>
            </w:r>
            <w:r w:rsidRPr="00CF24B5">
              <w:rPr>
                <w:rFonts w:ascii="Times New Roman"/>
              </w:rPr>
              <w:t xml:space="preserve"> </w:t>
            </w:r>
            <w:r>
              <w:rPr>
                <w:rFonts w:ascii="Times New Roman"/>
              </w:rPr>
              <w:t xml:space="preserve">M&amp;A and </w:t>
            </w:r>
            <w:r w:rsidR="00037864">
              <w:rPr>
                <w:rFonts w:ascii="Times New Roman"/>
              </w:rPr>
              <w:t>Investor Relations</w:t>
            </w:r>
          </w:p>
          <w:p w:rsidR="00037864" w:rsidRDefault="00037864" w:rsidP="004D5BFA">
            <w:pPr>
              <w:spacing w:after="0"/>
              <w:rPr>
                <w:rFonts w:ascii="Times New Roman" w:eastAsia="Times New Roman" w:hAnsi="Times New Roman" w:cs="Times New Roman"/>
              </w:rPr>
            </w:pPr>
            <w:r>
              <w:rPr>
                <w:rFonts w:ascii="Times New Roman"/>
              </w:rPr>
              <w:t>+7.499.709.0192</w:t>
            </w:r>
          </w:p>
          <w:p w:rsidR="00037864" w:rsidRDefault="000E4915" w:rsidP="004D5BFA">
            <w:pPr>
              <w:spacing w:after="0"/>
              <w:rPr>
                <w:rFonts w:ascii="Times New Roman"/>
              </w:rPr>
            </w:pPr>
            <w:hyperlink r:id="rId10" w:history="1">
              <w:r w:rsidR="00037864" w:rsidRPr="00413F68">
                <w:rPr>
                  <w:rStyle w:val="a3"/>
                  <w:rFonts w:ascii="Times New Roman"/>
                </w:rPr>
                <w:t>ir@qiwi.com</w:t>
              </w:r>
            </w:hyperlink>
          </w:p>
        </w:tc>
        <w:tc>
          <w:tcPr>
            <w:tcW w:w="2735" w:type="dxa"/>
            <w:tcBorders>
              <w:top w:val="nil"/>
              <w:left w:val="nil"/>
              <w:bottom w:val="nil"/>
              <w:right w:val="nil"/>
            </w:tcBorders>
            <w:shd w:val="clear" w:color="auto" w:fill="auto"/>
            <w:tcMar>
              <w:top w:w="80" w:type="dxa"/>
              <w:left w:w="80" w:type="dxa"/>
              <w:bottom w:w="80" w:type="dxa"/>
              <w:right w:w="80" w:type="dxa"/>
            </w:tcMar>
          </w:tcPr>
          <w:p w:rsidR="00037864" w:rsidRDefault="00037864" w:rsidP="004D5BFA">
            <w:pPr>
              <w:spacing w:after="0"/>
              <w:rPr>
                <w:rFonts w:ascii="Times New Roman" w:eastAsia="Times New Roman" w:hAnsi="Times New Roman" w:cs="Times New Roman"/>
              </w:rPr>
            </w:pPr>
            <w:proofErr w:type="spellStart"/>
            <w:r>
              <w:rPr>
                <w:rFonts w:ascii="Times New Roman"/>
              </w:rPr>
              <w:t>Varvara</w:t>
            </w:r>
            <w:proofErr w:type="spellEnd"/>
            <w:r>
              <w:rPr>
                <w:rFonts w:ascii="Times New Roman"/>
              </w:rPr>
              <w:t xml:space="preserve"> </w:t>
            </w:r>
            <w:proofErr w:type="spellStart"/>
            <w:r>
              <w:rPr>
                <w:rFonts w:ascii="Times New Roman"/>
              </w:rPr>
              <w:t>Kiseleva</w:t>
            </w:r>
            <w:proofErr w:type="spellEnd"/>
          </w:p>
          <w:p w:rsidR="00037864" w:rsidRDefault="00037864" w:rsidP="004D5BFA">
            <w:pPr>
              <w:spacing w:after="0"/>
              <w:rPr>
                <w:rFonts w:ascii="Times New Roman" w:eastAsia="Times New Roman" w:hAnsi="Times New Roman" w:cs="Times New Roman"/>
              </w:rPr>
            </w:pPr>
            <w:r>
              <w:rPr>
                <w:rFonts w:ascii="Times New Roman"/>
              </w:rPr>
              <w:t>Investor Relations</w:t>
            </w:r>
          </w:p>
          <w:p w:rsidR="00037864" w:rsidRDefault="00037864" w:rsidP="004D5BFA">
            <w:pPr>
              <w:spacing w:after="0"/>
              <w:rPr>
                <w:rFonts w:ascii="Times New Roman" w:eastAsia="Times New Roman" w:hAnsi="Times New Roman" w:cs="Times New Roman"/>
              </w:rPr>
            </w:pPr>
            <w:r>
              <w:rPr>
                <w:rFonts w:ascii="Times New Roman"/>
              </w:rPr>
              <w:t>+7.499.709.0192</w:t>
            </w:r>
          </w:p>
          <w:p w:rsidR="00037864" w:rsidRDefault="000E4915" w:rsidP="004D5BFA">
            <w:pPr>
              <w:spacing w:after="0"/>
            </w:pPr>
            <w:hyperlink r:id="rId11" w:history="1">
              <w:r w:rsidR="00037864" w:rsidRPr="00413F68">
                <w:rPr>
                  <w:rStyle w:val="a3"/>
                  <w:rFonts w:ascii="Times New Roman"/>
                </w:rPr>
                <w:t>ir@qiwi.com</w:t>
              </w:r>
            </w:hyperlink>
          </w:p>
        </w:tc>
        <w:tc>
          <w:tcPr>
            <w:tcW w:w="6207" w:type="dxa"/>
            <w:tcBorders>
              <w:top w:val="nil"/>
              <w:left w:val="nil"/>
              <w:bottom w:val="nil"/>
              <w:right w:val="nil"/>
            </w:tcBorders>
            <w:shd w:val="clear" w:color="auto" w:fill="auto"/>
            <w:tcMar>
              <w:top w:w="80" w:type="dxa"/>
              <w:left w:w="80" w:type="dxa"/>
              <w:bottom w:w="80" w:type="dxa"/>
              <w:right w:w="80" w:type="dxa"/>
            </w:tcMar>
          </w:tcPr>
          <w:p w:rsidR="00037864" w:rsidRDefault="00037864" w:rsidP="004D5BFA">
            <w:pPr>
              <w:spacing w:after="0"/>
            </w:pPr>
          </w:p>
        </w:tc>
      </w:tr>
    </w:tbl>
    <w:p w:rsidR="003D3912" w:rsidRDefault="003D3912">
      <w:pPr>
        <w:spacing w:after="0" w:line="240" w:lineRule="auto"/>
        <w:rPr>
          <w:rFonts w:ascii="Times New Roman" w:eastAsia="Times New Roman" w:hAnsi="Times New Roman" w:cs="Times New Roman"/>
        </w:rPr>
      </w:pPr>
    </w:p>
    <w:p w:rsidR="003D3912" w:rsidRDefault="003D3912">
      <w:pPr>
        <w:spacing w:after="0" w:line="240" w:lineRule="auto"/>
        <w:rPr>
          <w:rFonts w:ascii="Times New Roman" w:eastAsia="Times New Roman" w:hAnsi="Times New Roman" w:cs="Times New Roman"/>
        </w:rPr>
      </w:pPr>
    </w:p>
    <w:p w:rsidR="003D3912" w:rsidRDefault="003D3912">
      <w:pPr>
        <w:spacing w:after="0"/>
        <w:rPr>
          <w:rFonts w:ascii="Times New Roman" w:eastAsia="Times New Roman" w:hAnsi="Times New Roman" w:cs="Times New Roman"/>
        </w:rPr>
      </w:pPr>
    </w:p>
    <w:p w:rsidR="003D3912" w:rsidRDefault="003D3912">
      <w:pPr>
        <w:spacing w:after="0"/>
        <w:rPr>
          <w:rFonts w:ascii="Times New Roman" w:eastAsia="Times New Roman" w:hAnsi="Times New Roman" w:cs="Times New Roman"/>
        </w:rPr>
      </w:pPr>
    </w:p>
    <w:p w:rsidR="003D3912" w:rsidRDefault="00233C6E">
      <w:pPr>
        <w:spacing w:after="0"/>
        <w:jc w:val="center"/>
      </w:pPr>
      <w:r>
        <w:rPr>
          <w:rFonts w:ascii="Times New Roman" w:eastAsia="Times New Roman" w:hAnsi="Times New Roman" w:cs="Times New Roman"/>
          <w:u w:val="single"/>
        </w:rPr>
        <w:br w:type="page"/>
      </w:r>
    </w:p>
    <w:p w:rsidR="003D3912" w:rsidRDefault="003D3912">
      <w:pPr>
        <w:spacing w:after="0"/>
        <w:jc w:val="center"/>
        <w:rPr>
          <w:rFonts w:ascii="Times New Roman" w:eastAsia="Times New Roman" w:hAnsi="Times New Roman" w:cs="Times New Roman"/>
          <w:u w:val="single"/>
        </w:rPr>
      </w:pP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QIWI plc.</w:t>
      </w: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Consolidated Statement of Financial Position</w:t>
      </w:r>
    </w:p>
    <w:p w:rsidR="003D3912" w:rsidRDefault="00233C6E">
      <w:pPr>
        <w:spacing w:after="0"/>
        <w:jc w:val="center"/>
        <w:rPr>
          <w:rFonts w:ascii="Times New Roman" w:eastAsia="Times New Roman" w:hAnsi="Times New Roman" w:cs="Times New Roman"/>
          <w:b/>
          <w:bCs/>
          <w:i/>
          <w:iCs/>
          <w:sz w:val="20"/>
          <w:szCs w:val="20"/>
        </w:rPr>
      </w:pPr>
      <w:r>
        <w:rPr>
          <w:rFonts w:ascii="Times New Roman"/>
          <w:b/>
          <w:bCs/>
          <w:i/>
          <w:iCs/>
          <w:sz w:val="20"/>
          <w:szCs w:val="20"/>
        </w:rPr>
        <w:t>(</w:t>
      </w:r>
      <w:proofErr w:type="gramStart"/>
      <w:r>
        <w:rPr>
          <w:rFonts w:ascii="Times New Roman"/>
          <w:b/>
          <w:bCs/>
          <w:i/>
          <w:iCs/>
          <w:sz w:val="20"/>
          <w:szCs w:val="20"/>
        </w:rPr>
        <w:t>in</w:t>
      </w:r>
      <w:proofErr w:type="gramEnd"/>
      <w:r>
        <w:rPr>
          <w:rFonts w:ascii="Times New Roman"/>
          <w:b/>
          <w:bCs/>
          <w:i/>
          <w:iCs/>
          <w:sz w:val="20"/>
          <w:szCs w:val="20"/>
        </w:rPr>
        <w:t xml:space="preserve"> </w:t>
      </w:r>
      <w:r w:rsidR="00504AE6">
        <w:rPr>
          <w:rFonts w:ascii="Times New Roman"/>
          <w:b/>
          <w:bCs/>
          <w:i/>
          <w:iCs/>
          <w:sz w:val="20"/>
          <w:szCs w:val="20"/>
        </w:rPr>
        <w:t>thousands</w:t>
      </w:r>
      <w:r>
        <w:rPr>
          <w:rFonts w:ascii="Times New Roman"/>
          <w:b/>
          <w:bCs/>
          <w:i/>
          <w:iCs/>
          <w:sz w:val="20"/>
          <w:szCs w:val="20"/>
        </w:rPr>
        <w:t>)</w:t>
      </w:r>
    </w:p>
    <w:p w:rsidR="003D3912" w:rsidRDefault="00233C6E">
      <w:pPr>
        <w:spacing w:after="0"/>
        <w:rPr>
          <w:rFonts w:ascii="Times New Roman Bold" w:eastAsia="Times New Roman Bold" w:hAnsi="Times New Roman Bold" w:cs="Times New Roman Bold"/>
          <w:sz w:val="20"/>
          <w:szCs w:val="20"/>
        </w:rPr>
      </w:pPr>
      <w:r>
        <w:rPr>
          <w:rFonts w:ascii="Times New Roman Bold"/>
          <w:sz w:val="20"/>
          <w:szCs w:val="20"/>
        </w:rPr>
        <w:t xml:space="preserve"> </w:t>
      </w:r>
      <w:r>
        <w:rPr>
          <w:rFonts w:ascii="Trebuchet MS"/>
        </w:rPr>
        <w:t xml:space="preserve"> </w:t>
      </w:r>
      <w:r w:rsidR="00504AE6" w:rsidRPr="00504AE6">
        <w:rPr>
          <w:noProof/>
          <w:lang w:val="ru-RU" w:eastAsia="ru-RU"/>
        </w:rPr>
        <w:drawing>
          <wp:inline distT="0" distB="0" distL="0" distR="0" wp14:anchorId="2543029C" wp14:editId="16C7F39D">
            <wp:extent cx="5943600" cy="712526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7125265"/>
                    </a:xfrm>
                    <a:prstGeom prst="rect">
                      <a:avLst/>
                    </a:prstGeom>
                    <a:noFill/>
                    <a:ln>
                      <a:noFill/>
                    </a:ln>
                  </pic:spPr>
                </pic:pic>
              </a:graphicData>
            </a:graphic>
          </wp:inline>
        </w:drawing>
      </w:r>
    </w:p>
    <w:p w:rsidR="003D3912" w:rsidRPr="00363523" w:rsidRDefault="003D3912">
      <w:pPr>
        <w:spacing w:after="0"/>
        <w:rPr>
          <w:rFonts w:ascii="Times New Roman" w:eastAsia="Times New Roman" w:hAnsi="Times New Roman" w:cs="Times New Roman"/>
          <w:sz w:val="20"/>
          <w:szCs w:val="20"/>
        </w:rPr>
      </w:pPr>
    </w:p>
    <w:p w:rsidR="003D3912" w:rsidRDefault="00233C6E">
      <w:pPr>
        <w:spacing w:after="0"/>
        <w:rPr>
          <w:rFonts w:ascii="Times New Roman" w:eastAsia="Times New Roman" w:hAnsi="Times New Roman" w:cs="Times New Roman"/>
          <w:sz w:val="16"/>
          <w:szCs w:val="16"/>
        </w:rPr>
      </w:pPr>
      <w:r>
        <w:rPr>
          <w:rFonts w:ascii="Times New Roman" w:eastAsia="Times New Roman" w:hAnsi="Times New Roman" w:cs="Times New Roman"/>
          <w:noProof/>
          <w:lang w:val="ru-RU" w:eastAsia="ru-RU"/>
        </w:rPr>
        <mc:AlternateContent>
          <mc:Choice Requires="wps">
            <w:drawing>
              <wp:anchor distT="0" distB="0" distL="0" distR="0" simplePos="0" relativeHeight="251659264" behindDoc="0" locked="0" layoutInCell="1" allowOverlap="1" wp14:anchorId="0B467274" wp14:editId="28A189BC">
                <wp:simplePos x="0" y="0"/>
                <wp:positionH relativeFrom="column">
                  <wp:posOffset>14600</wp:posOffset>
                </wp:positionH>
                <wp:positionV relativeFrom="line">
                  <wp:posOffset>50164</wp:posOffset>
                </wp:positionV>
                <wp:extent cx="1388746" cy="634"/>
                <wp:effectExtent l="0" t="0" r="0" b="0"/>
                <wp:wrapNone/>
                <wp:docPr id="1073741827"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id="officeArt object" o:spid="_x0000_s1026" style="position:absolute;z-index:251659264;visibility:visible;mso-wrap-style:square;mso-wrap-distance-left:0;mso-wrap-distance-top:0;mso-wrap-distance-right:0;mso-wrap-distance-bottom:0;mso-position-horizontal:absolute;mso-position-horizontal-relative:text;mso-position-vertical:absolute;mso-position-vertical-relative:line" from="1.15pt,3.95pt" to="110.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">
                <w10:wrap anchory="line"/>
              </v:line>
            </w:pict>
          </mc:Fallback>
        </mc:AlternateContent>
      </w:r>
    </w:p>
    <w:p w:rsidR="003D3912" w:rsidRDefault="00233C6E" w:rsidP="007E3AE6">
      <w:pPr>
        <w:pStyle w:val="a4"/>
        <w:keepNext/>
        <w:numPr>
          <w:ilvl w:val="0"/>
          <w:numId w:val="21"/>
        </w:numPr>
        <w:spacing w:after="0"/>
        <w:rPr>
          <w:sz w:val="16"/>
          <w:szCs w:val="16"/>
        </w:rPr>
      </w:pPr>
      <w:r>
        <w:rPr>
          <w:sz w:val="16"/>
          <w:szCs w:val="16"/>
        </w:rPr>
        <w:t xml:space="preserve">Calculated using a ruble to U.S. dollar exchange rate of RUB </w:t>
      </w:r>
      <w:r w:rsidR="007E3AE6">
        <w:rPr>
          <w:sz w:val="16"/>
          <w:szCs w:val="16"/>
        </w:rPr>
        <w:t>58.</w:t>
      </w:r>
      <w:r w:rsidR="007E3AE6" w:rsidRPr="007E3AE6">
        <w:rPr>
          <w:sz w:val="16"/>
          <w:szCs w:val="16"/>
        </w:rPr>
        <w:t xml:space="preserve">4643 </w:t>
      </w:r>
      <w:r>
        <w:rPr>
          <w:sz w:val="16"/>
          <w:szCs w:val="16"/>
        </w:rPr>
        <w:t>to U.S</w:t>
      </w:r>
      <w:r w:rsidR="00CF4758">
        <w:rPr>
          <w:sz w:val="16"/>
          <w:szCs w:val="16"/>
        </w:rPr>
        <w:t>. $</w:t>
      </w:r>
      <w:r>
        <w:rPr>
          <w:sz w:val="16"/>
          <w:szCs w:val="16"/>
        </w:rPr>
        <w:t xml:space="preserve">1.00, which </w:t>
      </w:r>
      <w:r w:rsidR="00CF4758">
        <w:rPr>
          <w:sz w:val="16"/>
          <w:szCs w:val="16"/>
        </w:rPr>
        <w:t>the official exchange rate was</w:t>
      </w:r>
      <w:r>
        <w:rPr>
          <w:sz w:val="16"/>
          <w:szCs w:val="16"/>
        </w:rPr>
        <w:t xml:space="preserve"> quoted by the Central Bank of the Russian Federation as of </w:t>
      </w:r>
      <w:r w:rsidR="007E3AE6">
        <w:rPr>
          <w:sz w:val="16"/>
          <w:szCs w:val="16"/>
        </w:rPr>
        <w:t>March</w:t>
      </w:r>
      <w:r w:rsidR="00CF4758">
        <w:rPr>
          <w:sz w:val="16"/>
          <w:szCs w:val="16"/>
        </w:rPr>
        <w:t xml:space="preserve"> 31</w:t>
      </w:r>
      <w:r w:rsidR="007E3AE6">
        <w:rPr>
          <w:sz w:val="16"/>
          <w:szCs w:val="16"/>
        </w:rPr>
        <w:t>, 2015</w:t>
      </w:r>
      <w:r>
        <w:rPr>
          <w:sz w:val="16"/>
          <w:szCs w:val="16"/>
        </w:rPr>
        <w:t>.</w:t>
      </w:r>
    </w:p>
    <w:p w:rsidR="003D3912" w:rsidRDefault="00233C6E">
      <w:pPr>
        <w:spacing w:after="0"/>
        <w:jc w:val="center"/>
      </w:pPr>
      <w:r>
        <w:rPr>
          <w:rFonts w:ascii="Times New Roman" w:eastAsia="Times New Roman" w:hAnsi="Times New Roman" w:cs="Times New Roman"/>
          <w:u w:val="single"/>
        </w:rPr>
        <w:br w:type="page"/>
      </w:r>
    </w:p>
    <w:p w:rsidR="003D3912" w:rsidRDefault="003D3912">
      <w:pPr>
        <w:spacing w:after="0"/>
        <w:jc w:val="center"/>
        <w:rPr>
          <w:rFonts w:ascii="Times New Roman" w:eastAsia="Times New Roman" w:hAnsi="Times New Roman" w:cs="Times New Roman"/>
          <w:u w:val="single"/>
        </w:rPr>
      </w:pP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QIWI plc.</w:t>
      </w: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Consolidated Statement of Comprehensive Income</w:t>
      </w:r>
    </w:p>
    <w:p w:rsidR="003D3912" w:rsidRDefault="00233C6E">
      <w:pPr>
        <w:spacing w:after="0"/>
        <w:jc w:val="center"/>
        <w:rPr>
          <w:rFonts w:ascii="Times New Roman" w:eastAsia="Times New Roman" w:hAnsi="Times New Roman" w:cs="Times New Roman"/>
          <w:b/>
          <w:bCs/>
          <w:i/>
          <w:iCs/>
          <w:sz w:val="20"/>
          <w:szCs w:val="20"/>
        </w:rPr>
      </w:pPr>
      <w:r>
        <w:rPr>
          <w:rFonts w:ascii="Times New Roman"/>
          <w:b/>
          <w:bCs/>
          <w:i/>
          <w:iCs/>
          <w:sz w:val="20"/>
          <w:szCs w:val="20"/>
        </w:rPr>
        <w:t>(</w:t>
      </w:r>
      <w:proofErr w:type="gramStart"/>
      <w:r>
        <w:rPr>
          <w:rFonts w:ascii="Times New Roman"/>
          <w:b/>
          <w:bCs/>
          <w:i/>
          <w:iCs/>
          <w:sz w:val="20"/>
          <w:szCs w:val="20"/>
        </w:rPr>
        <w:t>in</w:t>
      </w:r>
      <w:proofErr w:type="gramEnd"/>
      <w:r>
        <w:rPr>
          <w:rFonts w:ascii="Times New Roman"/>
          <w:b/>
          <w:bCs/>
          <w:i/>
          <w:iCs/>
          <w:sz w:val="20"/>
          <w:szCs w:val="20"/>
        </w:rPr>
        <w:t xml:space="preserve"> thousands, except per share data)</w:t>
      </w:r>
    </w:p>
    <w:p w:rsidR="003D3912" w:rsidRDefault="003D3912">
      <w:pPr>
        <w:spacing w:after="0"/>
        <w:jc w:val="center"/>
        <w:rPr>
          <w:rFonts w:ascii="Times New Roman" w:eastAsia="Times New Roman" w:hAnsi="Times New Roman" w:cs="Times New Roman"/>
          <w:b/>
          <w:bCs/>
          <w:i/>
          <w:iCs/>
          <w:sz w:val="20"/>
          <w:szCs w:val="20"/>
        </w:rPr>
      </w:pPr>
    </w:p>
    <w:p w:rsidR="003D3912" w:rsidRDefault="00750104">
      <w:pPr>
        <w:spacing w:after="0"/>
        <w:jc w:val="center"/>
        <w:rPr>
          <w:rFonts w:ascii="Times New Roman" w:eastAsia="Times New Roman" w:hAnsi="Times New Roman" w:cs="Times New Roman"/>
          <w:b/>
          <w:bCs/>
          <w:i/>
          <w:iCs/>
          <w:sz w:val="20"/>
          <w:szCs w:val="20"/>
        </w:rPr>
      </w:pPr>
      <w:r w:rsidRPr="00750104">
        <w:rPr>
          <w:noProof/>
          <w:lang w:val="ru-RU" w:eastAsia="ru-RU"/>
        </w:rPr>
        <w:drawing>
          <wp:inline distT="0" distB="0" distL="0" distR="0" wp14:anchorId="5938D676" wp14:editId="7488577D">
            <wp:extent cx="5943600" cy="5619939"/>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5619939"/>
                    </a:xfrm>
                    <a:prstGeom prst="rect">
                      <a:avLst/>
                    </a:prstGeom>
                    <a:noFill/>
                    <a:ln>
                      <a:noFill/>
                    </a:ln>
                  </pic:spPr>
                </pic:pic>
              </a:graphicData>
            </a:graphic>
          </wp:inline>
        </w:drawing>
      </w:r>
    </w:p>
    <w:p w:rsidR="003D3912" w:rsidRDefault="003D3912">
      <w:pPr>
        <w:spacing w:after="0"/>
        <w:rPr>
          <w:sz w:val="16"/>
          <w:szCs w:val="16"/>
        </w:rPr>
      </w:pPr>
    </w:p>
    <w:p w:rsidR="003D3912" w:rsidRPr="00CF4758" w:rsidRDefault="003D3912">
      <w:pPr>
        <w:spacing w:after="0"/>
        <w:rPr>
          <w:rFonts w:ascii="Times New Roman" w:eastAsia="Times New Roman" w:hAnsi="Times New Roman" w:cs="Times New Roman"/>
          <w:b/>
          <w:bCs/>
          <w:i/>
          <w:iCs/>
          <w:sz w:val="20"/>
          <w:szCs w:val="20"/>
        </w:rPr>
      </w:pPr>
    </w:p>
    <w:p w:rsidR="003D3912" w:rsidRDefault="003D3912">
      <w:pPr>
        <w:spacing w:after="0"/>
        <w:jc w:val="both"/>
        <w:rPr>
          <w:rFonts w:ascii="Times New Roman" w:eastAsia="Times New Roman" w:hAnsi="Times New Roman" w:cs="Times New Roman"/>
          <w:sz w:val="20"/>
          <w:szCs w:val="20"/>
        </w:rPr>
      </w:pPr>
    </w:p>
    <w:p w:rsidR="003D3912" w:rsidRDefault="00233C6E">
      <w:pPr>
        <w:spacing w:after="0"/>
        <w:jc w:val="both"/>
        <w:rPr>
          <w:rFonts w:ascii="Times New Roman" w:eastAsia="Times New Roman" w:hAnsi="Times New Roman" w:cs="Times New Roman"/>
          <w:sz w:val="16"/>
          <w:szCs w:val="16"/>
        </w:rPr>
      </w:pPr>
      <w:r>
        <w:rPr>
          <w:rFonts w:ascii="Times New Roman" w:eastAsia="Times New Roman" w:hAnsi="Times New Roman" w:cs="Times New Roman"/>
          <w:noProof/>
          <w:sz w:val="16"/>
          <w:szCs w:val="16"/>
          <w:lang w:val="ru-RU" w:eastAsia="ru-RU"/>
        </w:rPr>
        <mc:AlternateContent>
          <mc:Choice Requires="wps">
            <w:drawing>
              <wp:anchor distT="0" distB="0" distL="0" distR="0" simplePos="0" relativeHeight="251662336" behindDoc="0" locked="0" layoutInCell="1" allowOverlap="1" wp14:anchorId="21807510" wp14:editId="5817A394">
                <wp:simplePos x="0" y="0"/>
                <wp:positionH relativeFrom="column">
                  <wp:posOffset>14600</wp:posOffset>
                </wp:positionH>
                <wp:positionV relativeFrom="line">
                  <wp:posOffset>57784</wp:posOffset>
                </wp:positionV>
                <wp:extent cx="1388746" cy="634"/>
                <wp:effectExtent l="0" t="0" r="0" b="0"/>
                <wp:wrapNone/>
                <wp:docPr id="1073741829"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id="officeArt object" o:spid="_x0000_s1026" style="position:absolute;z-index:251662336;visibility:visible;mso-wrap-style:square;mso-wrap-distance-left:0;mso-wrap-distance-top:0;mso-wrap-distance-right:0;mso-wrap-distance-bottom:0;mso-position-horizontal:absolute;mso-position-horizontal-relative:text;mso-position-vertical:absolute;mso-position-vertical-relative:line" from="1.15pt,4.55pt" to="110.5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">
                <w10:wrap anchory="line"/>
              </v:line>
            </w:pict>
          </mc:Fallback>
        </mc:AlternateContent>
      </w:r>
    </w:p>
    <w:p w:rsidR="00CA0DAB" w:rsidRPr="00190582" w:rsidRDefault="00CA0DAB" w:rsidP="00190582">
      <w:pPr>
        <w:pStyle w:val="a4"/>
        <w:keepNext/>
        <w:numPr>
          <w:ilvl w:val="0"/>
          <w:numId w:val="27"/>
        </w:numPr>
        <w:tabs>
          <w:tab w:val="clear" w:pos="540"/>
          <w:tab w:val="num" w:pos="709"/>
        </w:tabs>
        <w:spacing w:after="0"/>
        <w:ind w:left="709" w:hanging="709"/>
      </w:pPr>
      <w:r w:rsidRPr="00190582">
        <w:rPr>
          <w:sz w:val="16"/>
          <w:szCs w:val="16"/>
        </w:rPr>
        <w:t xml:space="preserve">Calculated using a ruble to U.S. dollar exchange rate of </w:t>
      </w:r>
      <w:r w:rsidR="007E3AE6">
        <w:rPr>
          <w:sz w:val="16"/>
          <w:szCs w:val="16"/>
        </w:rPr>
        <w:t>RUB 58.</w:t>
      </w:r>
      <w:r w:rsidR="007E3AE6" w:rsidRPr="007E3AE6">
        <w:rPr>
          <w:sz w:val="16"/>
          <w:szCs w:val="16"/>
        </w:rPr>
        <w:t xml:space="preserve">4643 </w:t>
      </w:r>
      <w:r w:rsidR="007E3AE6">
        <w:rPr>
          <w:sz w:val="16"/>
          <w:szCs w:val="16"/>
        </w:rPr>
        <w:t>to U.S. $1.00, which the official exchange rate was quoted by the Central Bank of the Russian Federation as of March 31, 2015.</w:t>
      </w:r>
    </w:p>
    <w:p w:rsidR="003D3912" w:rsidRPr="008A7EF4" w:rsidRDefault="00233C6E" w:rsidP="008A7EF4">
      <w:pPr>
        <w:pStyle w:val="a4"/>
        <w:keepNext/>
        <w:spacing w:after="0"/>
        <w:ind w:left="1170"/>
        <w:rPr>
          <w:sz w:val="16"/>
          <w:szCs w:val="16"/>
        </w:rPr>
      </w:pPr>
      <w:r w:rsidRPr="008A7EF4">
        <w:rPr>
          <w:sz w:val="16"/>
          <w:szCs w:val="16"/>
        </w:rPr>
        <w:br w:type="page"/>
      </w:r>
    </w:p>
    <w:p w:rsidR="003D3912" w:rsidRDefault="003D3912">
      <w:pPr>
        <w:spacing w:after="0"/>
        <w:jc w:val="center"/>
        <w:rPr>
          <w:rFonts w:ascii="Times New Roman Bold" w:eastAsia="Times New Roman Bold" w:hAnsi="Times New Roman Bold" w:cs="Times New Roman Bold"/>
        </w:rPr>
      </w:pP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QIWI plc.</w:t>
      </w: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 xml:space="preserve">Consolidated </w:t>
      </w:r>
      <w:r w:rsidR="00413EA7" w:rsidRPr="004C2998">
        <w:rPr>
          <w:rFonts w:ascii="Times New Roman Bold"/>
          <w:b/>
        </w:rPr>
        <w:t xml:space="preserve">Statement </w:t>
      </w:r>
      <w:r w:rsidR="00413EA7">
        <w:rPr>
          <w:rFonts w:ascii="Times New Roman Bold"/>
          <w:b/>
        </w:rPr>
        <w:t xml:space="preserve">of </w:t>
      </w:r>
      <w:r w:rsidRPr="004C2998">
        <w:rPr>
          <w:rFonts w:ascii="Times New Roman Bold"/>
          <w:b/>
        </w:rPr>
        <w:t>Cash Flow</w:t>
      </w:r>
      <w:r w:rsidR="00413EA7">
        <w:rPr>
          <w:rFonts w:ascii="Times New Roman Bold"/>
          <w:b/>
        </w:rPr>
        <w:t>s</w:t>
      </w:r>
      <w:r w:rsidRPr="004C2998">
        <w:rPr>
          <w:rFonts w:ascii="Times New Roman Bold"/>
          <w:b/>
        </w:rPr>
        <w:t xml:space="preserve"> </w:t>
      </w:r>
    </w:p>
    <w:p w:rsidR="00BF025D" w:rsidRDefault="00233C6E" w:rsidP="00BF025D">
      <w:pPr>
        <w:spacing w:after="0"/>
        <w:jc w:val="center"/>
        <w:rPr>
          <w:rFonts w:ascii="Times New Roman"/>
          <w:b/>
          <w:bCs/>
          <w:i/>
          <w:iCs/>
          <w:sz w:val="20"/>
          <w:szCs w:val="20"/>
        </w:rPr>
      </w:pPr>
      <w:r>
        <w:rPr>
          <w:rFonts w:ascii="Times New Roman"/>
          <w:b/>
          <w:bCs/>
          <w:i/>
          <w:iCs/>
          <w:sz w:val="20"/>
          <w:szCs w:val="20"/>
        </w:rPr>
        <w:t>(</w:t>
      </w:r>
      <w:proofErr w:type="gramStart"/>
      <w:r>
        <w:rPr>
          <w:rFonts w:ascii="Times New Roman"/>
          <w:b/>
          <w:bCs/>
          <w:i/>
          <w:iCs/>
          <w:sz w:val="20"/>
          <w:szCs w:val="20"/>
        </w:rPr>
        <w:t>in</w:t>
      </w:r>
      <w:proofErr w:type="gramEnd"/>
      <w:r>
        <w:rPr>
          <w:rFonts w:ascii="Times New Roman"/>
          <w:b/>
          <w:bCs/>
          <w:i/>
          <w:iCs/>
          <w:sz w:val="20"/>
          <w:szCs w:val="20"/>
        </w:rPr>
        <w:t xml:space="preserve"> </w:t>
      </w:r>
      <w:r w:rsidR="00504AE6">
        <w:rPr>
          <w:rFonts w:ascii="Times New Roman"/>
          <w:b/>
          <w:bCs/>
          <w:i/>
          <w:iCs/>
          <w:sz w:val="20"/>
          <w:szCs w:val="20"/>
        </w:rPr>
        <w:t>thousands</w:t>
      </w:r>
      <w:r>
        <w:rPr>
          <w:rFonts w:ascii="Times New Roman"/>
          <w:b/>
          <w:bCs/>
          <w:i/>
          <w:iCs/>
          <w:sz w:val="20"/>
          <w:szCs w:val="20"/>
        </w:rPr>
        <w:t>)</w:t>
      </w:r>
    </w:p>
    <w:p w:rsidR="00750104" w:rsidRPr="00BF025D" w:rsidRDefault="00750104" w:rsidP="00BF025D">
      <w:pPr>
        <w:spacing w:after="0"/>
        <w:jc w:val="center"/>
        <w:rPr>
          <w:rFonts w:ascii="Times New Roman"/>
          <w:b/>
          <w:bCs/>
          <w:i/>
          <w:iCs/>
          <w:sz w:val="20"/>
          <w:szCs w:val="20"/>
        </w:rPr>
      </w:pPr>
    </w:p>
    <w:p w:rsidR="003D3912" w:rsidRPr="00363523" w:rsidRDefault="00F3539A">
      <w:pPr>
        <w:spacing w:after="0"/>
        <w:jc w:val="center"/>
        <w:rPr>
          <w:rFonts w:ascii="Times New Roman" w:eastAsia="Times New Roman" w:hAnsi="Times New Roman" w:cs="Times New Roman"/>
          <w:b/>
          <w:bCs/>
          <w:i/>
          <w:iCs/>
          <w:sz w:val="20"/>
          <w:szCs w:val="20"/>
        </w:rPr>
      </w:pPr>
      <w:r w:rsidRPr="00F3539A">
        <w:drawing>
          <wp:inline distT="0" distB="0" distL="0" distR="0" wp14:anchorId="25A8F55C" wp14:editId="5DD99E91">
            <wp:extent cx="5943600" cy="6076790"/>
            <wp:effectExtent l="0" t="0" r="0" b="63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6076790"/>
                    </a:xfrm>
                    <a:prstGeom prst="rect">
                      <a:avLst/>
                    </a:prstGeom>
                    <a:noFill/>
                    <a:ln>
                      <a:noFill/>
                    </a:ln>
                  </pic:spPr>
                </pic:pic>
              </a:graphicData>
            </a:graphic>
          </wp:inline>
        </w:drawing>
      </w:r>
    </w:p>
    <w:p w:rsidR="003D3912" w:rsidRPr="00363523" w:rsidRDefault="003D3912">
      <w:pPr>
        <w:spacing w:after="0"/>
        <w:jc w:val="both"/>
        <w:rPr>
          <w:rFonts w:ascii="Times New Roman" w:eastAsia="Times New Roman" w:hAnsi="Times New Roman" w:cs="Times New Roman"/>
          <w:sz w:val="16"/>
          <w:szCs w:val="16"/>
        </w:rPr>
      </w:pPr>
    </w:p>
    <w:p w:rsidR="003D3912" w:rsidRPr="00363523" w:rsidRDefault="00233C6E">
      <w:pPr>
        <w:spacing w:after="0"/>
        <w:jc w:val="both"/>
        <w:rPr>
          <w:rFonts w:ascii="Times New Roman" w:eastAsia="Times New Roman" w:hAnsi="Times New Roman" w:cs="Times New Roman"/>
          <w:sz w:val="16"/>
          <w:szCs w:val="16"/>
        </w:rPr>
      </w:pPr>
      <w:r>
        <w:rPr>
          <w:rFonts w:ascii="Times New Roman" w:eastAsia="Times New Roman" w:hAnsi="Times New Roman" w:cs="Times New Roman"/>
          <w:noProof/>
          <w:sz w:val="16"/>
          <w:szCs w:val="16"/>
          <w:lang w:val="ru-RU" w:eastAsia="ru-RU"/>
        </w:rPr>
        <mc:AlternateContent>
          <mc:Choice Requires="wps">
            <w:drawing>
              <wp:anchor distT="0" distB="0" distL="0" distR="0" simplePos="0" relativeHeight="251663360" behindDoc="0" locked="0" layoutInCell="1" allowOverlap="1" wp14:anchorId="3B21E830" wp14:editId="1ED55CDF">
                <wp:simplePos x="0" y="0"/>
                <wp:positionH relativeFrom="column">
                  <wp:posOffset>24125</wp:posOffset>
                </wp:positionH>
                <wp:positionV relativeFrom="line">
                  <wp:posOffset>33654</wp:posOffset>
                </wp:positionV>
                <wp:extent cx="1388746" cy="634"/>
                <wp:effectExtent l="0" t="0" r="0" b="0"/>
                <wp:wrapNone/>
                <wp:docPr id="1073741833"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id="officeArt object" o:spid="_x0000_s1026" style="position:absolute;z-index:251663360;visibility:visible;mso-wrap-style:square;mso-wrap-distance-left:0;mso-wrap-distance-top:0;mso-wrap-distance-right:0;mso-wrap-distance-bottom:0;mso-position-horizontal:absolute;mso-position-horizontal-relative:text;mso-position-vertical:absolute;mso-position-vertical-relative:line" from="1.9pt,2.65pt" to="111.25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">
                <w10:wrap anchory="line"/>
              </v:line>
            </w:pict>
          </mc:Fallback>
        </mc:AlternateContent>
      </w:r>
    </w:p>
    <w:p w:rsidR="003D3912" w:rsidRDefault="00CF4758">
      <w:pPr>
        <w:pStyle w:val="a4"/>
        <w:keepNext/>
        <w:numPr>
          <w:ilvl w:val="0"/>
          <w:numId w:val="30"/>
        </w:numPr>
        <w:tabs>
          <w:tab w:val="clear" w:pos="540"/>
          <w:tab w:val="num" w:pos="810"/>
        </w:tabs>
        <w:spacing w:after="0"/>
        <w:ind w:left="810" w:hanging="810"/>
        <w:rPr>
          <w:sz w:val="16"/>
          <w:szCs w:val="16"/>
        </w:rPr>
      </w:pPr>
      <w:r>
        <w:rPr>
          <w:sz w:val="16"/>
          <w:szCs w:val="16"/>
        </w:rPr>
        <w:t xml:space="preserve">Calculated using a ruble to U.S. dollar exchange rate of </w:t>
      </w:r>
      <w:r w:rsidR="007E3AE6">
        <w:rPr>
          <w:sz w:val="16"/>
          <w:szCs w:val="16"/>
        </w:rPr>
        <w:t>RUB 58.</w:t>
      </w:r>
      <w:r w:rsidR="007E3AE6" w:rsidRPr="007E3AE6">
        <w:rPr>
          <w:sz w:val="16"/>
          <w:szCs w:val="16"/>
        </w:rPr>
        <w:t xml:space="preserve">4643 </w:t>
      </w:r>
      <w:r w:rsidR="007E3AE6">
        <w:rPr>
          <w:sz w:val="16"/>
          <w:szCs w:val="16"/>
        </w:rPr>
        <w:t>to U.S. $1.00, which the official exchange rate was quoted by the Central Bank of the Russian Federation as of March 31, 2015</w:t>
      </w:r>
      <w:r>
        <w:rPr>
          <w:sz w:val="16"/>
          <w:szCs w:val="16"/>
        </w:rPr>
        <w:t>.</w:t>
      </w:r>
    </w:p>
    <w:p w:rsidR="003D3912" w:rsidRDefault="003D3912">
      <w:pPr>
        <w:spacing w:after="0"/>
        <w:rPr>
          <w:rFonts w:ascii="Times New Roman Bold" w:eastAsia="Times New Roman Bold" w:hAnsi="Times New Roman Bold" w:cs="Times New Roman Bold"/>
        </w:rPr>
      </w:pPr>
    </w:p>
    <w:p w:rsidR="003D3912" w:rsidRDefault="003D3912">
      <w:pPr>
        <w:spacing w:after="0"/>
      </w:pPr>
    </w:p>
    <w:p w:rsidR="0085415D" w:rsidRDefault="0085415D">
      <w:pPr>
        <w:spacing w:after="0"/>
      </w:pPr>
    </w:p>
    <w:p w:rsidR="0085415D" w:rsidRDefault="0085415D">
      <w:pPr>
        <w:spacing w:after="0"/>
      </w:pPr>
    </w:p>
    <w:p w:rsidR="0085415D" w:rsidRDefault="0085415D">
      <w:pPr>
        <w:spacing w:after="0"/>
      </w:pPr>
    </w:p>
    <w:p w:rsidR="0085415D" w:rsidRDefault="0085415D">
      <w:pPr>
        <w:spacing w:after="0"/>
      </w:pPr>
    </w:p>
    <w:p w:rsidR="0085415D" w:rsidRDefault="0085415D">
      <w:pPr>
        <w:spacing w:after="0"/>
      </w:pPr>
    </w:p>
    <w:p w:rsidR="003D3912" w:rsidRDefault="003D3912">
      <w:pPr>
        <w:spacing w:after="0"/>
        <w:rPr>
          <w:rFonts w:ascii="Times New Roman Bold" w:eastAsia="Times New Roman Bold" w:hAnsi="Times New Roman Bold" w:cs="Times New Roman Bold"/>
        </w:rPr>
      </w:pPr>
    </w:p>
    <w:p w:rsidR="003D3912" w:rsidRPr="004C2998" w:rsidRDefault="00233C6E">
      <w:pPr>
        <w:spacing w:after="0"/>
        <w:rPr>
          <w:rFonts w:ascii="Times New Roman Bold" w:eastAsia="Times New Roman Bold" w:hAnsi="Times New Roman Bold" w:cs="Times New Roman Bold"/>
          <w:b/>
        </w:rPr>
      </w:pPr>
      <w:r w:rsidRPr="004C2998">
        <w:rPr>
          <w:rFonts w:ascii="Times New Roman Bold"/>
          <w:b/>
        </w:rPr>
        <w:t>Non-IFRS Financial Measures and Supplemental Financial Information</w:t>
      </w:r>
    </w:p>
    <w:p w:rsidR="003D3912" w:rsidRDefault="003D3912">
      <w:pPr>
        <w:spacing w:after="0"/>
        <w:rPr>
          <w:rFonts w:ascii="Times New Roman Bold" w:eastAsia="Times New Roman Bold" w:hAnsi="Times New Roman Bold" w:cs="Times New Roman Bold"/>
        </w:rPr>
      </w:pPr>
    </w:p>
    <w:p w:rsidR="003D3912" w:rsidRDefault="00233C6E">
      <w:pPr>
        <w:spacing w:after="0"/>
        <w:jc w:val="both"/>
        <w:rPr>
          <w:rFonts w:ascii="Times New Roman" w:eastAsia="Times New Roman" w:hAnsi="Times New Roman" w:cs="Times New Roman"/>
        </w:rPr>
      </w:pPr>
      <w:r>
        <w:rPr>
          <w:rFonts w:ascii="Times New Roman"/>
        </w:rPr>
        <w:t>This release presents Total Adjusted Net Revenue, Payment Adjusted Net Revenue, Other Adjusted Net Revenue, Adjusted EBITDA, Adjusted EBITDA margin, Adjusted Net Profit and Adjusted Net Profit per share, which are non-IFRS financial measures. You should not consider these non-IFRS financial measures as substitutes for or superior to revenue, in the case of Total Adjusted Net Revenue, Payment Adjusted Net Revenue and Other Adjusted Net Revenue; Net Profit, in the case of Adjusted EBITDA; and Adjusted Net Profit, or earnings per share, in the case of Adjusted Net Profit per share, each prepared in accordance with IFRS. Furthermore, because these non-IFRS financial measures are not determined in accordance with IFRS, they are susceptible to varying calculations and may not be comparable to other similarly titled measures presented by other companies. QIWI encourages investors and others to review our financial information in its entirety and not rely on a single financial measure. For more information regarding Total Adjusted Net Revenue, Payment Adjusted Net Revenue, Other Adjusted Net Revenue, Adjusted EBITDA, Adjusted EBITDA margin, Adjusted Net Profit, and Adjusted Net Profit per share, including a quantitative reconciliation of Total Adjusted Net Revenue, Payment Adjusted Net Revenue, Other Adjusted Net Revenue, Adjusted EBITDA and Adjusted Net Profit to the most directly comparable IFRS financial performance measure, which is revenue in the case of Total Adjusted Net Revenue, payment revenue in the case of Payment Adjusted Net Revenue, other revenue in the case of Other Adjusted Net Revenue and net profit in the case of Adjusted EBITDA and Adjusted Net Profit, see Reconciliation of IFRS to Non-IFRS Operating Results in this earnings release.</w:t>
      </w:r>
    </w:p>
    <w:p w:rsidR="003D3912" w:rsidRDefault="003D3912">
      <w:pPr>
        <w:spacing w:after="0"/>
        <w:rPr>
          <w:rFonts w:ascii="Times New Roman Bold" w:eastAsia="Times New Roman Bold" w:hAnsi="Times New Roman Bold" w:cs="Times New Roman Bold"/>
        </w:rPr>
      </w:pPr>
    </w:p>
    <w:p w:rsidR="003D3912" w:rsidRDefault="00233C6E">
      <w:pPr>
        <w:spacing w:after="0"/>
        <w:rPr>
          <w:rFonts w:ascii="Times New Roman" w:eastAsia="Times New Roman" w:hAnsi="Times New Roman" w:cs="Times New Roman"/>
        </w:rPr>
      </w:pPr>
      <w:r>
        <w:rPr>
          <w:rFonts w:ascii="Times New Roman"/>
        </w:rPr>
        <w:t xml:space="preserve">Payment Adjusted Net Revenue is the Adjusted Net Revenue consisting of the merchant and consumer fees collected for the payment transactions. E-commerce payment adjusted net revenue consists of fees charged to customers and merchants that buy and sell products and services online, including online games, social networks, online stores, game developers, software producers, coupon websites, tickets and numerous other merchants. Financial Services payment adjusted net revenue primarily consists of fees charged for payments accepted on behalf of our bank partners and microfinance companies. Money Remittances payment adjusted net revenue primarily consists of fees charged for transferring funds via money remittance companies. Telecom payment adjusted net revenue primarily consists of fees charged for payments to MNOs, internet services providers and pay television providers. Other payment adjusted net revenue consists of consumer and merchant fees charged for a variety of payments including multi-level-marketing, utility bills, government payments, education services and many others. Other Adjusted Net Revenue </w:t>
      </w:r>
      <w:r w:rsidR="0064744A">
        <w:rPr>
          <w:rFonts w:ascii="Times New Roman"/>
        </w:rPr>
        <w:t>is principally composed of revenue from inactivity fees, interest revenue and gain from currency swaps and overdrafts provided to agents, revenue from rent of space for kiosks and sale of kiosks, cash and settlement services and advertising</w:t>
      </w:r>
      <w:r>
        <w:rPr>
          <w:rFonts w:ascii="Times New Roman"/>
        </w:rPr>
        <w:t>.</w:t>
      </w:r>
    </w:p>
    <w:p w:rsidR="003D3912" w:rsidRDefault="003D3912">
      <w:pPr>
        <w:spacing w:after="0"/>
        <w:rPr>
          <w:rFonts w:ascii="Times New Roman" w:eastAsia="Times New Roman" w:hAnsi="Times New Roman" w:cs="Times New Roman"/>
        </w:rPr>
      </w:pPr>
    </w:p>
    <w:p w:rsidR="003D3912" w:rsidRDefault="00233C6E">
      <w:pPr>
        <w:spacing w:after="0"/>
        <w:jc w:val="center"/>
      </w:pPr>
      <w:r>
        <w:rPr>
          <w:rFonts w:ascii="Times New Roman Bold" w:eastAsia="Times New Roman Bold" w:hAnsi="Times New Roman Bold" w:cs="Times New Roman Bold"/>
        </w:rPr>
        <w:br w:type="page"/>
      </w:r>
    </w:p>
    <w:p w:rsidR="003D3912" w:rsidRDefault="003D3912">
      <w:pPr>
        <w:spacing w:after="0"/>
        <w:jc w:val="center"/>
        <w:rPr>
          <w:rFonts w:ascii="Times New Roman Bold" w:eastAsia="Times New Roman Bold" w:hAnsi="Times New Roman Bold" w:cs="Times New Roman Bold"/>
        </w:rPr>
      </w:pP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QIWI plc.</w:t>
      </w: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Reconciliation of IFRS to Non-IFRS Operating Results</w:t>
      </w:r>
    </w:p>
    <w:p w:rsidR="003D3912" w:rsidRDefault="00233C6E">
      <w:pPr>
        <w:spacing w:after="0"/>
        <w:jc w:val="center"/>
        <w:rPr>
          <w:rFonts w:ascii="Times New Roman" w:eastAsia="Times New Roman" w:hAnsi="Times New Roman" w:cs="Times New Roman"/>
          <w:b/>
          <w:bCs/>
          <w:i/>
          <w:iCs/>
          <w:sz w:val="20"/>
          <w:szCs w:val="20"/>
        </w:rPr>
      </w:pPr>
      <w:r>
        <w:rPr>
          <w:rFonts w:ascii="Times New Roman"/>
          <w:b/>
          <w:bCs/>
          <w:i/>
          <w:iCs/>
          <w:sz w:val="20"/>
          <w:szCs w:val="20"/>
        </w:rPr>
        <w:t>(</w:t>
      </w:r>
      <w:proofErr w:type="gramStart"/>
      <w:r>
        <w:rPr>
          <w:rFonts w:ascii="Times New Roman"/>
          <w:b/>
          <w:bCs/>
          <w:i/>
          <w:iCs/>
          <w:sz w:val="20"/>
          <w:szCs w:val="20"/>
        </w:rPr>
        <w:t>in</w:t>
      </w:r>
      <w:proofErr w:type="gramEnd"/>
      <w:r>
        <w:rPr>
          <w:rFonts w:ascii="Times New Roman"/>
          <w:b/>
          <w:bCs/>
          <w:i/>
          <w:iCs/>
          <w:sz w:val="20"/>
          <w:szCs w:val="20"/>
        </w:rPr>
        <w:t xml:space="preserve"> millions, except per share data)</w:t>
      </w:r>
    </w:p>
    <w:p w:rsidR="003D3912" w:rsidRDefault="00666A15">
      <w:pPr>
        <w:spacing w:after="0"/>
        <w:jc w:val="center"/>
        <w:rPr>
          <w:rFonts w:ascii="Times New Roman" w:eastAsia="Times New Roman" w:hAnsi="Times New Roman" w:cs="Times New Roman"/>
          <w:b/>
          <w:bCs/>
          <w:i/>
          <w:iCs/>
          <w:sz w:val="20"/>
          <w:szCs w:val="20"/>
        </w:rPr>
      </w:pPr>
      <w:r w:rsidRPr="00666A15">
        <w:rPr>
          <w:rFonts w:ascii="Times New Roman" w:eastAsia="Times New Roman" w:hAnsi="Times New Roman" w:cs="Times New Roman"/>
          <w:b/>
          <w:bCs/>
          <w:i/>
          <w:iCs/>
          <w:sz w:val="20"/>
          <w:szCs w:val="20"/>
        </w:rPr>
        <w:t xml:space="preserve"> </w:t>
      </w:r>
    </w:p>
    <w:p w:rsidR="003D3912" w:rsidRDefault="004B3CF9">
      <w:pPr>
        <w:spacing w:after="0"/>
        <w:jc w:val="center"/>
        <w:rPr>
          <w:rFonts w:ascii="Times New Roman" w:eastAsia="Times New Roman" w:hAnsi="Times New Roman" w:cs="Times New Roman"/>
        </w:rPr>
      </w:pPr>
      <w:r w:rsidRPr="004B3CF9">
        <w:rPr>
          <w:noProof/>
          <w:lang w:val="ru-RU" w:eastAsia="ru-RU"/>
        </w:rPr>
        <w:drawing>
          <wp:inline distT="0" distB="0" distL="0" distR="0" wp14:anchorId="32165111" wp14:editId="1D30D51E">
            <wp:extent cx="5943600" cy="6539604"/>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6539604"/>
                    </a:xfrm>
                    <a:prstGeom prst="rect">
                      <a:avLst/>
                    </a:prstGeom>
                    <a:noFill/>
                    <a:ln>
                      <a:noFill/>
                    </a:ln>
                  </pic:spPr>
                </pic:pic>
              </a:graphicData>
            </a:graphic>
          </wp:inline>
        </w:drawing>
      </w:r>
      <w:r w:rsidR="00CA0DAB" w:rsidRPr="00CA0DAB">
        <w:rPr>
          <w:rFonts w:ascii="Times New Roman" w:eastAsia="Times New Roman" w:hAnsi="Times New Roman" w:cs="Times New Roman"/>
        </w:rPr>
        <w:t xml:space="preserve"> </w:t>
      </w:r>
      <w:r w:rsidR="00446AF7" w:rsidRPr="00446AF7">
        <w:rPr>
          <w:rFonts w:ascii="Times New Roman" w:eastAsia="Times New Roman" w:hAnsi="Times New Roman" w:cs="Times New Roman"/>
        </w:rPr>
        <w:t xml:space="preserve"> </w:t>
      </w:r>
    </w:p>
    <w:p w:rsidR="003D3912" w:rsidRPr="00363523" w:rsidRDefault="003D3912">
      <w:pPr>
        <w:spacing w:after="0"/>
        <w:jc w:val="center"/>
        <w:rPr>
          <w:rFonts w:ascii="Times New Roman" w:eastAsia="Times New Roman" w:hAnsi="Times New Roman" w:cs="Times New Roman"/>
        </w:rPr>
      </w:pPr>
    </w:p>
    <w:p w:rsidR="003D3912" w:rsidRDefault="003D3912">
      <w:pPr>
        <w:spacing w:after="0"/>
        <w:jc w:val="center"/>
        <w:rPr>
          <w:rFonts w:ascii="Times New Roman" w:eastAsia="Times New Roman" w:hAnsi="Times New Roman" w:cs="Times New Roman"/>
        </w:rPr>
      </w:pPr>
    </w:p>
    <w:p w:rsidR="00285B3F" w:rsidRPr="0085415D" w:rsidRDefault="00233C6E" w:rsidP="0085415D">
      <w:pPr>
        <w:spacing w:after="0"/>
        <w:jc w:val="both"/>
        <w:rPr>
          <w:rFonts w:ascii="Times New Roman" w:eastAsia="Times New Roman" w:hAnsi="Times New Roman" w:cs="Times New Roman"/>
          <w:sz w:val="16"/>
          <w:szCs w:val="16"/>
        </w:rPr>
      </w:pPr>
      <w:r>
        <w:rPr>
          <w:rFonts w:ascii="Times New Roman" w:eastAsia="Times New Roman" w:hAnsi="Times New Roman" w:cs="Times New Roman"/>
          <w:noProof/>
          <w:sz w:val="16"/>
          <w:szCs w:val="16"/>
          <w:lang w:val="ru-RU" w:eastAsia="ru-RU"/>
        </w:rPr>
        <mc:AlternateContent>
          <mc:Choice Requires="wps">
            <w:drawing>
              <wp:anchor distT="0" distB="0" distL="0" distR="0" simplePos="0" relativeHeight="251660288" behindDoc="0" locked="0" layoutInCell="1" allowOverlap="1" wp14:anchorId="37146E04" wp14:editId="25CD6BC4">
                <wp:simplePos x="0" y="0"/>
                <wp:positionH relativeFrom="column">
                  <wp:posOffset>5075</wp:posOffset>
                </wp:positionH>
                <wp:positionV relativeFrom="line">
                  <wp:posOffset>34924</wp:posOffset>
                </wp:positionV>
                <wp:extent cx="1388746" cy="634"/>
                <wp:effectExtent l="0" t="0" r="0" b="0"/>
                <wp:wrapNone/>
                <wp:docPr id="1073741836"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id="officeArt object" o:spid="_x0000_s1026" style="position:absolute;z-index:251660288;visibility:visible;mso-wrap-style:square;mso-wrap-distance-left:0;mso-wrap-distance-top:0;mso-wrap-distance-right:0;mso-wrap-distance-bottom:0;mso-position-horizontal:absolute;mso-position-horizontal-relative:text;mso-position-vertical:absolute;mso-position-vertical-relative:line" from=".4pt,2.75pt" to="109.75pt,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">
                <w10:wrap anchory="line"/>
              </v:line>
            </w:pict>
          </mc:Fallback>
        </mc:AlternateContent>
      </w:r>
    </w:p>
    <w:p w:rsidR="003D3912" w:rsidRDefault="00CF4758" w:rsidP="00190582">
      <w:pPr>
        <w:pStyle w:val="a4"/>
        <w:keepNext/>
        <w:numPr>
          <w:ilvl w:val="0"/>
          <w:numId w:val="33"/>
        </w:numPr>
        <w:tabs>
          <w:tab w:val="clear" w:pos="540"/>
          <w:tab w:val="num" w:pos="709"/>
        </w:tabs>
        <w:spacing w:after="0"/>
        <w:ind w:left="709" w:hanging="709"/>
        <w:rPr>
          <w:sz w:val="16"/>
          <w:szCs w:val="16"/>
        </w:rPr>
      </w:pPr>
      <w:r>
        <w:rPr>
          <w:sz w:val="16"/>
          <w:szCs w:val="16"/>
        </w:rPr>
        <w:t xml:space="preserve">Calculated using a ruble to U.S. dollar exchange rate of </w:t>
      </w:r>
      <w:r w:rsidR="007E3AE6">
        <w:rPr>
          <w:sz w:val="16"/>
          <w:szCs w:val="16"/>
        </w:rPr>
        <w:t>RUB 58.</w:t>
      </w:r>
      <w:r w:rsidR="007E3AE6" w:rsidRPr="007E3AE6">
        <w:rPr>
          <w:sz w:val="16"/>
          <w:szCs w:val="16"/>
        </w:rPr>
        <w:t xml:space="preserve">4643 </w:t>
      </w:r>
      <w:r w:rsidR="007E3AE6">
        <w:rPr>
          <w:sz w:val="16"/>
          <w:szCs w:val="16"/>
        </w:rPr>
        <w:t>to U.S. $1.00, which the official exchange rate was quoted by the Central Bank of the Russian Federation as of March 31, 2015.</w:t>
      </w:r>
    </w:p>
    <w:p w:rsidR="003D3912" w:rsidRDefault="00233C6E" w:rsidP="00190582">
      <w:pPr>
        <w:pStyle w:val="a4"/>
        <w:keepNext/>
        <w:numPr>
          <w:ilvl w:val="0"/>
          <w:numId w:val="33"/>
        </w:numPr>
        <w:tabs>
          <w:tab w:val="clear" w:pos="540"/>
          <w:tab w:val="num" w:pos="709"/>
        </w:tabs>
        <w:spacing w:after="0"/>
        <w:ind w:left="709" w:hanging="709"/>
        <w:rPr>
          <w:sz w:val="16"/>
          <w:szCs w:val="16"/>
        </w:rPr>
      </w:pPr>
      <w:r>
        <w:rPr>
          <w:sz w:val="16"/>
          <w:szCs w:val="16"/>
        </w:rPr>
        <w:t>Payment revenue primarily consists of the merchant and consumer fees charged for the payment transactions.</w:t>
      </w:r>
    </w:p>
    <w:p w:rsidR="003D3912" w:rsidRDefault="00233C6E" w:rsidP="00190582">
      <w:pPr>
        <w:pStyle w:val="a4"/>
        <w:keepNext/>
        <w:numPr>
          <w:ilvl w:val="0"/>
          <w:numId w:val="33"/>
        </w:numPr>
        <w:tabs>
          <w:tab w:val="clear" w:pos="540"/>
          <w:tab w:val="num" w:pos="709"/>
        </w:tabs>
        <w:spacing w:after="0"/>
        <w:ind w:left="709" w:hanging="709"/>
        <w:rPr>
          <w:sz w:val="16"/>
          <w:szCs w:val="16"/>
        </w:rPr>
      </w:pPr>
      <w:r>
        <w:rPr>
          <w:sz w:val="16"/>
          <w:szCs w:val="16"/>
        </w:rPr>
        <w:t>Cost of payment revenue (exclusive of depreciation and amortization) primarily consists of transaction costs to acquire payments from our customers payable to agents, mobile operators, international payment systems and other parties.</w:t>
      </w:r>
    </w:p>
    <w:p w:rsidR="003D3912" w:rsidRDefault="00233C6E" w:rsidP="00190582">
      <w:pPr>
        <w:pStyle w:val="a4"/>
        <w:keepNext/>
        <w:numPr>
          <w:ilvl w:val="0"/>
          <w:numId w:val="33"/>
        </w:numPr>
        <w:tabs>
          <w:tab w:val="clear" w:pos="540"/>
          <w:tab w:val="num" w:pos="709"/>
        </w:tabs>
        <w:spacing w:after="0"/>
        <w:ind w:left="709" w:hanging="709"/>
        <w:rPr>
          <w:sz w:val="16"/>
          <w:szCs w:val="16"/>
        </w:rPr>
      </w:pPr>
      <w:r>
        <w:rPr>
          <w:sz w:val="16"/>
          <w:szCs w:val="16"/>
        </w:rPr>
        <w:t xml:space="preserve">The Company does not record the compensation to employees and related taxes within cost of revenue separately for payment revenue and other </w:t>
      </w:r>
      <w:proofErr w:type="gramStart"/>
      <w:r>
        <w:rPr>
          <w:sz w:val="16"/>
          <w:szCs w:val="16"/>
        </w:rPr>
        <w:t>revenue,</w:t>
      </w:r>
      <w:proofErr w:type="gramEnd"/>
      <w:r>
        <w:rPr>
          <w:sz w:val="16"/>
          <w:szCs w:val="16"/>
        </w:rPr>
        <w:t xml:space="preserve"> therefore it has been allocated between payment revenue and other revenue in proportion to the relevant revenue amounts for the purposes of the reconciliation presented above.</w:t>
      </w:r>
    </w:p>
    <w:p w:rsidR="003D3912" w:rsidRDefault="00233C6E" w:rsidP="0064744A">
      <w:pPr>
        <w:pStyle w:val="a4"/>
        <w:keepNext/>
        <w:numPr>
          <w:ilvl w:val="0"/>
          <w:numId w:val="33"/>
        </w:numPr>
        <w:tabs>
          <w:tab w:val="clear" w:pos="540"/>
          <w:tab w:val="num" w:pos="709"/>
        </w:tabs>
        <w:spacing w:after="0"/>
        <w:ind w:left="709" w:hanging="709"/>
        <w:rPr>
          <w:sz w:val="16"/>
          <w:szCs w:val="16"/>
        </w:rPr>
      </w:pPr>
      <w:r>
        <w:rPr>
          <w:sz w:val="16"/>
          <w:szCs w:val="16"/>
        </w:rPr>
        <w:t xml:space="preserve">Other revenue </w:t>
      </w:r>
      <w:r w:rsidR="0064744A" w:rsidRPr="0064744A">
        <w:rPr>
          <w:sz w:val="16"/>
          <w:szCs w:val="16"/>
        </w:rPr>
        <w:t>is principally composed of revenue from inactivity fees, interest revenue and gain from currency swaps and overdrafts provided to agents, revenue from rent of space for kiosks and sale of kiosks, cash and settlement services and advertising</w:t>
      </w:r>
      <w:r>
        <w:rPr>
          <w:sz w:val="16"/>
          <w:szCs w:val="16"/>
        </w:rPr>
        <w:t>.</w:t>
      </w:r>
    </w:p>
    <w:p w:rsidR="003D3912" w:rsidRDefault="00233C6E" w:rsidP="00190582">
      <w:pPr>
        <w:pStyle w:val="a4"/>
        <w:keepNext/>
        <w:numPr>
          <w:ilvl w:val="0"/>
          <w:numId w:val="33"/>
        </w:numPr>
        <w:tabs>
          <w:tab w:val="clear" w:pos="540"/>
          <w:tab w:val="num" w:pos="709"/>
        </w:tabs>
        <w:spacing w:after="0"/>
        <w:ind w:left="709" w:hanging="709"/>
        <w:rPr>
          <w:sz w:val="16"/>
          <w:szCs w:val="16"/>
        </w:rPr>
      </w:pPr>
      <w:r>
        <w:rPr>
          <w:sz w:val="16"/>
          <w:szCs w:val="16"/>
        </w:rPr>
        <w:t xml:space="preserve">Cost of other revenue (exclusive of </w:t>
      </w:r>
      <w:r w:rsidR="00BF025D">
        <w:rPr>
          <w:sz w:val="16"/>
          <w:szCs w:val="16"/>
        </w:rPr>
        <w:t>depreciation</w:t>
      </w:r>
      <w:r>
        <w:rPr>
          <w:sz w:val="16"/>
          <w:szCs w:val="16"/>
        </w:rPr>
        <w:t xml:space="preserve"> and amortization) primarily consists of direct costs associated with other revenue and other costs, including but not limited to: compensation to employees and related taxes allocated to other revenue, costs of call-centers and advertising </w:t>
      </w:r>
      <w:r w:rsidR="00BF025D">
        <w:rPr>
          <w:sz w:val="16"/>
          <w:szCs w:val="16"/>
        </w:rPr>
        <w:t>commissions</w:t>
      </w:r>
      <w:r>
        <w:rPr>
          <w:sz w:val="16"/>
          <w:szCs w:val="16"/>
        </w:rPr>
        <w:t>.</w:t>
      </w:r>
    </w:p>
    <w:p w:rsidR="003D3912" w:rsidRDefault="00BD6E04" w:rsidP="00BD6E04">
      <w:pPr>
        <w:pStyle w:val="a4"/>
        <w:keepNext/>
        <w:numPr>
          <w:ilvl w:val="0"/>
          <w:numId w:val="33"/>
        </w:numPr>
        <w:tabs>
          <w:tab w:val="clear" w:pos="540"/>
          <w:tab w:val="num" w:pos="709"/>
        </w:tabs>
        <w:spacing w:after="0"/>
        <w:ind w:left="709" w:hanging="709"/>
        <w:rPr>
          <w:sz w:val="16"/>
          <w:szCs w:val="16"/>
        </w:rPr>
      </w:pPr>
      <w:r w:rsidRPr="00BD6E04">
        <w:rPr>
          <w:sz w:val="16"/>
          <w:szCs w:val="16"/>
        </w:rPr>
        <w:t>Net effect of foreign exchange gains and losses on June 2014 SPO funds</w:t>
      </w:r>
      <w:r w:rsidR="007044BD">
        <w:rPr>
          <w:sz w:val="16"/>
          <w:szCs w:val="16"/>
        </w:rPr>
        <w:t xml:space="preserve"> </w:t>
      </w:r>
      <w:r w:rsidR="00233C6E">
        <w:rPr>
          <w:sz w:val="16"/>
          <w:szCs w:val="16"/>
        </w:rPr>
        <w:t xml:space="preserve">as presented in the </w:t>
      </w:r>
      <w:r w:rsidR="00BF025D">
        <w:rPr>
          <w:sz w:val="16"/>
          <w:szCs w:val="16"/>
        </w:rPr>
        <w:t>reconciliation</w:t>
      </w:r>
      <w:r w:rsidR="00233C6E">
        <w:rPr>
          <w:sz w:val="16"/>
          <w:szCs w:val="16"/>
        </w:rPr>
        <w:t xml:space="preserve"> of Net Profit to Adjusted Net Profit differs from the Foreign exchange loss</w:t>
      </w:r>
      <w:proofErr w:type="gramStart"/>
      <w:r w:rsidR="00233C6E">
        <w:rPr>
          <w:sz w:val="16"/>
          <w:szCs w:val="16"/>
        </w:rPr>
        <w:t>/(</w:t>
      </w:r>
      <w:proofErr w:type="gramEnd"/>
      <w:r w:rsidR="00233C6E">
        <w:rPr>
          <w:sz w:val="16"/>
          <w:szCs w:val="16"/>
        </w:rPr>
        <w:t xml:space="preserve">gain), net in the </w:t>
      </w:r>
      <w:r w:rsidR="00BF025D">
        <w:rPr>
          <w:sz w:val="16"/>
          <w:szCs w:val="16"/>
        </w:rPr>
        <w:t>reconciliation</w:t>
      </w:r>
      <w:r w:rsidR="00233C6E">
        <w:rPr>
          <w:sz w:val="16"/>
          <w:szCs w:val="16"/>
        </w:rPr>
        <w:t xml:space="preserve"> of Net Profit to Adjusted EBITDA as the latter includes all the foreign </w:t>
      </w:r>
      <w:r w:rsidR="00BF025D">
        <w:rPr>
          <w:sz w:val="16"/>
          <w:szCs w:val="16"/>
        </w:rPr>
        <w:t>exchange</w:t>
      </w:r>
      <w:r w:rsidR="00233C6E">
        <w:rPr>
          <w:sz w:val="16"/>
          <w:szCs w:val="16"/>
        </w:rPr>
        <w:t xml:space="preserve"> losses/(gains) for the period, while the former only include the foreign exchange gain on </w:t>
      </w:r>
      <w:r w:rsidR="00504AE6" w:rsidRPr="00504AE6">
        <w:rPr>
          <w:sz w:val="16"/>
          <w:szCs w:val="16"/>
        </w:rPr>
        <w:t>the SPO US dollar denominated funds</w:t>
      </w:r>
      <w:r w:rsidR="00233C6E">
        <w:rPr>
          <w:sz w:val="16"/>
          <w:szCs w:val="16"/>
        </w:rPr>
        <w:t>.</w:t>
      </w:r>
    </w:p>
    <w:p w:rsidR="003D3912" w:rsidRPr="007E3AE6" w:rsidRDefault="00233C6E" w:rsidP="00504AE6">
      <w:pPr>
        <w:pStyle w:val="a4"/>
        <w:keepNext/>
        <w:numPr>
          <w:ilvl w:val="0"/>
          <w:numId w:val="33"/>
        </w:numPr>
        <w:tabs>
          <w:tab w:val="clear" w:pos="540"/>
          <w:tab w:val="num" w:pos="709"/>
        </w:tabs>
        <w:spacing w:after="0"/>
        <w:ind w:left="709" w:hanging="709"/>
      </w:pPr>
      <w:r>
        <w:rPr>
          <w:sz w:val="16"/>
          <w:szCs w:val="16"/>
        </w:rPr>
        <w:br w:type="page"/>
      </w: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QIWI plc.</w:t>
      </w:r>
    </w:p>
    <w:p w:rsidR="003D3912" w:rsidRDefault="00233C6E">
      <w:pPr>
        <w:spacing w:after="0"/>
        <w:jc w:val="center"/>
        <w:rPr>
          <w:rFonts w:ascii="Times New Roman Bold"/>
          <w:b/>
        </w:rPr>
      </w:pPr>
      <w:r w:rsidRPr="004C2998">
        <w:rPr>
          <w:rFonts w:ascii="Times New Roman Bold"/>
          <w:b/>
        </w:rPr>
        <w:t>Other Operating Data</w:t>
      </w:r>
    </w:p>
    <w:p w:rsidR="00504AE6" w:rsidRPr="00190582" w:rsidRDefault="00504AE6">
      <w:pPr>
        <w:spacing w:after="0"/>
        <w:jc w:val="center"/>
        <w:rPr>
          <w:rFonts w:ascii="Times New Roman Bold" w:eastAsia="Times New Roman Bold" w:hAnsi="Times New Roman Bold" w:cs="Times New Roman Bold"/>
          <w:b/>
        </w:rPr>
      </w:pPr>
    </w:p>
    <w:p w:rsidR="003D3912" w:rsidRPr="00190582" w:rsidRDefault="0064744A">
      <w:pPr>
        <w:spacing w:after="0"/>
        <w:jc w:val="center"/>
        <w:rPr>
          <w:rFonts w:ascii="Times New Roman Bold" w:eastAsia="Times New Roman Bold" w:hAnsi="Times New Roman Bold" w:cs="Times New Roman Bold"/>
        </w:rPr>
      </w:pPr>
      <w:r w:rsidRPr="0064744A">
        <w:rPr>
          <w:noProof/>
          <w:lang w:val="ru-RU" w:eastAsia="ru-RU"/>
        </w:rPr>
        <w:drawing>
          <wp:inline distT="0" distB="0" distL="0" distR="0" wp14:anchorId="3B4320AF" wp14:editId="1949ABFF">
            <wp:extent cx="5943600" cy="459351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4593515"/>
                    </a:xfrm>
                    <a:prstGeom prst="rect">
                      <a:avLst/>
                    </a:prstGeom>
                    <a:noFill/>
                    <a:ln>
                      <a:noFill/>
                    </a:ln>
                  </pic:spPr>
                </pic:pic>
              </a:graphicData>
            </a:graphic>
          </wp:inline>
        </w:drawing>
      </w:r>
    </w:p>
    <w:p w:rsidR="003D3912" w:rsidRPr="00190582" w:rsidRDefault="00233C6E">
      <w:pPr>
        <w:spacing w:after="0"/>
        <w:jc w:val="center"/>
      </w:pPr>
      <w:r>
        <w:rPr>
          <w:noProof/>
          <w:lang w:val="ru-RU" w:eastAsia="ru-RU"/>
        </w:rPr>
        <mc:AlternateContent>
          <mc:Choice Requires="wps">
            <w:drawing>
              <wp:anchor distT="0" distB="0" distL="0" distR="0" simplePos="0" relativeHeight="251665408" behindDoc="0" locked="0" layoutInCell="1" allowOverlap="1" wp14:anchorId="471A38C2" wp14:editId="5400351B">
                <wp:simplePos x="0" y="0"/>
                <wp:positionH relativeFrom="column">
                  <wp:posOffset>50795</wp:posOffset>
                </wp:positionH>
                <wp:positionV relativeFrom="line">
                  <wp:posOffset>150494</wp:posOffset>
                </wp:positionV>
                <wp:extent cx="1388746" cy="634"/>
                <wp:effectExtent l="0" t="0" r="0" b="0"/>
                <wp:wrapNone/>
                <wp:docPr id="1073741841"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id="officeArt object" o:spid="_x0000_s1026" style="position:absolute;z-index:251665408;visibility:visible;mso-wrap-style:square;mso-wrap-distance-left:0;mso-wrap-distance-top:0;mso-wrap-distance-right:0;mso-wrap-distance-bottom:0;mso-position-horizontal:absolute;mso-position-horizontal-relative:text;mso-position-vertical:absolute;mso-position-vertical-relative:line" from="4pt,11.85pt" to="113.35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">
                <w10:wrap anchory="line"/>
              </v:line>
            </w:pict>
          </mc:Fallback>
        </mc:AlternateContent>
      </w:r>
    </w:p>
    <w:p w:rsidR="003D3912" w:rsidRDefault="00CF4758">
      <w:pPr>
        <w:pStyle w:val="a4"/>
        <w:keepNext/>
        <w:numPr>
          <w:ilvl w:val="0"/>
          <w:numId w:val="39"/>
        </w:numPr>
        <w:tabs>
          <w:tab w:val="clear" w:pos="540"/>
          <w:tab w:val="num" w:pos="810"/>
        </w:tabs>
        <w:spacing w:after="0"/>
        <w:ind w:left="810" w:hanging="810"/>
        <w:rPr>
          <w:sz w:val="16"/>
          <w:szCs w:val="16"/>
        </w:rPr>
      </w:pPr>
      <w:r>
        <w:rPr>
          <w:sz w:val="16"/>
          <w:szCs w:val="16"/>
        </w:rPr>
        <w:t xml:space="preserve">Calculated using a ruble to U.S. dollar exchange rate of </w:t>
      </w:r>
      <w:r w:rsidR="007E3AE6">
        <w:rPr>
          <w:sz w:val="16"/>
          <w:szCs w:val="16"/>
        </w:rPr>
        <w:t>RUB 58.</w:t>
      </w:r>
      <w:r w:rsidR="007E3AE6" w:rsidRPr="007E3AE6">
        <w:rPr>
          <w:sz w:val="16"/>
          <w:szCs w:val="16"/>
        </w:rPr>
        <w:t xml:space="preserve">4643 </w:t>
      </w:r>
      <w:r w:rsidR="007E3AE6">
        <w:rPr>
          <w:sz w:val="16"/>
          <w:szCs w:val="16"/>
        </w:rPr>
        <w:t>to U.S. $1.00, which the official exchange rate was quoted by the Central Bank of the Russian Federation as of March 31, 2015.</w:t>
      </w:r>
    </w:p>
    <w:p w:rsidR="003D3912" w:rsidRDefault="00233C6E">
      <w:pPr>
        <w:pStyle w:val="a4"/>
        <w:keepNext/>
        <w:numPr>
          <w:ilvl w:val="0"/>
          <w:numId w:val="39"/>
        </w:numPr>
        <w:tabs>
          <w:tab w:val="clear" w:pos="540"/>
          <w:tab w:val="num" w:pos="810"/>
        </w:tabs>
        <w:spacing w:after="0"/>
        <w:ind w:left="810" w:hanging="810"/>
        <w:rPr>
          <w:sz w:val="16"/>
          <w:szCs w:val="16"/>
        </w:rPr>
      </w:pPr>
      <w:r>
        <w:rPr>
          <w:sz w:val="16"/>
          <w:szCs w:val="16"/>
        </w:rPr>
        <w:t xml:space="preserve">Payment volume by market </w:t>
      </w:r>
      <w:r w:rsidR="00C3360B">
        <w:rPr>
          <w:sz w:val="16"/>
          <w:szCs w:val="16"/>
        </w:rPr>
        <w:t>verticals</w:t>
      </w:r>
      <w:r>
        <w:rPr>
          <w:sz w:val="16"/>
          <w:szCs w:val="16"/>
        </w:rPr>
        <w:t xml:space="preserve"> and consolidated payment volume consist of the amounts paid by our customers to merchants included in each of those market </w:t>
      </w:r>
      <w:r w:rsidR="00C3360B">
        <w:rPr>
          <w:sz w:val="16"/>
          <w:szCs w:val="16"/>
        </w:rPr>
        <w:t>verticals</w:t>
      </w:r>
      <w:r>
        <w:rPr>
          <w:sz w:val="16"/>
          <w:szCs w:val="16"/>
        </w:rPr>
        <w:t xml:space="preserve"> less intra-group eliminations. The methodology of payment volumes allocation between different market </w:t>
      </w:r>
      <w:r w:rsidR="00C3360B">
        <w:rPr>
          <w:sz w:val="16"/>
          <w:szCs w:val="16"/>
        </w:rPr>
        <w:t>verticals</w:t>
      </w:r>
      <w:r>
        <w:rPr>
          <w:sz w:val="16"/>
          <w:szCs w:val="16"/>
        </w:rPr>
        <w:t xml:space="preserve"> in QIWI</w:t>
      </w:r>
      <w:r>
        <w:rPr>
          <w:rFonts w:hAnsi="Times New Roman"/>
          <w:sz w:val="16"/>
          <w:szCs w:val="16"/>
        </w:rPr>
        <w:t>’</w:t>
      </w:r>
      <w:r>
        <w:rPr>
          <w:sz w:val="16"/>
          <w:szCs w:val="16"/>
        </w:rPr>
        <w:t>s international operations (including Kaza</w:t>
      </w:r>
      <w:r w:rsidR="00C3360B">
        <w:rPr>
          <w:sz w:val="16"/>
          <w:szCs w:val="16"/>
        </w:rPr>
        <w:t>k</w:t>
      </w:r>
      <w:r>
        <w:rPr>
          <w:sz w:val="16"/>
          <w:szCs w:val="16"/>
        </w:rPr>
        <w:t>hstan) may differ from the methodology used by QIWI</w:t>
      </w:r>
      <w:r>
        <w:rPr>
          <w:rFonts w:hAnsi="Times New Roman"/>
          <w:sz w:val="16"/>
          <w:szCs w:val="16"/>
        </w:rPr>
        <w:t>’</w:t>
      </w:r>
      <w:r>
        <w:rPr>
          <w:sz w:val="16"/>
          <w:szCs w:val="16"/>
        </w:rPr>
        <w:t>s Russian operations. We therefore retain the right to restate the presented volumes, net revenues and net revenue yields data in case the methodology of QIWI</w:t>
      </w:r>
      <w:r>
        <w:rPr>
          <w:rFonts w:hAnsi="Times New Roman"/>
          <w:sz w:val="16"/>
          <w:szCs w:val="16"/>
        </w:rPr>
        <w:t>’</w:t>
      </w:r>
      <w:r>
        <w:rPr>
          <w:sz w:val="16"/>
          <w:szCs w:val="16"/>
        </w:rPr>
        <w:t>s international operations will be brought in conformity with the methodology of QIWI</w:t>
      </w:r>
      <w:r>
        <w:rPr>
          <w:rFonts w:hAnsi="Times New Roman"/>
          <w:sz w:val="16"/>
          <w:szCs w:val="16"/>
        </w:rPr>
        <w:t>’</w:t>
      </w:r>
      <w:r>
        <w:rPr>
          <w:sz w:val="16"/>
          <w:szCs w:val="16"/>
        </w:rPr>
        <w:t>s Russian operations.</w:t>
      </w:r>
    </w:p>
    <w:p w:rsidR="003D3912" w:rsidRDefault="00233C6E">
      <w:pPr>
        <w:pStyle w:val="a4"/>
        <w:keepNext/>
        <w:numPr>
          <w:ilvl w:val="0"/>
          <w:numId w:val="39"/>
        </w:numPr>
        <w:tabs>
          <w:tab w:val="clear" w:pos="540"/>
          <w:tab w:val="num" w:pos="810"/>
        </w:tabs>
        <w:spacing w:after="0"/>
        <w:ind w:left="810" w:hanging="810"/>
        <w:rPr>
          <w:sz w:val="16"/>
          <w:szCs w:val="16"/>
        </w:rPr>
      </w:pPr>
      <w:r>
        <w:rPr>
          <w:sz w:val="16"/>
          <w:szCs w:val="16"/>
        </w:rPr>
        <w:t>Payment Adjusted Net Revenue is calculated as the difference between Payment Gross Revenue and Payment Costs. Payment Gross Revenue primarily consists of merchant and consumer fees. Payment Costs primarily consist of commission to agents.</w:t>
      </w:r>
    </w:p>
    <w:p w:rsidR="00F80F5D" w:rsidRDefault="00F80F5D" w:rsidP="00190582">
      <w:pPr>
        <w:pStyle w:val="a4"/>
        <w:keepNext/>
        <w:numPr>
          <w:ilvl w:val="0"/>
          <w:numId w:val="39"/>
        </w:numPr>
        <w:tabs>
          <w:tab w:val="clear" w:pos="540"/>
          <w:tab w:val="num" w:pos="810"/>
        </w:tabs>
        <w:spacing w:after="0"/>
        <w:ind w:left="810" w:hanging="810"/>
        <w:rPr>
          <w:sz w:val="16"/>
          <w:szCs w:val="16"/>
        </w:rPr>
      </w:pPr>
      <w:r w:rsidRPr="00F80F5D">
        <w:rPr>
          <w:sz w:val="16"/>
          <w:szCs w:val="16"/>
        </w:rPr>
        <w:t>We measure the numbers of our kiosks and terminals on a daily basis, with only those kiosks and terminals being taken into calculation through which at least one payment has been processed during the day, which we refer to as active kiosks and terminals. The period end numbers of our kiosks and terminals are calculated as an average of the amount of active kiosks and terminals for the last 30 days of the respective reporting period.</w:t>
      </w:r>
    </w:p>
    <w:p w:rsidR="003D3912" w:rsidRDefault="00233C6E" w:rsidP="00190582">
      <w:pPr>
        <w:pStyle w:val="a4"/>
        <w:keepNext/>
        <w:numPr>
          <w:ilvl w:val="0"/>
          <w:numId w:val="39"/>
        </w:numPr>
        <w:tabs>
          <w:tab w:val="clear" w:pos="540"/>
          <w:tab w:val="num" w:pos="810"/>
        </w:tabs>
        <w:spacing w:after="0"/>
        <w:ind w:left="810" w:hanging="810"/>
        <w:rPr>
          <w:sz w:val="16"/>
          <w:szCs w:val="16"/>
        </w:rPr>
      </w:pPr>
      <w:r>
        <w:rPr>
          <w:sz w:val="16"/>
          <w:szCs w:val="16"/>
        </w:rPr>
        <w:t>Active V</w:t>
      </w:r>
      <w:r w:rsidR="000531F0">
        <w:rPr>
          <w:sz w:val="16"/>
          <w:szCs w:val="16"/>
        </w:rPr>
        <w:t>isa</w:t>
      </w:r>
      <w:r>
        <w:rPr>
          <w:sz w:val="16"/>
          <w:szCs w:val="16"/>
        </w:rPr>
        <w:t xml:space="preserve"> </w:t>
      </w:r>
      <w:proofErr w:type="spellStart"/>
      <w:r>
        <w:rPr>
          <w:sz w:val="16"/>
          <w:szCs w:val="16"/>
        </w:rPr>
        <w:t>Qiwi</w:t>
      </w:r>
      <w:proofErr w:type="spellEnd"/>
      <w:r>
        <w:rPr>
          <w:sz w:val="16"/>
          <w:szCs w:val="16"/>
        </w:rPr>
        <w:t xml:space="preserve"> Wallet accounts calculated on a yearly basis, i.e. an active account is an account that had at least one transaction within the last 12 months from the reporting date.</w:t>
      </w:r>
    </w:p>
    <w:p w:rsidR="003D3912" w:rsidRPr="007E3AE6" w:rsidRDefault="003D3912" w:rsidP="007E3AE6">
      <w:pPr>
        <w:pStyle w:val="a4"/>
        <w:keepNext/>
        <w:spacing w:after="0"/>
      </w:pPr>
    </w:p>
    <w:sectPr w:rsidR="003D3912" w:rsidRPr="007E3AE6">
      <w:pgSz w:w="12240" w:h="15840"/>
      <w:pgMar w:top="576" w:right="1440" w:bottom="806" w:left="1440" w:header="720" w:footer="274"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4915" w:rsidRDefault="000E4915">
      <w:pPr>
        <w:spacing w:after="0" w:line="240" w:lineRule="auto"/>
      </w:pPr>
      <w:r>
        <w:separator/>
      </w:r>
    </w:p>
  </w:endnote>
  <w:endnote w:type="continuationSeparator" w:id="0">
    <w:p w:rsidR="000E4915" w:rsidRDefault="000E49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Helvetica">
    <w:panose1 w:val="020B0604020202020204"/>
    <w:charset w:val="CC"/>
    <w:family w:val="swiss"/>
    <w:pitch w:val="variable"/>
    <w:sig w:usb0="E0002AFF" w:usb1="C0007843" w:usb2="00000009" w:usb3="00000000" w:csb0="000001FF" w:csb1="00000000"/>
  </w:font>
  <w:font w:name="Lucida Grande">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Trebuchet MS">
    <w:panose1 w:val="020B0603020202020204"/>
    <w:charset w:val="CC"/>
    <w:family w:val="swiss"/>
    <w:pitch w:val="variable"/>
    <w:sig w:usb0="00000287" w:usb1="00000003"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4915" w:rsidRDefault="000E4915">
      <w:pPr>
        <w:spacing w:after="0" w:line="240" w:lineRule="auto"/>
      </w:pPr>
      <w:r>
        <w:separator/>
      </w:r>
    </w:p>
  </w:footnote>
  <w:footnote w:type="continuationSeparator" w:id="0">
    <w:p w:rsidR="000E4915" w:rsidRDefault="000E4915">
      <w:pPr>
        <w:spacing w:after="0" w:line="240" w:lineRule="auto"/>
      </w:pPr>
      <w:r>
        <w:continuationSeparator/>
      </w:r>
    </w:p>
  </w:footnote>
  <w:footnote w:id="1">
    <w:p w:rsidR="004235DB" w:rsidRPr="00CF24B5" w:rsidRDefault="004235DB">
      <w:pPr>
        <w:pStyle w:val="ad"/>
        <w:rPr>
          <w:rFonts w:ascii="Times New Roman" w:hAnsi="Times New Roman" w:cs="Times New Roman"/>
        </w:rPr>
      </w:pPr>
      <w:r w:rsidRPr="00CF24B5">
        <w:rPr>
          <w:rStyle w:val="af"/>
          <w:rFonts w:ascii="Times New Roman" w:hAnsi="Times New Roman" w:cs="Times New Roman"/>
        </w:rPr>
        <w:footnoteRef/>
      </w:r>
      <w:r w:rsidRPr="00CF24B5">
        <w:rPr>
          <w:rFonts w:ascii="Times New Roman" w:hAnsi="Times New Roman" w:cs="Times New Roman"/>
        </w:rPr>
        <w:t xml:space="preserve"> Guidance is provided in Russian rubles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50718"/>
    <w:multiLevelType w:val="multilevel"/>
    <w:tmpl w:val="B5DADA1A"/>
    <w:styleLink w:val="List14"/>
    <w:lvl w:ilvl="0">
      <w:start w:val="4"/>
      <w:numFmt w:val="decimal"/>
      <w:lvlText w:val="(%1)"/>
      <w:lvlJc w:val="left"/>
      <w:pPr>
        <w:tabs>
          <w:tab w:val="num" w:pos="360"/>
        </w:tabs>
        <w:ind w:left="360" w:hanging="36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
    <w:nsid w:val="0CE00D6B"/>
    <w:multiLevelType w:val="multilevel"/>
    <w:tmpl w:val="D48C7D14"/>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2">
    <w:nsid w:val="0F28283A"/>
    <w:multiLevelType w:val="multilevel"/>
    <w:tmpl w:val="084A44F8"/>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3">
    <w:nsid w:val="1134321D"/>
    <w:multiLevelType w:val="multilevel"/>
    <w:tmpl w:val="721C0DF4"/>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880"/>
        </w:tabs>
        <w:ind w:left="880" w:hanging="160"/>
      </w:pPr>
      <w:rPr>
        <w:position w:val="0"/>
        <w:sz w:val="16"/>
        <w:szCs w:val="16"/>
        <w:rtl w:val="0"/>
      </w:rPr>
    </w:lvl>
    <w:lvl w:ilvl="2">
      <w:start w:val="1"/>
      <w:numFmt w:val="lowerRoman"/>
      <w:lvlText w:val="%3."/>
      <w:lvlJc w:val="left"/>
      <w:pPr>
        <w:tabs>
          <w:tab w:val="num" w:pos="1635"/>
        </w:tabs>
        <w:ind w:left="1635" w:hanging="131"/>
      </w:pPr>
      <w:rPr>
        <w:position w:val="0"/>
        <w:sz w:val="16"/>
        <w:szCs w:val="16"/>
        <w:rtl w:val="0"/>
      </w:rPr>
    </w:lvl>
    <w:lvl w:ilvl="3">
      <w:start w:val="1"/>
      <w:numFmt w:val="decimal"/>
      <w:lvlText w:val="%4."/>
      <w:lvlJc w:val="left"/>
      <w:pPr>
        <w:tabs>
          <w:tab w:val="num" w:pos="2320"/>
        </w:tabs>
        <w:ind w:left="2320" w:hanging="160"/>
      </w:pPr>
      <w:rPr>
        <w:position w:val="0"/>
        <w:sz w:val="16"/>
        <w:szCs w:val="16"/>
        <w:rtl w:val="0"/>
      </w:rPr>
    </w:lvl>
    <w:lvl w:ilvl="4">
      <w:start w:val="1"/>
      <w:numFmt w:val="lowerLetter"/>
      <w:lvlText w:val="%5."/>
      <w:lvlJc w:val="left"/>
      <w:pPr>
        <w:tabs>
          <w:tab w:val="num" w:pos="3040"/>
        </w:tabs>
        <w:ind w:left="3040" w:hanging="160"/>
      </w:pPr>
      <w:rPr>
        <w:position w:val="0"/>
        <w:sz w:val="16"/>
        <w:szCs w:val="16"/>
        <w:rtl w:val="0"/>
      </w:rPr>
    </w:lvl>
    <w:lvl w:ilvl="5">
      <w:start w:val="1"/>
      <w:numFmt w:val="lowerRoman"/>
      <w:lvlText w:val="%6."/>
      <w:lvlJc w:val="left"/>
      <w:pPr>
        <w:tabs>
          <w:tab w:val="num" w:pos="3795"/>
        </w:tabs>
        <w:ind w:left="3795" w:hanging="131"/>
      </w:pPr>
      <w:rPr>
        <w:position w:val="0"/>
        <w:sz w:val="16"/>
        <w:szCs w:val="16"/>
        <w:rtl w:val="0"/>
      </w:rPr>
    </w:lvl>
    <w:lvl w:ilvl="6">
      <w:start w:val="1"/>
      <w:numFmt w:val="decimal"/>
      <w:lvlText w:val="%7."/>
      <w:lvlJc w:val="left"/>
      <w:pPr>
        <w:tabs>
          <w:tab w:val="num" w:pos="4480"/>
        </w:tabs>
        <w:ind w:left="4480" w:hanging="160"/>
      </w:pPr>
      <w:rPr>
        <w:position w:val="0"/>
        <w:sz w:val="16"/>
        <w:szCs w:val="16"/>
        <w:rtl w:val="0"/>
      </w:rPr>
    </w:lvl>
    <w:lvl w:ilvl="7">
      <w:start w:val="1"/>
      <w:numFmt w:val="lowerLetter"/>
      <w:lvlText w:val="%8."/>
      <w:lvlJc w:val="left"/>
      <w:pPr>
        <w:tabs>
          <w:tab w:val="num" w:pos="5200"/>
        </w:tabs>
        <w:ind w:left="5200" w:hanging="160"/>
      </w:pPr>
      <w:rPr>
        <w:position w:val="0"/>
        <w:sz w:val="16"/>
        <w:szCs w:val="16"/>
        <w:rtl w:val="0"/>
      </w:rPr>
    </w:lvl>
    <w:lvl w:ilvl="8">
      <w:start w:val="1"/>
      <w:numFmt w:val="lowerRoman"/>
      <w:lvlText w:val="%9."/>
      <w:lvlJc w:val="left"/>
      <w:pPr>
        <w:tabs>
          <w:tab w:val="num" w:pos="5955"/>
        </w:tabs>
        <w:ind w:left="5955" w:hanging="131"/>
      </w:pPr>
      <w:rPr>
        <w:position w:val="0"/>
        <w:sz w:val="16"/>
        <w:szCs w:val="16"/>
        <w:rtl w:val="0"/>
      </w:rPr>
    </w:lvl>
  </w:abstractNum>
  <w:abstractNum w:abstractNumId="4">
    <w:nsid w:val="118B31F8"/>
    <w:multiLevelType w:val="multilevel"/>
    <w:tmpl w:val="742C1EC6"/>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5">
    <w:nsid w:val="13A30587"/>
    <w:multiLevelType w:val="multilevel"/>
    <w:tmpl w:val="9D02ED0C"/>
    <w:lvl w:ilvl="0">
      <w:start w:val="1"/>
      <w:numFmt w:val="decimal"/>
      <w:lvlText w:val="(%1)"/>
      <w:lvlJc w:val="left"/>
      <w:pPr>
        <w:tabs>
          <w:tab w:val="num" w:pos="900"/>
        </w:tabs>
        <w:ind w:left="90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6">
    <w:nsid w:val="14554539"/>
    <w:multiLevelType w:val="multilevel"/>
    <w:tmpl w:val="AD12097E"/>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7">
    <w:nsid w:val="1A0F5C06"/>
    <w:multiLevelType w:val="hybridMultilevel"/>
    <w:tmpl w:val="54E401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C0E092D"/>
    <w:multiLevelType w:val="multilevel"/>
    <w:tmpl w:val="853E3574"/>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9">
    <w:nsid w:val="1E4C78C4"/>
    <w:multiLevelType w:val="multilevel"/>
    <w:tmpl w:val="B692B21E"/>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10">
    <w:nsid w:val="1EBD5DD3"/>
    <w:multiLevelType w:val="multilevel"/>
    <w:tmpl w:val="66F0838C"/>
    <w:lvl w:ilvl="0">
      <w:start w:val="1"/>
      <w:numFmt w:val="decimal"/>
      <w:lvlText w:val="(%1)"/>
      <w:lvlJc w:val="left"/>
      <w:pPr>
        <w:tabs>
          <w:tab w:val="num" w:pos="360"/>
        </w:tabs>
        <w:ind w:left="360" w:hanging="36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1">
    <w:nsid w:val="21C23F1F"/>
    <w:multiLevelType w:val="multilevel"/>
    <w:tmpl w:val="86805416"/>
    <w:styleLink w:val="4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12">
    <w:nsid w:val="247565D3"/>
    <w:multiLevelType w:val="multilevel"/>
    <w:tmpl w:val="1CC2B542"/>
    <w:styleLink w:val="List9"/>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3">
    <w:nsid w:val="25E33FFA"/>
    <w:multiLevelType w:val="multilevel"/>
    <w:tmpl w:val="586A4C74"/>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4">
    <w:nsid w:val="262A5D0B"/>
    <w:multiLevelType w:val="multilevel"/>
    <w:tmpl w:val="613C9CE2"/>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5">
    <w:nsid w:val="277026B7"/>
    <w:multiLevelType w:val="multilevel"/>
    <w:tmpl w:val="FCE6BEF4"/>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16">
    <w:nsid w:val="27C01E29"/>
    <w:multiLevelType w:val="multilevel"/>
    <w:tmpl w:val="7C30C7CC"/>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7">
    <w:nsid w:val="286C736D"/>
    <w:multiLevelType w:val="multilevel"/>
    <w:tmpl w:val="FFC26018"/>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18">
    <w:nsid w:val="2991569F"/>
    <w:multiLevelType w:val="multilevel"/>
    <w:tmpl w:val="CAD6F8BC"/>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19">
    <w:nsid w:val="2A1F1D29"/>
    <w:multiLevelType w:val="multilevel"/>
    <w:tmpl w:val="C7FEDE76"/>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20">
    <w:nsid w:val="2CAA32DD"/>
    <w:multiLevelType w:val="multilevel"/>
    <w:tmpl w:val="FA32F78A"/>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880"/>
        </w:tabs>
        <w:ind w:left="880" w:hanging="160"/>
      </w:pPr>
      <w:rPr>
        <w:position w:val="0"/>
        <w:sz w:val="16"/>
        <w:szCs w:val="16"/>
        <w:rtl w:val="0"/>
      </w:rPr>
    </w:lvl>
    <w:lvl w:ilvl="2">
      <w:start w:val="1"/>
      <w:numFmt w:val="lowerRoman"/>
      <w:lvlText w:val="%3."/>
      <w:lvlJc w:val="left"/>
      <w:pPr>
        <w:tabs>
          <w:tab w:val="num" w:pos="1635"/>
        </w:tabs>
        <w:ind w:left="1635" w:hanging="131"/>
      </w:pPr>
      <w:rPr>
        <w:position w:val="0"/>
        <w:sz w:val="16"/>
        <w:szCs w:val="16"/>
        <w:rtl w:val="0"/>
      </w:rPr>
    </w:lvl>
    <w:lvl w:ilvl="3">
      <w:start w:val="1"/>
      <w:numFmt w:val="decimal"/>
      <w:lvlText w:val="%4."/>
      <w:lvlJc w:val="left"/>
      <w:pPr>
        <w:tabs>
          <w:tab w:val="num" w:pos="2320"/>
        </w:tabs>
        <w:ind w:left="2320" w:hanging="160"/>
      </w:pPr>
      <w:rPr>
        <w:position w:val="0"/>
        <w:sz w:val="16"/>
        <w:szCs w:val="16"/>
        <w:rtl w:val="0"/>
      </w:rPr>
    </w:lvl>
    <w:lvl w:ilvl="4">
      <w:start w:val="1"/>
      <w:numFmt w:val="lowerLetter"/>
      <w:lvlText w:val="%5."/>
      <w:lvlJc w:val="left"/>
      <w:pPr>
        <w:tabs>
          <w:tab w:val="num" w:pos="3040"/>
        </w:tabs>
        <w:ind w:left="3040" w:hanging="160"/>
      </w:pPr>
      <w:rPr>
        <w:position w:val="0"/>
        <w:sz w:val="16"/>
        <w:szCs w:val="16"/>
        <w:rtl w:val="0"/>
      </w:rPr>
    </w:lvl>
    <w:lvl w:ilvl="5">
      <w:start w:val="1"/>
      <w:numFmt w:val="lowerRoman"/>
      <w:lvlText w:val="%6."/>
      <w:lvlJc w:val="left"/>
      <w:pPr>
        <w:tabs>
          <w:tab w:val="num" w:pos="3795"/>
        </w:tabs>
        <w:ind w:left="3795" w:hanging="131"/>
      </w:pPr>
      <w:rPr>
        <w:position w:val="0"/>
        <w:sz w:val="16"/>
        <w:szCs w:val="16"/>
        <w:rtl w:val="0"/>
      </w:rPr>
    </w:lvl>
    <w:lvl w:ilvl="6">
      <w:start w:val="1"/>
      <w:numFmt w:val="decimal"/>
      <w:lvlText w:val="%7."/>
      <w:lvlJc w:val="left"/>
      <w:pPr>
        <w:tabs>
          <w:tab w:val="num" w:pos="4480"/>
        </w:tabs>
        <w:ind w:left="4480" w:hanging="160"/>
      </w:pPr>
      <w:rPr>
        <w:position w:val="0"/>
        <w:sz w:val="16"/>
        <w:szCs w:val="16"/>
        <w:rtl w:val="0"/>
      </w:rPr>
    </w:lvl>
    <w:lvl w:ilvl="7">
      <w:start w:val="1"/>
      <w:numFmt w:val="lowerLetter"/>
      <w:lvlText w:val="%8."/>
      <w:lvlJc w:val="left"/>
      <w:pPr>
        <w:tabs>
          <w:tab w:val="num" w:pos="5200"/>
        </w:tabs>
        <w:ind w:left="5200" w:hanging="160"/>
      </w:pPr>
      <w:rPr>
        <w:position w:val="0"/>
        <w:sz w:val="16"/>
        <w:szCs w:val="16"/>
        <w:rtl w:val="0"/>
      </w:rPr>
    </w:lvl>
    <w:lvl w:ilvl="8">
      <w:start w:val="1"/>
      <w:numFmt w:val="lowerRoman"/>
      <w:lvlText w:val="%9."/>
      <w:lvlJc w:val="left"/>
      <w:pPr>
        <w:tabs>
          <w:tab w:val="num" w:pos="5955"/>
        </w:tabs>
        <w:ind w:left="5955" w:hanging="131"/>
      </w:pPr>
      <w:rPr>
        <w:position w:val="0"/>
        <w:sz w:val="16"/>
        <w:szCs w:val="16"/>
        <w:rtl w:val="0"/>
      </w:rPr>
    </w:lvl>
  </w:abstractNum>
  <w:abstractNum w:abstractNumId="21">
    <w:nsid w:val="2F8E0A94"/>
    <w:multiLevelType w:val="multilevel"/>
    <w:tmpl w:val="0F42B3DC"/>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22">
    <w:nsid w:val="30DD56F7"/>
    <w:multiLevelType w:val="multilevel"/>
    <w:tmpl w:val="1728D524"/>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23">
    <w:nsid w:val="3D246139"/>
    <w:multiLevelType w:val="multilevel"/>
    <w:tmpl w:val="061805D4"/>
    <w:styleLink w:val="2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24">
    <w:nsid w:val="3E406300"/>
    <w:multiLevelType w:val="multilevel"/>
    <w:tmpl w:val="643CECCC"/>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25">
    <w:nsid w:val="416F0E12"/>
    <w:multiLevelType w:val="multilevel"/>
    <w:tmpl w:val="14DEFB98"/>
    <w:styleLink w:val="List0"/>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26">
    <w:nsid w:val="47BF21CB"/>
    <w:multiLevelType w:val="hybridMultilevel"/>
    <w:tmpl w:val="CF5EF42E"/>
    <w:lvl w:ilvl="0" w:tplc="9A100616">
      <w:numFmt w:val="bullet"/>
      <w:lvlText w:val=""/>
      <w:lvlJc w:val="left"/>
      <w:pPr>
        <w:ind w:left="720" w:hanging="360"/>
      </w:pPr>
      <w:rPr>
        <w:rFonts w:ascii="Symbol" w:eastAsia="Arial Unicode MS" w:hAnsi="Symbol" w:cs="Arial Unicode M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8DB328C"/>
    <w:multiLevelType w:val="multilevel"/>
    <w:tmpl w:val="A05EADA6"/>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28">
    <w:nsid w:val="499D46C8"/>
    <w:multiLevelType w:val="multilevel"/>
    <w:tmpl w:val="36B2DA90"/>
    <w:styleLink w:val="List11"/>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29">
    <w:nsid w:val="4A125E78"/>
    <w:multiLevelType w:val="multilevel"/>
    <w:tmpl w:val="C2C8EEEE"/>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30">
    <w:nsid w:val="4DF861C0"/>
    <w:multiLevelType w:val="hybridMultilevel"/>
    <w:tmpl w:val="828CB3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0F17215"/>
    <w:multiLevelType w:val="multilevel"/>
    <w:tmpl w:val="D450905A"/>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32">
    <w:nsid w:val="550A1837"/>
    <w:multiLevelType w:val="multilevel"/>
    <w:tmpl w:val="71741130"/>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33">
    <w:nsid w:val="56734CF9"/>
    <w:multiLevelType w:val="multilevel"/>
    <w:tmpl w:val="721C0DF4"/>
    <w:styleLink w:val="List8"/>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880"/>
        </w:tabs>
        <w:ind w:left="880" w:hanging="160"/>
      </w:pPr>
      <w:rPr>
        <w:position w:val="0"/>
        <w:sz w:val="16"/>
        <w:szCs w:val="16"/>
        <w:rtl w:val="0"/>
      </w:rPr>
    </w:lvl>
    <w:lvl w:ilvl="2">
      <w:start w:val="1"/>
      <w:numFmt w:val="lowerRoman"/>
      <w:lvlText w:val="%3."/>
      <w:lvlJc w:val="left"/>
      <w:pPr>
        <w:tabs>
          <w:tab w:val="num" w:pos="1635"/>
        </w:tabs>
        <w:ind w:left="1635" w:hanging="131"/>
      </w:pPr>
      <w:rPr>
        <w:position w:val="0"/>
        <w:sz w:val="16"/>
        <w:szCs w:val="16"/>
        <w:rtl w:val="0"/>
      </w:rPr>
    </w:lvl>
    <w:lvl w:ilvl="3">
      <w:start w:val="1"/>
      <w:numFmt w:val="decimal"/>
      <w:lvlText w:val="%4."/>
      <w:lvlJc w:val="left"/>
      <w:pPr>
        <w:tabs>
          <w:tab w:val="num" w:pos="2320"/>
        </w:tabs>
        <w:ind w:left="2320" w:hanging="160"/>
      </w:pPr>
      <w:rPr>
        <w:position w:val="0"/>
        <w:sz w:val="16"/>
        <w:szCs w:val="16"/>
        <w:rtl w:val="0"/>
      </w:rPr>
    </w:lvl>
    <w:lvl w:ilvl="4">
      <w:start w:val="1"/>
      <w:numFmt w:val="lowerLetter"/>
      <w:lvlText w:val="%5."/>
      <w:lvlJc w:val="left"/>
      <w:pPr>
        <w:tabs>
          <w:tab w:val="num" w:pos="3040"/>
        </w:tabs>
        <w:ind w:left="3040" w:hanging="160"/>
      </w:pPr>
      <w:rPr>
        <w:position w:val="0"/>
        <w:sz w:val="16"/>
        <w:szCs w:val="16"/>
        <w:rtl w:val="0"/>
      </w:rPr>
    </w:lvl>
    <w:lvl w:ilvl="5">
      <w:start w:val="1"/>
      <w:numFmt w:val="lowerRoman"/>
      <w:lvlText w:val="%6."/>
      <w:lvlJc w:val="left"/>
      <w:pPr>
        <w:tabs>
          <w:tab w:val="num" w:pos="3795"/>
        </w:tabs>
        <w:ind w:left="3795" w:hanging="131"/>
      </w:pPr>
      <w:rPr>
        <w:position w:val="0"/>
        <w:sz w:val="16"/>
        <w:szCs w:val="16"/>
        <w:rtl w:val="0"/>
      </w:rPr>
    </w:lvl>
    <w:lvl w:ilvl="6">
      <w:start w:val="1"/>
      <w:numFmt w:val="decimal"/>
      <w:lvlText w:val="%7."/>
      <w:lvlJc w:val="left"/>
      <w:pPr>
        <w:tabs>
          <w:tab w:val="num" w:pos="4480"/>
        </w:tabs>
        <w:ind w:left="4480" w:hanging="160"/>
      </w:pPr>
      <w:rPr>
        <w:position w:val="0"/>
        <w:sz w:val="16"/>
        <w:szCs w:val="16"/>
        <w:rtl w:val="0"/>
      </w:rPr>
    </w:lvl>
    <w:lvl w:ilvl="7">
      <w:start w:val="1"/>
      <w:numFmt w:val="lowerLetter"/>
      <w:lvlText w:val="%8."/>
      <w:lvlJc w:val="left"/>
      <w:pPr>
        <w:tabs>
          <w:tab w:val="num" w:pos="5200"/>
        </w:tabs>
        <w:ind w:left="5200" w:hanging="160"/>
      </w:pPr>
      <w:rPr>
        <w:position w:val="0"/>
        <w:sz w:val="16"/>
        <w:szCs w:val="16"/>
        <w:rtl w:val="0"/>
      </w:rPr>
    </w:lvl>
    <w:lvl w:ilvl="8">
      <w:start w:val="1"/>
      <w:numFmt w:val="lowerRoman"/>
      <w:lvlText w:val="%9."/>
      <w:lvlJc w:val="left"/>
      <w:pPr>
        <w:tabs>
          <w:tab w:val="num" w:pos="5955"/>
        </w:tabs>
        <w:ind w:left="5955" w:hanging="131"/>
      </w:pPr>
      <w:rPr>
        <w:position w:val="0"/>
        <w:sz w:val="16"/>
        <w:szCs w:val="16"/>
        <w:rtl w:val="0"/>
      </w:rPr>
    </w:lvl>
  </w:abstractNum>
  <w:abstractNum w:abstractNumId="34">
    <w:nsid w:val="5AB801C7"/>
    <w:multiLevelType w:val="multilevel"/>
    <w:tmpl w:val="BD389D04"/>
    <w:styleLink w:val="List10"/>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35">
    <w:nsid w:val="5D420884"/>
    <w:multiLevelType w:val="multilevel"/>
    <w:tmpl w:val="AAF6438A"/>
    <w:styleLink w:val="List7"/>
    <w:lvl w:ilvl="0">
      <w:start w:val="1"/>
      <w:numFmt w:val="decimal"/>
      <w:lvlText w:val="(%1)"/>
      <w:lvlJc w:val="left"/>
      <w:pPr>
        <w:tabs>
          <w:tab w:val="num" w:pos="900"/>
        </w:tabs>
        <w:ind w:left="90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36">
    <w:nsid w:val="5E3D15A7"/>
    <w:multiLevelType w:val="multilevel"/>
    <w:tmpl w:val="D4066F12"/>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37">
    <w:nsid w:val="5EEC3C7E"/>
    <w:multiLevelType w:val="multilevel"/>
    <w:tmpl w:val="E772A8B2"/>
    <w:styleLink w:val="List6"/>
    <w:lvl w:ilvl="0">
      <w:start w:val="1"/>
      <w:numFmt w:val="decimal"/>
      <w:lvlText w:val="(%1)"/>
      <w:lvlJc w:val="left"/>
      <w:pPr>
        <w:tabs>
          <w:tab w:val="num" w:pos="900"/>
        </w:tabs>
        <w:ind w:left="90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38">
    <w:nsid w:val="6610310D"/>
    <w:multiLevelType w:val="multilevel"/>
    <w:tmpl w:val="03AE8BFA"/>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39">
    <w:nsid w:val="6D4D01A7"/>
    <w:multiLevelType w:val="hybridMultilevel"/>
    <w:tmpl w:val="36A014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E087146"/>
    <w:multiLevelType w:val="multilevel"/>
    <w:tmpl w:val="C0840288"/>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41">
    <w:nsid w:val="72383144"/>
    <w:multiLevelType w:val="multilevel"/>
    <w:tmpl w:val="823A9122"/>
    <w:styleLink w:val="List13"/>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42">
    <w:nsid w:val="72EA3A03"/>
    <w:multiLevelType w:val="multilevel"/>
    <w:tmpl w:val="91806F96"/>
    <w:styleLink w:val="List12"/>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43">
    <w:nsid w:val="73B66EF6"/>
    <w:multiLevelType w:val="multilevel"/>
    <w:tmpl w:val="309651CA"/>
    <w:styleLink w:val="List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44">
    <w:nsid w:val="75FE6CC8"/>
    <w:multiLevelType w:val="multilevel"/>
    <w:tmpl w:val="EED27EC4"/>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45">
    <w:nsid w:val="76EC10A4"/>
    <w:multiLevelType w:val="multilevel"/>
    <w:tmpl w:val="1EDEA50E"/>
    <w:lvl w:ilvl="0">
      <w:start w:val="1"/>
      <w:numFmt w:val="decimal"/>
      <w:lvlText w:val="(%1)"/>
      <w:lvlJc w:val="left"/>
      <w:pPr>
        <w:tabs>
          <w:tab w:val="num" w:pos="900"/>
        </w:tabs>
        <w:ind w:left="90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46">
    <w:nsid w:val="77536A47"/>
    <w:multiLevelType w:val="hybridMultilevel"/>
    <w:tmpl w:val="D72A258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8DD020E"/>
    <w:multiLevelType w:val="multilevel"/>
    <w:tmpl w:val="09463AA8"/>
    <w:lvl w:ilvl="0">
      <w:start w:val="1"/>
      <w:numFmt w:val="decimal"/>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48">
    <w:nsid w:val="795179E8"/>
    <w:multiLevelType w:val="multilevel"/>
    <w:tmpl w:val="22C42C60"/>
    <w:styleLink w:val="5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49">
    <w:nsid w:val="7B9E2A6C"/>
    <w:multiLevelType w:val="multilevel"/>
    <w:tmpl w:val="368AB618"/>
    <w:styleLink w:val="3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num w:numId="1">
    <w:abstractNumId w:val="9"/>
  </w:num>
  <w:num w:numId="2">
    <w:abstractNumId w:val="36"/>
  </w:num>
  <w:num w:numId="3">
    <w:abstractNumId w:val="25"/>
  </w:num>
  <w:num w:numId="4">
    <w:abstractNumId w:val="27"/>
  </w:num>
  <w:num w:numId="5">
    <w:abstractNumId w:val="17"/>
  </w:num>
  <w:num w:numId="6">
    <w:abstractNumId w:val="43"/>
  </w:num>
  <w:num w:numId="7">
    <w:abstractNumId w:val="6"/>
  </w:num>
  <w:num w:numId="8">
    <w:abstractNumId w:val="31"/>
  </w:num>
  <w:num w:numId="9">
    <w:abstractNumId w:val="23"/>
  </w:num>
  <w:num w:numId="10">
    <w:abstractNumId w:val="40"/>
  </w:num>
  <w:num w:numId="11">
    <w:abstractNumId w:val="18"/>
  </w:num>
  <w:num w:numId="12">
    <w:abstractNumId w:val="49"/>
  </w:num>
  <w:num w:numId="13">
    <w:abstractNumId w:val="15"/>
  </w:num>
  <w:num w:numId="14">
    <w:abstractNumId w:val="2"/>
  </w:num>
  <w:num w:numId="15">
    <w:abstractNumId w:val="11"/>
  </w:num>
  <w:num w:numId="16">
    <w:abstractNumId w:val="8"/>
  </w:num>
  <w:num w:numId="17">
    <w:abstractNumId w:val="4"/>
  </w:num>
  <w:num w:numId="18">
    <w:abstractNumId w:val="48"/>
  </w:num>
  <w:num w:numId="19">
    <w:abstractNumId w:val="45"/>
  </w:num>
  <w:num w:numId="20">
    <w:abstractNumId w:val="29"/>
  </w:num>
  <w:num w:numId="21">
    <w:abstractNumId w:val="37"/>
  </w:num>
  <w:num w:numId="22">
    <w:abstractNumId w:val="5"/>
  </w:num>
  <w:num w:numId="23">
    <w:abstractNumId w:val="32"/>
  </w:num>
  <w:num w:numId="24">
    <w:abstractNumId w:val="35"/>
  </w:num>
  <w:num w:numId="25">
    <w:abstractNumId w:val="20"/>
  </w:num>
  <w:num w:numId="26">
    <w:abstractNumId w:val="44"/>
  </w:num>
  <w:num w:numId="27">
    <w:abstractNumId w:val="33"/>
  </w:num>
  <w:num w:numId="28">
    <w:abstractNumId w:val="38"/>
  </w:num>
  <w:num w:numId="29">
    <w:abstractNumId w:val="22"/>
  </w:num>
  <w:num w:numId="30">
    <w:abstractNumId w:val="12"/>
  </w:num>
  <w:num w:numId="31">
    <w:abstractNumId w:val="16"/>
  </w:num>
  <w:num w:numId="32">
    <w:abstractNumId w:val="21"/>
  </w:num>
  <w:num w:numId="33">
    <w:abstractNumId w:val="34"/>
  </w:num>
  <w:num w:numId="34">
    <w:abstractNumId w:val="14"/>
  </w:num>
  <w:num w:numId="35">
    <w:abstractNumId w:val="47"/>
  </w:num>
  <w:num w:numId="36">
    <w:abstractNumId w:val="28"/>
  </w:num>
  <w:num w:numId="37">
    <w:abstractNumId w:val="13"/>
  </w:num>
  <w:num w:numId="38">
    <w:abstractNumId w:val="24"/>
  </w:num>
  <w:num w:numId="39">
    <w:abstractNumId w:val="42"/>
  </w:num>
  <w:num w:numId="40">
    <w:abstractNumId w:val="19"/>
  </w:num>
  <w:num w:numId="41">
    <w:abstractNumId w:val="1"/>
  </w:num>
  <w:num w:numId="42">
    <w:abstractNumId w:val="41"/>
  </w:num>
  <w:num w:numId="43">
    <w:abstractNumId w:val="10"/>
  </w:num>
  <w:num w:numId="44">
    <w:abstractNumId w:val="0"/>
  </w:num>
  <w:num w:numId="45">
    <w:abstractNumId w:val="39"/>
  </w:num>
  <w:num w:numId="46">
    <w:abstractNumId w:val="46"/>
  </w:num>
  <w:num w:numId="47">
    <w:abstractNumId w:val="26"/>
  </w:num>
  <w:num w:numId="48">
    <w:abstractNumId w:val="7"/>
  </w:num>
  <w:num w:numId="49">
    <w:abstractNumId w:val="30"/>
  </w:num>
  <w:num w:numId="5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3912"/>
    <w:rsid w:val="000229BB"/>
    <w:rsid w:val="00037864"/>
    <w:rsid w:val="000531F0"/>
    <w:rsid w:val="000A797E"/>
    <w:rsid w:val="000D16DB"/>
    <w:rsid w:val="000E18D7"/>
    <w:rsid w:val="000E3A5F"/>
    <w:rsid w:val="000E4915"/>
    <w:rsid w:val="000E76C6"/>
    <w:rsid w:val="001216CA"/>
    <w:rsid w:val="0013027F"/>
    <w:rsid w:val="00141B4E"/>
    <w:rsid w:val="00144805"/>
    <w:rsid w:val="001674BA"/>
    <w:rsid w:val="00177313"/>
    <w:rsid w:val="00190582"/>
    <w:rsid w:val="00191816"/>
    <w:rsid w:val="001A4D60"/>
    <w:rsid w:val="001B4550"/>
    <w:rsid w:val="001D6800"/>
    <w:rsid w:val="001F7A82"/>
    <w:rsid w:val="0021609E"/>
    <w:rsid w:val="002265E3"/>
    <w:rsid w:val="00233C6E"/>
    <w:rsid w:val="00240EDF"/>
    <w:rsid w:val="002612F8"/>
    <w:rsid w:val="002859EE"/>
    <w:rsid w:val="00285B3F"/>
    <w:rsid w:val="00286836"/>
    <w:rsid w:val="00290540"/>
    <w:rsid w:val="002C4138"/>
    <w:rsid w:val="0032089D"/>
    <w:rsid w:val="00336F2D"/>
    <w:rsid w:val="00356A42"/>
    <w:rsid w:val="0035745D"/>
    <w:rsid w:val="00363523"/>
    <w:rsid w:val="00380826"/>
    <w:rsid w:val="00392B6E"/>
    <w:rsid w:val="003D37C0"/>
    <w:rsid w:val="003D3912"/>
    <w:rsid w:val="003D7326"/>
    <w:rsid w:val="003E7567"/>
    <w:rsid w:val="003F774B"/>
    <w:rsid w:val="004021B3"/>
    <w:rsid w:val="00413EA7"/>
    <w:rsid w:val="004235DB"/>
    <w:rsid w:val="004345A9"/>
    <w:rsid w:val="00434A9E"/>
    <w:rsid w:val="00446AF7"/>
    <w:rsid w:val="00450B58"/>
    <w:rsid w:val="00465FB6"/>
    <w:rsid w:val="004732C2"/>
    <w:rsid w:val="00474582"/>
    <w:rsid w:val="00485092"/>
    <w:rsid w:val="004B3CF9"/>
    <w:rsid w:val="004B6F75"/>
    <w:rsid w:val="004C2998"/>
    <w:rsid w:val="004C6989"/>
    <w:rsid w:val="004E2D18"/>
    <w:rsid w:val="004F5422"/>
    <w:rsid w:val="00504AE6"/>
    <w:rsid w:val="00526788"/>
    <w:rsid w:val="00546044"/>
    <w:rsid w:val="00571BFD"/>
    <w:rsid w:val="00592F2A"/>
    <w:rsid w:val="005B58B2"/>
    <w:rsid w:val="005C6BBA"/>
    <w:rsid w:val="005D406E"/>
    <w:rsid w:val="005D4820"/>
    <w:rsid w:val="00630461"/>
    <w:rsid w:val="00633CBB"/>
    <w:rsid w:val="0064744A"/>
    <w:rsid w:val="00666A15"/>
    <w:rsid w:val="0067127E"/>
    <w:rsid w:val="00675668"/>
    <w:rsid w:val="00683D26"/>
    <w:rsid w:val="0069767E"/>
    <w:rsid w:val="006A5A78"/>
    <w:rsid w:val="006B101D"/>
    <w:rsid w:val="006C1B41"/>
    <w:rsid w:val="006D0F79"/>
    <w:rsid w:val="006D58DD"/>
    <w:rsid w:val="007002E7"/>
    <w:rsid w:val="007044BD"/>
    <w:rsid w:val="00712282"/>
    <w:rsid w:val="00742F9B"/>
    <w:rsid w:val="00750104"/>
    <w:rsid w:val="007744E9"/>
    <w:rsid w:val="00780964"/>
    <w:rsid w:val="00792645"/>
    <w:rsid w:val="007A2727"/>
    <w:rsid w:val="007C45F3"/>
    <w:rsid w:val="007D0D80"/>
    <w:rsid w:val="007E3AE6"/>
    <w:rsid w:val="00830A5A"/>
    <w:rsid w:val="008513D2"/>
    <w:rsid w:val="0085415D"/>
    <w:rsid w:val="00855F08"/>
    <w:rsid w:val="00857A70"/>
    <w:rsid w:val="008A7EF4"/>
    <w:rsid w:val="008B2B08"/>
    <w:rsid w:val="008B3185"/>
    <w:rsid w:val="008F5369"/>
    <w:rsid w:val="008F70A4"/>
    <w:rsid w:val="00917F03"/>
    <w:rsid w:val="009431CD"/>
    <w:rsid w:val="00977306"/>
    <w:rsid w:val="009A423E"/>
    <w:rsid w:val="009D525A"/>
    <w:rsid w:val="00A5672D"/>
    <w:rsid w:val="00A5752A"/>
    <w:rsid w:val="00A90415"/>
    <w:rsid w:val="00AB544F"/>
    <w:rsid w:val="00AB575F"/>
    <w:rsid w:val="00AD253E"/>
    <w:rsid w:val="00AE6B13"/>
    <w:rsid w:val="00AF3F41"/>
    <w:rsid w:val="00AF5573"/>
    <w:rsid w:val="00B03607"/>
    <w:rsid w:val="00B050F0"/>
    <w:rsid w:val="00B2567A"/>
    <w:rsid w:val="00B41122"/>
    <w:rsid w:val="00B4552B"/>
    <w:rsid w:val="00B53C94"/>
    <w:rsid w:val="00BC09AF"/>
    <w:rsid w:val="00BC268B"/>
    <w:rsid w:val="00BD6E04"/>
    <w:rsid w:val="00BF025D"/>
    <w:rsid w:val="00BF2781"/>
    <w:rsid w:val="00C3360B"/>
    <w:rsid w:val="00C35DEF"/>
    <w:rsid w:val="00C408E8"/>
    <w:rsid w:val="00C42E4A"/>
    <w:rsid w:val="00C8238A"/>
    <w:rsid w:val="00C96DED"/>
    <w:rsid w:val="00CA0DAB"/>
    <w:rsid w:val="00CB0335"/>
    <w:rsid w:val="00CB2EC3"/>
    <w:rsid w:val="00CB6D66"/>
    <w:rsid w:val="00CF0D8B"/>
    <w:rsid w:val="00CF24B5"/>
    <w:rsid w:val="00CF3C7E"/>
    <w:rsid w:val="00CF4758"/>
    <w:rsid w:val="00D12212"/>
    <w:rsid w:val="00D16BEC"/>
    <w:rsid w:val="00D20C53"/>
    <w:rsid w:val="00D32B51"/>
    <w:rsid w:val="00D35437"/>
    <w:rsid w:val="00D4025D"/>
    <w:rsid w:val="00D45057"/>
    <w:rsid w:val="00D605DF"/>
    <w:rsid w:val="00D77BE6"/>
    <w:rsid w:val="00DC1BB4"/>
    <w:rsid w:val="00DE2AAC"/>
    <w:rsid w:val="00E14606"/>
    <w:rsid w:val="00E27EAB"/>
    <w:rsid w:val="00E600C2"/>
    <w:rsid w:val="00E63D1B"/>
    <w:rsid w:val="00E679EA"/>
    <w:rsid w:val="00E67B42"/>
    <w:rsid w:val="00E72E79"/>
    <w:rsid w:val="00E94BFB"/>
    <w:rsid w:val="00EC0963"/>
    <w:rsid w:val="00ED62F9"/>
    <w:rsid w:val="00EE3902"/>
    <w:rsid w:val="00F072CC"/>
    <w:rsid w:val="00F10836"/>
    <w:rsid w:val="00F17FDB"/>
    <w:rsid w:val="00F32895"/>
    <w:rsid w:val="00F3539A"/>
    <w:rsid w:val="00F52741"/>
    <w:rsid w:val="00F724DE"/>
    <w:rsid w:val="00F74FA1"/>
    <w:rsid w:val="00F7736A"/>
    <w:rsid w:val="00F80F5D"/>
    <w:rsid w:val="00F949C9"/>
    <w:rsid w:val="00FD15FF"/>
    <w:rsid w:val="00FD5CF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n-US" w:eastAsia="ru-RU"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spacing w:after="200" w:line="276" w:lineRule="auto"/>
    </w:pPr>
    <w:rPr>
      <w:rFonts w:ascii="Calibri" w:eastAsia="Calibri" w:hAnsi="Calibri" w:cs="Calibri"/>
      <w:color w:val="000000"/>
      <w:sz w:val="22"/>
      <w:szCs w:val="22"/>
      <w:u w:color="000000"/>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1">
    <w:name w:val="Table Normal1"/>
    <w:tblPr>
      <w:tblInd w:w="0" w:type="dxa"/>
      <w:tblCellMar>
        <w:top w:w="0" w:type="dxa"/>
        <w:left w:w="0" w:type="dxa"/>
        <w:bottom w:w="0" w:type="dxa"/>
        <w:right w:w="0" w:type="dxa"/>
      </w:tblCellMar>
    </w:tblPr>
  </w:style>
  <w:style w:type="paragraph" w:customStyle="1" w:styleId="HeaderFooter">
    <w:name w:val="Header &amp; Footer"/>
    <w:pPr>
      <w:tabs>
        <w:tab w:val="right" w:pos="9020"/>
      </w:tabs>
    </w:pPr>
    <w:rPr>
      <w:rFonts w:ascii="Helvetica" w:hAnsi="Arial Unicode MS" w:cs="Arial Unicode MS"/>
      <w:color w:val="000000"/>
      <w:sz w:val="24"/>
      <w:szCs w:val="24"/>
    </w:rPr>
  </w:style>
  <w:style w:type="numbering" w:customStyle="1" w:styleId="List0">
    <w:name w:val="List 0"/>
    <w:basedOn w:val="ImportedStyle1"/>
    <w:pPr>
      <w:numPr>
        <w:numId w:val="3"/>
      </w:numPr>
    </w:pPr>
  </w:style>
  <w:style w:type="numbering" w:customStyle="1" w:styleId="ImportedStyle1">
    <w:name w:val="Imported Style 1"/>
  </w:style>
  <w:style w:type="numbering" w:customStyle="1" w:styleId="List1">
    <w:name w:val="List 1"/>
    <w:basedOn w:val="ImportedStyle2"/>
    <w:pPr>
      <w:numPr>
        <w:numId w:val="6"/>
      </w:numPr>
    </w:pPr>
  </w:style>
  <w:style w:type="numbering" w:customStyle="1" w:styleId="ImportedStyle2">
    <w:name w:val="Imported Style 2"/>
  </w:style>
  <w:style w:type="numbering" w:customStyle="1" w:styleId="21">
    <w:name w:val="Список 21"/>
    <w:basedOn w:val="ImportedStyle3"/>
    <w:pPr>
      <w:numPr>
        <w:numId w:val="9"/>
      </w:numPr>
    </w:pPr>
  </w:style>
  <w:style w:type="numbering" w:customStyle="1" w:styleId="ImportedStyle3">
    <w:name w:val="Imported Style 3"/>
  </w:style>
  <w:style w:type="numbering" w:customStyle="1" w:styleId="31">
    <w:name w:val="Список 31"/>
    <w:basedOn w:val="ImportedStyle4"/>
    <w:pPr>
      <w:numPr>
        <w:numId w:val="12"/>
      </w:numPr>
    </w:pPr>
  </w:style>
  <w:style w:type="numbering" w:customStyle="1" w:styleId="ImportedStyle4">
    <w:name w:val="Imported Style 4"/>
  </w:style>
  <w:style w:type="numbering" w:customStyle="1" w:styleId="41">
    <w:name w:val="Список 41"/>
    <w:basedOn w:val="ImportedStyle5"/>
    <w:pPr>
      <w:numPr>
        <w:numId w:val="15"/>
      </w:numPr>
    </w:pPr>
  </w:style>
  <w:style w:type="numbering" w:customStyle="1" w:styleId="ImportedStyle5">
    <w:name w:val="Imported Style 5"/>
  </w:style>
  <w:style w:type="numbering" w:customStyle="1" w:styleId="51">
    <w:name w:val="Список 51"/>
    <w:basedOn w:val="ImportedStyle6"/>
    <w:pPr>
      <w:numPr>
        <w:numId w:val="18"/>
      </w:numPr>
    </w:pPr>
  </w:style>
  <w:style w:type="numbering" w:customStyle="1" w:styleId="ImportedStyle6">
    <w:name w:val="Imported Style 6"/>
  </w:style>
  <w:style w:type="paragraph" w:styleId="a4">
    <w:name w:val="Normal (Web)"/>
    <w:pPr>
      <w:spacing w:after="330" w:line="276" w:lineRule="auto"/>
    </w:pPr>
    <w:rPr>
      <w:rFonts w:hAnsi="Arial Unicode MS" w:cs="Arial Unicode MS"/>
      <w:color w:val="000000"/>
      <w:sz w:val="24"/>
      <w:szCs w:val="24"/>
      <w:u w:color="000000"/>
    </w:rPr>
  </w:style>
  <w:style w:type="numbering" w:customStyle="1" w:styleId="List6">
    <w:name w:val="List 6"/>
    <w:basedOn w:val="ImportedStyle7"/>
    <w:pPr>
      <w:numPr>
        <w:numId w:val="21"/>
      </w:numPr>
    </w:pPr>
  </w:style>
  <w:style w:type="numbering" w:customStyle="1" w:styleId="ImportedStyle7">
    <w:name w:val="Imported Style 7"/>
  </w:style>
  <w:style w:type="numbering" w:customStyle="1" w:styleId="List7">
    <w:name w:val="List 7"/>
    <w:basedOn w:val="ImportedStyle8"/>
    <w:pPr>
      <w:numPr>
        <w:numId w:val="24"/>
      </w:numPr>
    </w:pPr>
  </w:style>
  <w:style w:type="numbering" w:customStyle="1" w:styleId="ImportedStyle8">
    <w:name w:val="Imported Style 8"/>
  </w:style>
  <w:style w:type="numbering" w:customStyle="1" w:styleId="List8">
    <w:name w:val="List 8"/>
    <w:basedOn w:val="ImportedStyle9"/>
    <w:pPr>
      <w:numPr>
        <w:numId w:val="27"/>
      </w:numPr>
    </w:pPr>
  </w:style>
  <w:style w:type="numbering" w:customStyle="1" w:styleId="ImportedStyle9">
    <w:name w:val="Imported Style 9"/>
  </w:style>
  <w:style w:type="numbering" w:customStyle="1" w:styleId="List9">
    <w:name w:val="List 9"/>
    <w:basedOn w:val="ImportedStyle10"/>
    <w:pPr>
      <w:numPr>
        <w:numId w:val="30"/>
      </w:numPr>
    </w:pPr>
  </w:style>
  <w:style w:type="numbering" w:customStyle="1" w:styleId="ImportedStyle10">
    <w:name w:val="Imported Style 10"/>
  </w:style>
  <w:style w:type="numbering" w:customStyle="1" w:styleId="List10">
    <w:name w:val="List 10"/>
    <w:basedOn w:val="ImportedStyle11"/>
    <w:pPr>
      <w:numPr>
        <w:numId w:val="33"/>
      </w:numPr>
    </w:pPr>
  </w:style>
  <w:style w:type="numbering" w:customStyle="1" w:styleId="ImportedStyle11">
    <w:name w:val="Imported Style 11"/>
  </w:style>
  <w:style w:type="numbering" w:customStyle="1" w:styleId="List11">
    <w:name w:val="List 11"/>
    <w:basedOn w:val="ImportedStyle12"/>
    <w:pPr>
      <w:numPr>
        <w:numId w:val="36"/>
      </w:numPr>
    </w:pPr>
  </w:style>
  <w:style w:type="numbering" w:customStyle="1" w:styleId="ImportedStyle12">
    <w:name w:val="Imported Style 12"/>
  </w:style>
  <w:style w:type="numbering" w:customStyle="1" w:styleId="List12">
    <w:name w:val="List 12"/>
    <w:basedOn w:val="ImportedStyle13"/>
    <w:pPr>
      <w:numPr>
        <w:numId w:val="39"/>
      </w:numPr>
    </w:pPr>
  </w:style>
  <w:style w:type="numbering" w:customStyle="1" w:styleId="ImportedStyle13">
    <w:name w:val="Imported Style 13"/>
  </w:style>
  <w:style w:type="numbering" w:customStyle="1" w:styleId="List13">
    <w:name w:val="List 13"/>
    <w:basedOn w:val="ImportedStyle14"/>
    <w:pPr>
      <w:numPr>
        <w:numId w:val="42"/>
      </w:numPr>
    </w:pPr>
  </w:style>
  <w:style w:type="numbering" w:customStyle="1" w:styleId="ImportedStyle14">
    <w:name w:val="Imported Style 14"/>
  </w:style>
  <w:style w:type="numbering" w:customStyle="1" w:styleId="List14">
    <w:name w:val="List 14"/>
    <w:basedOn w:val="ImportedStyle14"/>
    <w:pPr>
      <w:numPr>
        <w:numId w:val="44"/>
      </w:numPr>
    </w:pPr>
  </w:style>
  <w:style w:type="paragraph" w:styleId="a5">
    <w:name w:val="Balloon Text"/>
    <w:basedOn w:val="a"/>
    <w:link w:val="a6"/>
    <w:uiPriority w:val="99"/>
    <w:semiHidden/>
    <w:unhideWhenUsed/>
    <w:rsid w:val="00233C6E"/>
    <w:pPr>
      <w:spacing w:after="0" w:line="240" w:lineRule="auto"/>
    </w:pPr>
    <w:rPr>
      <w:rFonts w:ascii="Lucida Grande" w:hAnsi="Lucida Grande"/>
      <w:sz w:val="18"/>
      <w:szCs w:val="18"/>
    </w:rPr>
  </w:style>
  <w:style w:type="character" w:customStyle="1" w:styleId="a6">
    <w:name w:val="Текст выноски Знак"/>
    <w:basedOn w:val="a0"/>
    <w:link w:val="a5"/>
    <w:uiPriority w:val="99"/>
    <w:semiHidden/>
    <w:rsid w:val="00233C6E"/>
    <w:rPr>
      <w:rFonts w:ascii="Lucida Grande" w:eastAsia="Calibri" w:hAnsi="Lucida Grande" w:cs="Calibri"/>
      <w:color w:val="000000"/>
      <w:sz w:val="18"/>
      <w:szCs w:val="18"/>
      <w:u w:color="000000"/>
      <w:lang w:eastAsia="en-US"/>
    </w:rPr>
  </w:style>
  <w:style w:type="character" w:styleId="a7">
    <w:name w:val="annotation reference"/>
    <w:basedOn w:val="a0"/>
    <w:uiPriority w:val="99"/>
    <w:semiHidden/>
    <w:unhideWhenUsed/>
    <w:rsid w:val="00C35DEF"/>
    <w:rPr>
      <w:sz w:val="16"/>
      <w:szCs w:val="16"/>
    </w:rPr>
  </w:style>
  <w:style w:type="paragraph" w:styleId="a8">
    <w:name w:val="annotation text"/>
    <w:basedOn w:val="a"/>
    <w:link w:val="a9"/>
    <w:uiPriority w:val="99"/>
    <w:unhideWhenUsed/>
    <w:rsid w:val="00C35DEF"/>
    <w:pPr>
      <w:spacing w:line="240" w:lineRule="auto"/>
    </w:pPr>
    <w:rPr>
      <w:sz w:val="20"/>
      <w:szCs w:val="20"/>
    </w:rPr>
  </w:style>
  <w:style w:type="character" w:customStyle="1" w:styleId="a9">
    <w:name w:val="Текст примечания Знак"/>
    <w:basedOn w:val="a0"/>
    <w:link w:val="a8"/>
    <w:uiPriority w:val="99"/>
    <w:rsid w:val="00C35DEF"/>
    <w:rPr>
      <w:rFonts w:ascii="Calibri" w:eastAsia="Calibri" w:hAnsi="Calibri" w:cs="Calibri"/>
      <w:color w:val="000000"/>
      <w:u w:color="000000"/>
      <w:lang w:eastAsia="en-US"/>
    </w:rPr>
  </w:style>
  <w:style w:type="paragraph" w:styleId="aa">
    <w:name w:val="annotation subject"/>
    <w:basedOn w:val="a8"/>
    <w:next w:val="a8"/>
    <w:link w:val="ab"/>
    <w:uiPriority w:val="99"/>
    <w:semiHidden/>
    <w:unhideWhenUsed/>
    <w:rsid w:val="00C35DEF"/>
    <w:rPr>
      <w:b/>
      <w:bCs/>
    </w:rPr>
  </w:style>
  <w:style w:type="character" w:customStyle="1" w:styleId="ab">
    <w:name w:val="Тема примечания Знак"/>
    <w:basedOn w:val="a9"/>
    <w:link w:val="aa"/>
    <w:uiPriority w:val="99"/>
    <w:semiHidden/>
    <w:rsid w:val="00C35DEF"/>
    <w:rPr>
      <w:rFonts w:ascii="Calibri" w:eastAsia="Calibri" w:hAnsi="Calibri" w:cs="Calibri"/>
      <w:b/>
      <w:bCs/>
      <w:color w:val="000000"/>
      <w:u w:color="000000"/>
      <w:lang w:eastAsia="en-US"/>
    </w:rPr>
  </w:style>
  <w:style w:type="paragraph" w:customStyle="1" w:styleId="1CStyle7">
    <w:name w:val="1CStyle7"/>
    <w:rsid w:val="00742F9B"/>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jc w:val="center"/>
    </w:pPr>
    <w:rPr>
      <w:rFonts w:ascii="Arial" w:eastAsia="Times New Roman" w:hAnsi="Arial"/>
      <w:color w:val="000000"/>
      <w:sz w:val="18"/>
      <w:szCs w:val="22"/>
      <w:bdr w:val="none" w:sz="0" w:space="0" w:color="auto"/>
      <w:lang w:val="ru-RU"/>
    </w:rPr>
  </w:style>
  <w:style w:type="paragraph" w:styleId="ac">
    <w:name w:val="List Paragraph"/>
    <w:basedOn w:val="a"/>
    <w:uiPriority w:val="34"/>
    <w:qFormat/>
    <w:rsid w:val="00CA0DAB"/>
    <w:pPr>
      <w:ind w:left="720"/>
      <w:contextualSpacing/>
    </w:pPr>
  </w:style>
  <w:style w:type="paragraph" w:styleId="ad">
    <w:name w:val="footnote text"/>
    <w:basedOn w:val="a"/>
    <w:link w:val="ae"/>
    <w:uiPriority w:val="99"/>
    <w:semiHidden/>
    <w:unhideWhenUsed/>
    <w:rsid w:val="004235DB"/>
    <w:pPr>
      <w:spacing w:after="0" w:line="240" w:lineRule="auto"/>
    </w:pPr>
    <w:rPr>
      <w:sz w:val="20"/>
      <w:szCs w:val="20"/>
    </w:rPr>
  </w:style>
  <w:style w:type="character" w:customStyle="1" w:styleId="ae">
    <w:name w:val="Текст сноски Знак"/>
    <w:basedOn w:val="a0"/>
    <w:link w:val="ad"/>
    <w:uiPriority w:val="99"/>
    <w:semiHidden/>
    <w:rsid w:val="004235DB"/>
    <w:rPr>
      <w:rFonts w:ascii="Calibri" w:eastAsia="Calibri" w:hAnsi="Calibri" w:cs="Calibri"/>
      <w:color w:val="000000"/>
      <w:u w:color="000000"/>
      <w:lang w:eastAsia="en-US"/>
    </w:rPr>
  </w:style>
  <w:style w:type="character" w:styleId="af">
    <w:name w:val="footnote reference"/>
    <w:basedOn w:val="a0"/>
    <w:uiPriority w:val="99"/>
    <w:semiHidden/>
    <w:unhideWhenUsed/>
    <w:rsid w:val="004235DB"/>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n-US" w:eastAsia="ru-RU"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spacing w:after="200" w:line="276" w:lineRule="auto"/>
    </w:pPr>
    <w:rPr>
      <w:rFonts w:ascii="Calibri" w:eastAsia="Calibri" w:hAnsi="Calibri" w:cs="Calibri"/>
      <w:color w:val="000000"/>
      <w:sz w:val="22"/>
      <w:szCs w:val="22"/>
      <w:u w:color="000000"/>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1">
    <w:name w:val="Table Normal1"/>
    <w:tblPr>
      <w:tblInd w:w="0" w:type="dxa"/>
      <w:tblCellMar>
        <w:top w:w="0" w:type="dxa"/>
        <w:left w:w="0" w:type="dxa"/>
        <w:bottom w:w="0" w:type="dxa"/>
        <w:right w:w="0" w:type="dxa"/>
      </w:tblCellMar>
    </w:tblPr>
  </w:style>
  <w:style w:type="paragraph" w:customStyle="1" w:styleId="HeaderFooter">
    <w:name w:val="Header &amp; Footer"/>
    <w:pPr>
      <w:tabs>
        <w:tab w:val="right" w:pos="9020"/>
      </w:tabs>
    </w:pPr>
    <w:rPr>
      <w:rFonts w:ascii="Helvetica" w:hAnsi="Arial Unicode MS" w:cs="Arial Unicode MS"/>
      <w:color w:val="000000"/>
      <w:sz w:val="24"/>
      <w:szCs w:val="24"/>
    </w:rPr>
  </w:style>
  <w:style w:type="numbering" w:customStyle="1" w:styleId="List0">
    <w:name w:val="List 0"/>
    <w:basedOn w:val="ImportedStyle1"/>
    <w:pPr>
      <w:numPr>
        <w:numId w:val="3"/>
      </w:numPr>
    </w:pPr>
  </w:style>
  <w:style w:type="numbering" w:customStyle="1" w:styleId="ImportedStyle1">
    <w:name w:val="Imported Style 1"/>
  </w:style>
  <w:style w:type="numbering" w:customStyle="1" w:styleId="List1">
    <w:name w:val="List 1"/>
    <w:basedOn w:val="ImportedStyle2"/>
    <w:pPr>
      <w:numPr>
        <w:numId w:val="6"/>
      </w:numPr>
    </w:pPr>
  </w:style>
  <w:style w:type="numbering" w:customStyle="1" w:styleId="ImportedStyle2">
    <w:name w:val="Imported Style 2"/>
  </w:style>
  <w:style w:type="numbering" w:customStyle="1" w:styleId="21">
    <w:name w:val="Список 21"/>
    <w:basedOn w:val="ImportedStyle3"/>
    <w:pPr>
      <w:numPr>
        <w:numId w:val="9"/>
      </w:numPr>
    </w:pPr>
  </w:style>
  <w:style w:type="numbering" w:customStyle="1" w:styleId="ImportedStyle3">
    <w:name w:val="Imported Style 3"/>
  </w:style>
  <w:style w:type="numbering" w:customStyle="1" w:styleId="31">
    <w:name w:val="Список 31"/>
    <w:basedOn w:val="ImportedStyle4"/>
    <w:pPr>
      <w:numPr>
        <w:numId w:val="12"/>
      </w:numPr>
    </w:pPr>
  </w:style>
  <w:style w:type="numbering" w:customStyle="1" w:styleId="ImportedStyle4">
    <w:name w:val="Imported Style 4"/>
  </w:style>
  <w:style w:type="numbering" w:customStyle="1" w:styleId="41">
    <w:name w:val="Список 41"/>
    <w:basedOn w:val="ImportedStyle5"/>
    <w:pPr>
      <w:numPr>
        <w:numId w:val="15"/>
      </w:numPr>
    </w:pPr>
  </w:style>
  <w:style w:type="numbering" w:customStyle="1" w:styleId="ImportedStyle5">
    <w:name w:val="Imported Style 5"/>
  </w:style>
  <w:style w:type="numbering" w:customStyle="1" w:styleId="51">
    <w:name w:val="Список 51"/>
    <w:basedOn w:val="ImportedStyle6"/>
    <w:pPr>
      <w:numPr>
        <w:numId w:val="18"/>
      </w:numPr>
    </w:pPr>
  </w:style>
  <w:style w:type="numbering" w:customStyle="1" w:styleId="ImportedStyle6">
    <w:name w:val="Imported Style 6"/>
  </w:style>
  <w:style w:type="paragraph" w:styleId="a4">
    <w:name w:val="Normal (Web)"/>
    <w:pPr>
      <w:spacing w:after="330" w:line="276" w:lineRule="auto"/>
    </w:pPr>
    <w:rPr>
      <w:rFonts w:hAnsi="Arial Unicode MS" w:cs="Arial Unicode MS"/>
      <w:color w:val="000000"/>
      <w:sz w:val="24"/>
      <w:szCs w:val="24"/>
      <w:u w:color="000000"/>
    </w:rPr>
  </w:style>
  <w:style w:type="numbering" w:customStyle="1" w:styleId="List6">
    <w:name w:val="List 6"/>
    <w:basedOn w:val="ImportedStyle7"/>
    <w:pPr>
      <w:numPr>
        <w:numId w:val="21"/>
      </w:numPr>
    </w:pPr>
  </w:style>
  <w:style w:type="numbering" w:customStyle="1" w:styleId="ImportedStyle7">
    <w:name w:val="Imported Style 7"/>
  </w:style>
  <w:style w:type="numbering" w:customStyle="1" w:styleId="List7">
    <w:name w:val="List 7"/>
    <w:basedOn w:val="ImportedStyle8"/>
    <w:pPr>
      <w:numPr>
        <w:numId w:val="24"/>
      </w:numPr>
    </w:pPr>
  </w:style>
  <w:style w:type="numbering" w:customStyle="1" w:styleId="ImportedStyle8">
    <w:name w:val="Imported Style 8"/>
  </w:style>
  <w:style w:type="numbering" w:customStyle="1" w:styleId="List8">
    <w:name w:val="List 8"/>
    <w:basedOn w:val="ImportedStyle9"/>
    <w:pPr>
      <w:numPr>
        <w:numId w:val="27"/>
      </w:numPr>
    </w:pPr>
  </w:style>
  <w:style w:type="numbering" w:customStyle="1" w:styleId="ImportedStyle9">
    <w:name w:val="Imported Style 9"/>
  </w:style>
  <w:style w:type="numbering" w:customStyle="1" w:styleId="List9">
    <w:name w:val="List 9"/>
    <w:basedOn w:val="ImportedStyle10"/>
    <w:pPr>
      <w:numPr>
        <w:numId w:val="30"/>
      </w:numPr>
    </w:pPr>
  </w:style>
  <w:style w:type="numbering" w:customStyle="1" w:styleId="ImportedStyle10">
    <w:name w:val="Imported Style 10"/>
  </w:style>
  <w:style w:type="numbering" w:customStyle="1" w:styleId="List10">
    <w:name w:val="List 10"/>
    <w:basedOn w:val="ImportedStyle11"/>
    <w:pPr>
      <w:numPr>
        <w:numId w:val="33"/>
      </w:numPr>
    </w:pPr>
  </w:style>
  <w:style w:type="numbering" w:customStyle="1" w:styleId="ImportedStyle11">
    <w:name w:val="Imported Style 11"/>
  </w:style>
  <w:style w:type="numbering" w:customStyle="1" w:styleId="List11">
    <w:name w:val="List 11"/>
    <w:basedOn w:val="ImportedStyle12"/>
    <w:pPr>
      <w:numPr>
        <w:numId w:val="36"/>
      </w:numPr>
    </w:pPr>
  </w:style>
  <w:style w:type="numbering" w:customStyle="1" w:styleId="ImportedStyle12">
    <w:name w:val="Imported Style 12"/>
  </w:style>
  <w:style w:type="numbering" w:customStyle="1" w:styleId="List12">
    <w:name w:val="List 12"/>
    <w:basedOn w:val="ImportedStyle13"/>
    <w:pPr>
      <w:numPr>
        <w:numId w:val="39"/>
      </w:numPr>
    </w:pPr>
  </w:style>
  <w:style w:type="numbering" w:customStyle="1" w:styleId="ImportedStyle13">
    <w:name w:val="Imported Style 13"/>
  </w:style>
  <w:style w:type="numbering" w:customStyle="1" w:styleId="List13">
    <w:name w:val="List 13"/>
    <w:basedOn w:val="ImportedStyle14"/>
    <w:pPr>
      <w:numPr>
        <w:numId w:val="42"/>
      </w:numPr>
    </w:pPr>
  </w:style>
  <w:style w:type="numbering" w:customStyle="1" w:styleId="ImportedStyle14">
    <w:name w:val="Imported Style 14"/>
  </w:style>
  <w:style w:type="numbering" w:customStyle="1" w:styleId="List14">
    <w:name w:val="List 14"/>
    <w:basedOn w:val="ImportedStyle14"/>
    <w:pPr>
      <w:numPr>
        <w:numId w:val="44"/>
      </w:numPr>
    </w:pPr>
  </w:style>
  <w:style w:type="paragraph" w:styleId="a5">
    <w:name w:val="Balloon Text"/>
    <w:basedOn w:val="a"/>
    <w:link w:val="a6"/>
    <w:uiPriority w:val="99"/>
    <w:semiHidden/>
    <w:unhideWhenUsed/>
    <w:rsid w:val="00233C6E"/>
    <w:pPr>
      <w:spacing w:after="0" w:line="240" w:lineRule="auto"/>
    </w:pPr>
    <w:rPr>
      <w:rFonts w:ascii="Lucida Grande" w:hAnsi="Lucida Grande"/>
      <w:sz w:val="18"/>
      <w:szCs w:val="18"/>
    </w:rPr>
  </w:style>
  <w:style w:type="character" w:customStyle="1" w:styleId="a6">
    <w:name w:val="Текст выноски Знак"/>
    <w:basedOn w:val="a0"/>
    <w:link w:val="a5"/>
    <w:uiPriority w:val="99"/>
    <w:semiHidden/>
    <w:rsid w:val="00233C6E"/>
    <w:rPr>
      <w:rFonts w:ascii="Lucida Grande" w:eastAsia="Calibri" w:hAnsi="Lucida Grande" w:cs="Calibri"/>
      <w:color w:val="000000"/>
      <w:sz w:val="18"/>
      <w:szCs w:val="18"/>
      <w:u w:color="000000"/>
      <w:lang w:eastAsia="en-US"/>
    </w:rPr>
  </w:style>
  <w:style w:type="character" w:styleId="a7">
    <w:name w:val="annotation reference"/>
    <w:basedOn w:val="a0"/>
    <w:uiPriority w:val="99"/>
    <w:semiHidden/>
    <w:unhideWhenUsed/>
    <w:rsid w:val="00C35DEF"/>
    <w:rPr>
      <w:sz w:val="16"/>
      <w:szCs w:val="16"/>
    </w:rPr>
  </w:style>
  <w:style w:type="paragraph" w:styleId="a8">
    <w:name w:val="annotation text"/>
    <w:basedOn w:val="a"/>
    <w:link w:val="a9"/>
    <w:uiPriority w:val="99"/>
    <w:unhideWhenUsed/>
    <w:rsid w:val="00C35DEF"/>
    <w:pPr>
      <w:spacing w:line="240" w:lineRule="auto"/>
    </w:pPr>
    <w:rPr>
      <w:sz w:val="20"/>
      <w:szCs w:val="20"/>
    </w:rPr>
  </w:style>
  <w:style w:type="character" w:customStyle="1" w:styleId="a9">
    <w:name w:val="Текст примечания Знак"/>
    <w:basedOn w:val="a0"/>
    <w:link w:val="a8"/>
    <w:uiPriority w:val="99"/>
    <w:rsid w:val="00C35DEF"/>
    <w:rPr>
      <w:rFonts w:ascii="Calibri" w:eastAsia="Calibri" w:hAnsi="Calibri" w:cs="Calibri"/>
      <w:color w:val="000000"/>
      <w:u w:color="000000"/>
      <w:lang w:eastAsia="en-US"/>
    </w:rPr>
  </w:style>
  <w:style w:type="paragraph" w:styleId="aa">
    <w:name w:val="annotation subject"/>
    <w:basedOn w:val="a8"/>
    <w:next w:val="a8"/>
    <w:link w:val="ab"/>
    <w:uiPriority w:val="99"/>
    <w:semiHidden/>
    <w:unhideWhenUsed/>
    <w:rsid w:val="00C35DEF"/>
    <w:rPr>
      <w:b/>
      <w:bCs/>
    </w:rPr>
  </w:style>
  <w:style w:type="character" w:customStyle="1" w:styleId="ab">
    <w:name w:val="Тема примечания Знак"/>
    <w:basedOn w:val="a9"/>
    <w:link w:val="aa"/>
    <w:uiPriority w:val="99"/>
    <w:semiHidden/>
    <w:rsid w:val="00C35DEF"/>
    <w:rPr>
      <w:rFonts w:ascii="Calibri" w:eastAsia="Calibri" w:hAnsi="Calibri" w:cs="Calibri"/>
      <w:b/>
      <w:bCs/>
      <w:color w:val="000000"/>
      <w:u w:color="000000"/>
      <w:lang w:eastAsia="en-US"/>
    </w:rPr>
  </w:style>
  <w:style w:type="paragraph" w:customStyle="1" w:styleId="1CStyle7">
    <w:name w:val="1CStyle7"/>
    <w:rsid w:val="00742F9B"/>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jc w:val="center"/>
    </w:pPr>
    <w:rPr>
      <w:rFonts w:ascii="Arial" w:eastAsia="Times New Roman" w:hAnsi="Arial"/>
      <w:color w:val="000000"/>
      <w:sz w:val="18"/>
      <w:szCs w:val="22"/>
      <w:bdr w:val="none" w:sz="0" w:space="0" w:color="auto"/>
      <w:lang w:val="ru-RU"/>
    </w:rPr>
  </w:style>
  <w:style w:type="paragraph" w:styleId="ac">
    <w:name w:val="List Paragraph"/>
    <w:basedOn w:val="a"/>
    <w:uiPriority w:val="34"/>
    <w:qFormat/>
    <w:rsid w:val="00CA0DAB"/>
    <w:pPr>
      <w:ind w:left="720"/>
      <w:contextualSpacing/>
    </w:pPr>
  </w:style>
  <w:style w:type="paragraph" w:styleId="ad">
    <w:name w:val="footnote text"/>
    <w:basedOn w:val="a"/>
    <w:link w:val="ae"/>
    <w:uiPriority w:val="99"/>
    <w:semiHidden/>
    <w:unhideWhenUsed/>
    <w:rsid w:val="004235DB"/>
    <w:pPr>
      <w:spacing w:after="0" w:line="240" w:lineRule="auto"/>
    </w:pPr>
    <w:rPr>
      <w:sz w:val="20"/>
      <w:szCs w:val="20"/>
    </w:rPr>
  </w:style>
  <w:style w:type="character" w:customStyle="1" w:styleId="ae">
    <w:name w:val="Текст сноски Знак"/>
    <w:basedOn w:val="a0"/>
    <w:link w:val="ad"/>
    <w:uiPriority w:val="99"/>
    <w:semiHidden/>
    <w:rsid w:val="004235DB"/>
    <w:rPr>
      <w:rFonts w:ascii="Calibri" w:eastAsia="Calibri" w:hAnsi="Calibri" w:cs="Calibri"/>
      <w:color w:val="000000"/>
      <w:u w:color="000000"/>
      <w:lang w:eastAsia="en-US"/>
    </w:rPr>
  </w:style>
  <w:style w:type="character" w:styleId="af">
    <w:name w:val="footnote reference"/>
    <w:basedOn w:val="a0"/>
    <w:uiPriority w:val="99"/>
    <w:semiHidden/>
    <w:unhideWhenUsed/>
    <w:rsid w:val="004235D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9784311">
      <w:bodyDiv w:val="1"/>
      <w:marLeft w:val="0"/>
      <w:marRight w:val="0"/>
      <w:marTop w:val="0"/>
      <w:marBottom w:val="0"/>
      <w:divBdr>
        <w:top w:val="none" w:sz="0" w:space="0" w:color="auto"/>
        <w:left w:val="none" w:sz="0" w:space="0" w:color="auto"/>
        <w:bottom w:val="none" w:sz="0" w:space="0" w:color="auto"/>
        <w:right w:val="none" w:sz="0" w:space="0" w:color="auto"/>
      </w:divBdr>
    </w:div>
    <w:div w:id="2035379421">
      <w:bodyDiv w:val="1"/>
      <w:marLeft w:val="0"/>
      <w:marRight w:val="0"/>
      <w:marTop w:val="0"/>
      <w:marBottom w:val="0"/>
      <w:divBdr>
        <w:top w:val="none" w:sz="0" w:space="0" w:color="auto"/>
        <w:left w:val="none" w:sz="0" w:space="0" w:color="auto"/>
        <w:bottom w:val="none" w:sz="0" w:space="0" w:color="auto"/>
        <w:right w:val="none" w:sz="0" w:space="0" w:color="auto"/>
      </w:divBdr>
    </w:div>
    <w:div w:id="20883785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ir@qiwi.com" TargetMode="External"/><Relationship Id="rId5" Type="http://schemas.openxmlformats.org/officeDocument/2006/relationships/settings" Target="settings.xml"/><Relationship Id="rId15" Type="http://schemas.openxmlformats.org/officeDocument/2006/relationships/image" Target="media/image5.emf"/><Relationship Id="rId10" Type="http://schemas.openxmlformats.org/officeDocument/2006/relationships/hyperlink" Target="mailto:ir@qiwi.com"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emf"/></Relationships>
</file>

<file path=word/theme/_rels/theme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4F414E-2888-459D-B81E-340FF40600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2748</Words>
  <Characters>15665</Characters>
  <Application>Microsoft Office Word</Application>
  <DocSecurity>0</DocSecurity>
  <Lines>130</Lines>
  <Paragraphs>36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alexander.karavaev@gmail.com</Company>
  <LinksUpToDate>false</LinksUpToDate>
  <CharactersWithSpaces>18377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Киселева Варвара Денисовна</dc:creator>
  <cp:lastModifiedBy>Киселева Варвара Денисовна</cp:lastModifiedBy>
  <cp:revision>2</cp:revision>
  <dcterms:created xsi:type="dcterms:W3CDTF">2015-05-13T14:31:00Z</dcterms:created>
  <dcterms:modified xsi:type="dcterms:W3CDTF">2015-05-13T14:31:00Z</dcterms:modified>
</cp:coreProperties>
</file>