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86" w:rsidRDefault="00AD3701" w:rsidP="00DB3186">
      <w:pPr>
        <w:ind w:firstLine="540"/>
        <w:jc w:val="center"/>
        <w:rPr>
          <w:b/>
          <w:sz w:val="20"/>
          <w:szCs w:val="20"/>
        </w:rPr>
      </w:pPr>
      <w:bookmarkStart w:id="0" w:name="_GoBack"/>
      <w:bookmarkEnd w:id="0"/>
      <w:r w:rsidRPr="00DA14B5">
        <w:rPr>
          <w:b/>
          <w:sz w:val="20"/>
          <w:szCs w:val="20"/>
        </w:rPr>
        <w:t xml:space="preserve">ГОДОВОЙ </w:t>
      </w:r>
      <w:r w:rsidR="00DA14B5">
        <w:rPr>
          <w:b/>
          <w:sz w:val="20"/>
          <w:szCs w:val="20"/>
        </w:rPr>
        <w:t xml:space="preserve"> </w:t>
      </w:r>
      <w:r w:rsidRPr="00DA14B5">
        <w:rPr>
          <w:b/>
          <w:sz w:val="20"/>
          <w:szCs w:val="20"/>
        </w:rPr>
        <w:t xml:space="preserve"> ОТЧЕТ </w:t>
      </w:r>
      <w:r w:rsidR="00DA14B5" w:rsidRPr="00DA14B5">
        <w:rPr>
          <w:b/>
          <w:sz w:val="20"/>
          <w:szCs w:val="20"/>
        </w:rPr>
        <w:t xml:space="preserve"> </w:t>
      </w:r>
      <w:r w:rsidR="00DB3186">
        <w:rPr>
          <w:b/>
          <w:sz w:val="20"/>
          <w:szCs w:val="20"/>
        </w:rPr>
        <w:t xml:space="preserve">ОТКРЫТОГО АКЦИОНЕРНОГО ОБЩЕСТВА </w:t>
      </w:r>
    </w:p>
    <w:p w:rsidR="00AD3701" w:rsidRPr="00DA14B5" w:rsidRDefault="00DB3186" w:rsidP="00DB3186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«БОЛЬШОЙ ГОСТИНЫЙ ДВОР» </w:t>
      </w:r>
      <w:r w:rsidR="00AD3701" w:rsidRPr="00DA14B5">
        <w:rPr>
          <w:b/>
          <w:sz w:val="20"/>
          <w:szCs w:val="20"/>
        </w:rPr>
        <w:t xml:space="preserve"> ЗА 2016 г.</w:t>
      </w:r>
    </w:p>
    <w:p w:rsidR="00AD3701" w:rsidRPr="00DA14B5" w:rsidRDefault="00AD3701" w:rsidP="00B13371">
      <w:pPr>
        <w:ind w:firstLine="540"/>
        <w:rPr>
          <w:sz w:val="20"/>
          <w:szCs w:val="20"/>
        </w:rPr>
      </w:pPr>
      <w:r w:rsidRPr="00DA14B5">
        <w:rPr>
          <w:sz w:val="20"/>
          <w:szCs w:val="20"/>
        </w:rPr>
        <w:t xml:space="preserve">                                           </w:t>
      </w:r>
      <w:r w:rsidR="00B13371" w:rsidRPr="00DA14B5">
        <w:rPr>
          <w:sz w:val="20"/>
          <w:szCs w:val="20"/>
        </w:rPr>
        <w:t xml:space="preserve"> </w:t>
      </w:r>
    </w:p>
    <w:p w:rsidR="00B13371" w:rsidRPr="00DA14B5" w:rsidRDefault="00AD3701" w:rsidP="00B13371">
      <w:pPr>
        <w:ind w:firstLine="540"/>
        <w:rPr>
          <w:sz w:val="20"/>
          <w:szCs w:val="20"/>
        </w:rPr>
      </w:pPr>
      <w:r w:rsidRPr="00DA14B5">
        <w:rPr>
          <w:sz w:val="20"/>
          <w:szCs w:val="20"/>
        </w:rPr>
        <w:t xml:space="preserve">                                           </w:t>
      </w:r>
      <w:r w:rsidR="00C32E36">
        <w:rPr>
          <w:sz w:val="20"/>
          <w:szCs w:val="20"/>
        </w:rPr>
        <w:t xml:space="preserve">         </w:t>
      </w:r>
      <w:r w:rsidR="00E83E49" w:rsidRPr="00DA14B5">
        <w:rPr>
          <w:sz w:val="20"/>
          <w:szCs w:val="20"/>
        </w:rPr>
        <w:t xml:space="preserve"> </w:t>
      </w:r>
      <w:r w:rsidR="00B13371" w:rsidRPr="00DA14B5">
        <w:rPr>
          <w:sz w:val="20"/>
          <w:szCs w:val="20"/>
        </w:rPr>
        <w:t xml:space="preserve">  Уважаемые акционеры!</w:t>
      </w:r>
    </w:p>
    <w:p w:rsidR="00B13371" w:rsidRPr="00DA14B5" w:rsidRDefault="00B13371" w:rsidP="00B13371">
      <w:pPr>
        <w:ind w:firstLine="540"/>
        <w:rPr>
          <w:sz w:val="20"/>
          <w:szCs w:val="20"/>
        </w:rPr>
      </w:pPr>
    </w:p>
    <w:p w:rsidR="00B13371" w:rsidRPr="00DA14B5" w:rsidRDefault="00B13371" w:rsidP="00B13371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Общее руководство деятельностью Общества осуществля</w:t>
      </w:r>
      <w:r w:rsidR="00BD2368" w:rsidRPr="00DA14B5">
        <w:rPr>
          <w:sz w:val="20"/>
          <w:szCs w:val="20"/>
        </w:rPr>
        <w:t>л</w:t>
      </w:r>
      <w:r w:rsidRPr="00DA14B5">
        <w:rPr>
          <w:sz w:val="20"/>
          <w:szCs w:val="20"/>
        </w:rPr>
        <w:t xml:space="preserve"> Совет Директоров, за исключением решения вопросов, отнесенных к компетенции общего Собрания акционеров. Уставом  Общества  создание  </w:t>
      </w:r>
      <w:r w:rsidR="00AB26B2" w:rsidRPr="00DA14B5">
        <w:rPr>
          <w:sz w:val="20"/>
          <w:szCs w:val="20"/>
        </w:rPr>
        <w:t>коллегиального исполнительного органа (</w:t>
      </w:r>
      <w:r w:rsidRPr="00DA14B5">
        <w:rPr>
          <w:sz w:val="20"/>
          <w:szCs w:val="20"/>
        </w:rPr>
        <w:t>Правления</w:t>
      </w:r>
      <w:r w:rsidR="001B5DF1" w:rsidRPr="00DA14B5">
        <w:rPr>
          <w:sz w:val="20"/>
          <w:szCs w:val="20"/>
        </w:rPr>
        <w:t>)</w:t>
      </w:r>
      <w:r w:rsidR="00AB26B2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не предусмотрено.</w:t>
      </w:r>
    </w:p>
    <w:p w:rsidR="00B13371" w:rsidRPr="00DA14B5" w:rsidRDefault="00B13371" w:rsidP="00B13371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Совет Директоров  Общества согласно Уставу состоит из 7 человек, изменений в его составе в отчетном году не было. В течение отчетного  </w:t>
      </w:r>
      <w:proofErr w:type="gramStart"/>
      <w:r w:rsidRPr="00DA14B5">
        <w:rPr>
          <w:sz w:val="20"/>
          <w:szCs w:val="20"/>
        </w:rPr>
        <w:t>года</w:t>
      </w:r>
      <w:proofErr w:type="gramEnd"/>
      <w:r w:rsidRPr="00DA14B5">
        <w:rPr>
          <w:sz w:val="20"/>
          <w:szCs w:val="20"/>
        </w:rPr>
        <w:t xml:space="preserve"> членами Совета Директоров, включая генерального директора, сделки по приобретению или отчуждению акций Общества не  совершались.</w:t>
      </w:r>
    </w:p>
    <w:p w:rsidR="00B13371" w:rsidRPr="00DA14B5" w:rsidRDefault="00B13371" w:rsidP="00B13371">
      <w:pPr>
        <w:ind w:firstLine="540"/>
        <w:jc w:val="both"/>
        <w:rPr>
          <w:sz w:val="20"/>
          <w:szCs w:val="20"/>
        </w:rPr>
      </w:pPr>
    </w:p>
    <w:p w:rsidR="00B13371" w:rsidRPr="00DA14B5" w:rsidRDefault="00B13371" w:rsidP="00B13371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Сведения о членах Совета директоров:</w:t>
      </w:r>
    </w:p>
    <w:p w:rsidR="00B13371" w:rsidRPr="00DA14B5" w:rsidRDefault="00B13371" w:rsidP="00B13371">
      <w:pPr>
        <w:ind w:firstLine="540"/>
        <w:jc w:val="both"/>
        <w:rPr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560"/>
        <w:gridCol w:w="2835"/>
        <w:gridCol w:w="1417"/>
        <w:gridCol w:w="1950"/>
      </w:tblGrid>
      <w:tr w:rsidR="00B13371" w:rsidRPr="00DA14B5" w:rsidTr="00165232">
        <w:tc>
          <w:tcPr>
            <w:tcW w:w="2269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ФИО</w:t>
            </w:r>
          </w:p>
        </w:tc>
        <w:tc>
          <w:tcPr>
            <w:tcW w:w="8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Год</w:t>
            </w:r>
          </w:p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proofErr w:type="gramStart"/>
            <w:r w:rsidRPr="00DA14B5">
              <w:rPr>
                <w:sz w:val="20"/>
                <w:szCs w:val="20"/>
              </w:rPr>
              <w:t>Рож</w:t>
            </w:r>
            <w:proofErr w:type="gramEnd"/>
            <w:r w:rsidRPr="00DA14B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Сведения об образовании</w:t>
            </w:r>
          </w:p>
        </w:tc>
        <w:tc>
          <w:tcPr>
            <w:tcW w:w="2835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Сведения об основном месте работы</w:t>
            </w:r>
          </w:p>
        </w:tc>
        <w:tc>
          <w:tcPr>
            <w:tcW w:w="1417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Доля участия в уставном капитале</w:t>
            </w:r>
          </w:p>
        </w:tc>
        <w:tc>
          <w:tcPr>
            <w:tcW w:w="19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Доля  принадлежащих обыкновенных акций Общества</w:t>
            </w:r>
          </w:p>
        </w:tc>
      </w:tr>
      <w:tr w:rsidR="00B13371" w:rsidRPr="00DA14B5" w:rsidTr="00165232">
        <w:tc>
          <w:tcPr>
            <w:tcW w:w="2269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proofErr w:type="spellStart"/>
            <w:r w:rsidRPr="00DA14B5">
              <w:rPr>
                <w:sz w:val="20"/>
                <w:szCs w:val="20"/>
              </w:rPr>
              <w:t>Дубравин</w:t>
            </w:r>
            <w:proofErr w:type="spellEnd"/>
            <w:r w:rsidRPr="00DA14B5">
              <w:rPr>
                <w:sz w:val="20"/>
                <w:szCs w:val="20"/>
              </w:rPr>
              <w:t xml:space="preserve"> Я.И.</w:t>
            </w:r>
          </w:p>
        </w:tc>
        <w:tc>
          <w:tcPr>
            <w:tcW w:w="8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1939</w:t>
            </w:r>
          </w:p>
        </w:tc>
        <w:tc>
          <w:tcPr>
            <w:tcW w:w="1560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3371" w:rsidRPr="00DA14B5" w:rsidRDefault="00B13371" w:rsidP="00165232">
            <w:pPr>
              <w:rPr>
                <w:sz w:val="20"/>
                <w:szCs w:val="20"/>
              </w:rPr>
            </w:pPr>
            <w:proofErr w:type="gramStart"/>
            <w:r w:rsidRPr="00DA14B5">
              <w:rPr>
                <w:sz w:val="20"/>
                <w:szCs w:val="20"/>
              </w:rPr>
              <w:t>СПб ГУ</w:t>
            </w:r>
            <w:proofErr w:type="gramEnd"/>
            <w:r w:rsidRPr="00DA14B5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417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</w:t>
            </w:r>
          </w:p>
        </w:tc>
      </w:tr>
      <w:tr w:rsidR="00B13371" w:rsidRPr="00DA14B5" w:rsidTr="00165232">
        <w:tc>
          <w:tcPr>
            <w:tcW w:w="2269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Заозерский А.А.</w:t>
            </w:r>
          </w:p>
        </w:tc>
        <w:tc>
          <w:tcPr>
            <w:tcW w:w="8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1973</w:t>
            </w:r>
          </w:p>
        </w:tc>
        <w:tc>
          <w:tcPr>
            <w:tcW w:w="1560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3371" w:rsidRPr="00DA14B5" w:rsidRDefault="00B13371" w:rsidP="00165232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АО «КАБ «Викинг»</w:t>
            </w:r>
          </w:p>
        </w:tc>
        <w:tc>
          <w:tcPr>
            <w:tcW w:w="1417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</w:t>
            </w:r>
          </w:p>
        </w:tc>
      </w:tr>
      <w:tr w:rsidR="00B13371" w:rsidRPr="00DA14B5" w:rsidTr="00165232">
        <w:tc>
          <w:tcPr>
            <w:tcW w:w="2269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Коршунова Е.В.(генеральный директор)</w:t>
            </w:r>
          </w:p>
        </w:tc>
        <w:tc>
          <w:tcPr>
            <w:tcW w:w="8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1959</w:t>
            </w:r>
          </w:p>
        </w:tc>
        <w:tc>
          <w:tcPr>
            <w:tcW w:w="1560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3371" w:rsidRPr="00DA14B5" w:rsidRDefault="00B13371" w:rsidP="00165232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ОАО «Большой Гостиный Двор»</w:t>
            </w:r>
          </w:p>
          <w:p w:rsidR="00B13371" w:rsidRPr="00DA14B5" w:rsidRDefault="00B13371" w:rsidP="001652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0,00004%</w:t>
            </w:r>
          </w:p>
        </w:tc>
        <w:tc>
          <w:tcPr>
            <w:tcW w:w="19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0,00004%</w:t>
            </w:r>
          </w:p>
        </w:tc>
      </w:tr>
      <w:tr w:rsidR="00B13371" w:rsidRPr="00DA14B5" w:rsidTr="00165232">
        <w:tc>
          <w:tcPr>
            <w:tcW w:w="2269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Кузьменко С.Д.</w:t>
            </w:r>
          </w:p>
        </w:tc>
        <w:tc>
          <w:tcPr>
            <w:tcW w:w="8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1962</w:t>
            </w:r>
          </w:p>
        </w:tc>
        <w:tc>
          <w:tcPr>
            <w:tcW w:w="1560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Высшее</w:t>
            </w:r>
          </w:p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3371" w:rsidRPr="00DA14B5" w:rsidRDefault="004A05D0" w:rsidP="00165232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ООО  «Старт»</w:t>
            </w:r>
          </w:p>
        </w:tc>
        <w:tc>
          <w:tcPr>
            <w:tcW w:w="1417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</w:t>
            </w:r>
          </w:p>
        </w:tc>
      </w:tr>
      <w:tr w:rsidR="00B13371" w:rsidRPr="00DA14B5" w:rsidTr="00165232">
        <w:tc>
          <w:tcPr>
            <w:tcW w:w="2269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Пронин И.А.</w:t>
            </w:r>
          </w:p>
        </w:tc>
        <w:tc>
          <w:tcPr>
            <w:tcW w:w="8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1978</w:t>
            </w:r>
          </w:p>
        </w:tc>
        <w:tc>
          <w:tcPr>
            <w:tcW w:w="1560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3371" w:rsidRPr="00DA14B5" w:rsidRDefault="00B13371" w:rsidP="00C73890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ООО «СПб институт красоты»</w:t>
            </w:r>
            <w:r w:rsidR="00C73890" w:rsidRPr="00DA14B5">
              <w:rPr>
                <w:sz w:val="20"/>
                <w:szCs w:val="20"/>
              </w:rPr>
              <w:t xml:space="preserve"> (по 11.10.2016)</w:t>
            </w:r>
          </w:p>
        </w:tc>
        <w:tc>
          <w:tcPr>
            <w:tcW w:w="1417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</w:t>
            </w:r>
          </w:p>
        </w:tc>
      </w:tr>
      <w:tr w:rsidR="00B13371" w:rsidRPr="00DA14B5" w:rsidTr="00165232">
        <w:tc>
          <w:tcPr>
            <w:tcW w:w="2269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proofErr w:type="spellStart"/>
            <w:r w:rsidRPr="00DA14B5">
              <w:rPr>
                <w:sz w:val="20"/>
                <w:szCs w:val="20"/>
              </w:rPr>
              <w:t>Тушакова</w:t>
            </w:r>
            <w:proofErr w:type="spellEnd"/>
            <w:r w:rsidRPr="00DA14B5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1944</w:t>
            </w:r>
          </w:p>
        </w:tc>
        <w:tc>
          <w:tcPr>
            <w:tcW w:w="1560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3371" w:rsidRPr="00DA14B5" w:rsidRDefault="00B13371" w:rsidP="00165232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ОАО «Большой Гостиный Двор»</w:t>
            </w:r>
          </w:p>
        </w:tc>
        <w:tc>
          <w:tcPr>
            <w:tcW w:w="1417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0,00004%</w:t>
            </w:r>
          </w:p>
        </w:tc>
        <w:tc>
          <w:tcPr>
            <w:tcW w:w="19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0,00004%</w:t>
            </w:r>
          </w:p>
        </w:tc>
      </w:tr>
      <w:tr w:rsidR="00B13371" w:rsidRPr="00DA14B5" w:rsidTr="00165232">
        <w:tc>
          <w:tcPr>
            <w:tcW w:w="2269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proofErr w:type="spellStart"/>
            <w:r w:rsidRPr="00DA14B5">
              <w:rPr>
                <w:sz w:val="20"/>
                <w:szCs w:val="20"/>
              </w:rPr>
              <w:t>Шайхайдаров</w:t>
            </w:r>
            <w:proofErr w:type="spellEnd"/>
            <w:r w:rsidRPr="00DA14B5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8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1956</w:t>
            </w:r>
          </w:p>
        </w:tc>
        <w:tc>
          <w:tcPr>
            <w:tcW w:w="1560" w:type="dxa"/>
          </w:tcPr>
          <w:p w:rsidR="00B13371" w:rsidRPr="00DA14B5" w:rsidRDefault="00B13371" w:rsidP="00165232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13371" w:rsidRPr="00DA14B5" w:rsidRDefault="00B13371" w:rsidP="00165232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СПб городская коллегия адвокатов</w:t>
            </w:r>
          </w:p>
        </w:tc>
        <w:tc>
          <w:tcPr>
            <w:tcW w:w="1417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B13371" w:rsidRPr="00DA14B5" w:rsidRDefault="00B13371" w:rsidP="00165232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</w:t>
            </w:r>
          </w:p>
        </w:tc>
      </w:tr>
    </w:tbl>
    <w:p w:rsidR="00B13371" w:rsidRPr="00DA14B5" w:rsidRDefault="00B13371" w:rsidP="00B13371">
      <w:pPr>
        <w:rPr>
          <w:sz w:val="20"/>
          <w:szCs w:val="20"/>
        </w:rPr>
      </w:pPr>
    </w:p>
    <w:p w:rsidR="00B13371" w:rsidRPr="00DA14B5" w:rsidRDefault="00CB4C90" w:rsidP="00B13371">
      <w:p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       </w:t>
      </w:r>
      <w:r w:rsidR="00B13371" w:rsidRPr="00DA14B5">
        <w:rPr>
          <w:sz w:val="20"/>
          <w:szCs w:val="20"/>
        </w:rPr>
        <w:t>Должность единоличного   исполнительного  органа  (генеральный директор) занимает  Коршунова Елена Владимировна,  сведения о которой указаны   выше.</w:t>
      </w:r>
    </w:p>
    <w:p w:rsidR="00B13371" w:rsidRPr="00DA14B5" w:rsidRDefault="00B13371" w:rsidP="002D7AA9">
      <w:p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  </w:t>
      </w:r>
      <w:r w:rsidR="009D1206" w:rsidRPr="00DA14B5">
        <w:rPr>
          <w:sz w:val="20"/>
          <w:szCs w:val="20"/>
        </w:rPr>
        <w:t xml:space="preserve"> </w:t>
      </w:r>
      <w:r w:rsidR="005B0B31" w:rsidRPr="00DA14B5">
        <w:rPr>
          <w:sz w:val="20"/>
          <w:szCs w:val="20"/>
        </w:rPr>
        <w:t xml:space="preserve"> </w:t>
      </w:r>
      <w:proofErr w:type="gramStart"/>
      <w:r w:rsidRPr="00DA14B5">
        <w:rPr>
          <w:sz w:val="20"/>
          <w:szCs w:val="20"/>
        </w:rPr>
        <w:t>В соответствии с решением   общего годового собрания  акционеров от 16.05.2003г.  члены Совета Директоров   получают ежемесячное вознаграждение  в размере  рублевого эквивалента  200 долларам США,  а Председатель Совета- 400 долларам  США, а  также  ежегодное вознаграждение в размере 2% от годовой прибыли  Общества до  налогообложения,  распределяемое между членами Совета  поровну,  председателю Совета -  с коэффициентом  два.</w:t>
      </w:r>
      <w:proofErr w:type="gramEnd"/>
    </w:p>
    <w:p w:rsidR="00B13371" w:rsidRPr="00DA14B5" w:rsidRDefault="00B13371" w:rsidP="002D7AA9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Членам Совета Директоров, не имеющим постоянной регистрации в Санкт-Петербурге и прибывшим на заседание Совета, решением Общего собрания акционеров от 21.04.2011 г. установлена  компенсация  транспортных расходов  в размере фактически  понесенных  и документально  подтвержденных расходов.  В отчетном году компенсация транспортных расходов не производилась.</w:t>
      </w:r>
    </w:p>
    <w:p w:rsidR="00B13371" w:rsidRPr="00DA14B5" w:rsidRDefault="00B13371" w:rsidP="002D7AA9">
      <w:pPr>
        <w:ind w:firstLine="540"/>
        <w:jc w:val="both"/>
        <w:rPr>
          <w:sz w:val="20"/>
          <w:szCs w:val="20"/>
        </w:rPr>
      </w:pPr>
    </w:p>
    <w:p w:rsidR="00B13371" w:rsidRPr="00DA14B5" w:rsidRDefault="00B13371" w:rsidP="002D7AA9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За   2016  год  членам Совета Директоров  </w:t>
      </w:r>
      <w:r w:rsidRPr="00DA14B5">
        <w:rPr>
          <w:color w:val="FF0000"/>
          <w:sz w:val="20"/>
          <w:szCs w:val="20"/>
        </w:rPr>
        <w:t xml:space="preserve">  </w:t>
      </w:r>
      <w:r w:rsidRPr="00DA14B5">
        <w:rPr>
          <w:sz w:val="20"/>
          <w:szCs w:val="20"/>
        </w:rPr>
        <w:t>выплачено:</w:t>
      </w:r>
    </w:p>
    <w:p w:rsidR="00C80550" w:rsidRPr="00DA14B5" w:rsidRDefault="00C80550" w:rsidP="002D7AA9">
      <w:pPr>
        <w:ind w:firstLine="540"/>
        <w:jc w:val="both"/>
        <w:rPr>
          <w:sz w:val="20"/>
          <w:szCs w:val="20"/>
        </w:rPr>
      </w:pPr>
    </w:p>
    <w:p w:rsidR="00B13371" w:rsidRPr="00DA14B5" w:rsidRDefault="00B13371" w:rsidP="002D7AA9">
      <w:p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1. Вознаграждение за участие </w:t>
      </w:r>
    </w:p>
    <w:p w:rsidR="00B13371" w:rsidRPr="00DA14B5" w:rsidRDefault="00B13371" w:rsidP="002D7AA9">
      <w:p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    </w:t>
      </w:r>
      <w:r w:rsidR="00C80550" w:rsidRPr="00DA14B5">
        <w:rPr>
          <w:sz w:val="20"/>
          <w:szCs w:val="20"/>
        </w:rPr>
        <w:t xml:space="preserve">в </w:t>
      </w:r>
      <w:r w:rsidRPr="00DA14B5">
        <w:rPr>
          <w:sz w:val="20"/>
          <w:szCs w:val="20"/>
        </w:rPr>
        <w:t>работе  Совета Директоров            -   </w:t>
      </w:r>
      <w:r w:rsidR="00C80550" w:rsidRPr="00DA14B5">
        <w:rPr>
          <w:sz w:val="20"/>
          <w:szCs w:val="20"/>
        </w:rPr>
        <w:t>2</w:t>
      </w:r>
      <w:r w:rsidRPr="00DA14B5">
        <w:rPr>
          <w:sz w:val="20"/>
          <w:szCs w:val="20"/>
        </w:rPr>
        <w:t xml:space="preserve"> млн.  </w:t>
      </w:r>
      <w:r w:rsidR="00C80550" w:rsidRPr="00DA14B5">
        <w:rPr>
          <w:sz w:val="20"/>
          <w:szCs w:val="20"/>
        </w:rPr>
        <w:t>803</w:t>
      </w:r>
      <w:r w:rsidRPr="00DA14B5">
        <w:rPr>
          <w:sz w:val="20"/>
          <w:szCs w:val="20"/>
        </w:rPr>
        <w:t xml:space="preserve"> тыс. </w:t>
      </w:r>
      <w:r w:rsidR="00C80550" w:rsidRPr="00DA14B5">
        <w:rPr>
          <w:sz w:val="20"/>
          <w:szCs w:val="20"/>
        </w:rPr>
        <w:t>285</w:t>
      </w:r>
      <w:r w:rsidRPr="00DA14B5">
        <w:rPr>
          <w:sz w:val="20"/>
          <w:szCs w:val="20"/>
        </w:rPr>
        <w:t xml:space="preserve"> руб. </w:t>
      </w:r>
      <w:r w:rsidR="00C80550" w:rsidRPr="00DA14B5">
        <w:rPr>
          <w:sz w:val="20"/>
          <w:szCs w:val="20"/>
        </w:rPr>
        <w:t>20 коп.</w:t>
      </w:r>
    </w:p>
    <w:p w:rsidR="00B13371" w:rsidRPr="00DA14B5" w:rsidRDefault="00B13371" w:rsidP="002D7AA9">
      <w:pPr>
        <w:jc w:val="both"/>
        <w:rPr>
          <w:sz w:val="20"/>
          <w:szCs w:val="20"/>
        </w:rPr>
      </w:pPr>
    </w:p>
    <w:p w:rsidR="00B13371" w:rsidRPr="00DA14B5" w:rsidRDefault="00B13371" w:rsidP="002D7AA9">
      <w:pPr>
        <w:jc w:val="both"/>
        <w:rPr>
          <w:sz w:val="20"/>
          <w:szCs w:val="20"/>
        </w:rPr>
      </w:pPr>
      <w:r w:rsidRPr="00DA14B5">
        <w:rPr>
          <w:sz w:val="20"/>
          <w:szCs w:val="20"/>
        </w:rPr>
        <w:t>2. Заработная плата</w:t>
      </w:r>
      <w:r w:rsidRPr="00DA14B5">
        <w:rPr>
          <w:sz w:val="20"/>
          <w:szCs w:val="20"/>
        </w:rPr>
        <w:tab/>
      </w:r>
      <w:r w:rsidRPr="00DA14B5">
        <w:rPr>
          <w:sz w:val="20"/>
          <w:szCs w:val="20"/>
        </w:rPr>
        <w:tab/>
      </w:r>
      <w:r w:rsidRPr="00DA14B5">
        <w:rPr>
          <w:sz w:val="20"/>
          <w:szCs w:val="20"/>
        </w:rPr>
        <w:tab/>
      </w:r>
      <w:r w:rsidR="00C80550" w:rsidRPr="00DA14B5">
        <w:rPr>
          <w:sz w:val="20"/>
          <w:szCs w:val="20"/>
        </w:rPr>
        <w:t xml:space="preserve">    </w:t>
      </w:r>
      <w:r w:rsidRPr="00DA14B5">
        <w:rPr>
          <w:sz w:val="20"/>
          <w:szCs w:val="20"/>
        </w:rPr>
        <w:t xml:space="preserve"> -    </w:t>
      </w:r>
      <w:r w:rsidR="00C80550" w:rsidRPr="00DA14B5">
        <w:rPr>
          <w:sz w:val="20"/>
          <w:szCs w:val="20"/>
        </w:rPr>
        <w:t>2</w:t>
      </w:r>
      <w:r w:rsidRPr="00DA14B5">
        <w:rPr>
          <w:sz w:val="20"/>
          <w:szCs w:val="20"/>
        </w:rPr>
        <w:t xml:space="preserve"> млн.  </w:t>
      </w:r>
      <w:r w:rsidR="00C80550" w:rsidRPr="00DA14B5">
        <w:rPr>
          <w:sz w:val="20"/>
          <w:szCs w:val="20"/>
        </w:rPr>
        <w:t>839</w:t>
      </w:r>
      <w:r w:rsidRPr="00DA14B5">
        <w:rPr>
          <w:sz w:val="20"/>
          <w:szCs w:val="20"/>
        </w:rPr>
        <w:t xml:space="preserve">  тыс. </w:t>
      </w:r>
      <w:r w:rsidR="00C80550" w:rsidRPr="00DA14B5">
        <w:rPr>
          <w:sz w:val="20"/>
          <w:szCs w:val="20"/>
        </w:rPr>
        <w:t xml:space="preserve">803 </w:t>
      </w:r>
      <w:r w:rsidRPr="00DA14B5">
        <w:rPr>
          <w:sz w:val="20"/>
          <w:szCs w:val="20"/>
        </w:rPr>
        <w:t xml:space="preserve">руб. </w:t>
      </w:r>
      <w:r w:rsidR="00C80550" w:rsidRPr="00DA14B5">
        <w:rPr>
          <w:sz w:val="20"/>
          <w:szCs w:val="20"/>
        </w:rPr>
        <w:t>44 коп.</w:t>
      </w:r>
    </w:p>
    <w:p w:rsidR="00C80550" w:rsidRPr="00DA14B5" w:rsidRDefault="00C80550" w:rsidP="002D7AA9">
      <w:pPr>
        <w:jc w:val="both"/>
        <w:rPr>
          <w:sz w:val="20"/>
          <w:szCs w:val="20"/>
        </w:rPr>
      </w:pPr>
    </w:p>
    <w:p w:rsidR="00B13371" w:rsidRPr="00DA14B5" w:rsidRDefault="00B13371" w:rsidP="002D7AA9">
      <w:pPr>
        <w:jc w:val="both"/>
        <w:rPr>
          <w:sz w:val="20"/>
          <w:szCs w:val="20"/>
        </w:rPr>
      </w:pPr>
      <w:r w:rsidRPr="00DA14B5">
        <w:rPr>
          <w:sz w:val="20"/>
          <w:szCs w:val="20"/>
        </w:rPr>
        <w:t>3. Премии</w:t>
      </w:r>
      <w:r w:rsidRPr="00DA14B5">
        <w:rPr>
          <w:sz w:val="20"/>
          <w:szCs w:val="20"/>
        </w:rPr>
        <w:tab/>
        <w:t xml:space="preserve">и иные виды </w:t>
      </w:r>
    </w:p>
    <w:p w:rsidR="00B13371" w:rsidRPr="00DA14B5" w:rsidRDefault="00B13371" w:rsidP="002D7AA9">
      <w:p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     вознаграждений</w:t>
      </w:r>
      <w:r w:rsidRPr="00DA14B5">
        <w:rPr>
          <w:sz w:val="20"/>
          <w:szCs w:val="20"/>
        </w:rPr>
        <w:tab/>
      </w:r>
      <w:r w:rsidRPr="00DA14B5">
        <w:rPr>
          <w:sz w:val="20"/>
          <w:szCs w:val="20"/>
        </w:rPr>
        <w:tab/>
      </w:r>
      <w:r w:rsidRPr="00DA14B5">
        <w:rPr>
          <w:sz w:val="20"/>
          <w:szCs w:val="20"/>
        </w:rPr>
        <w:tab/>
      </w:r>
      <w:r w:rsidR="00C80550" w:rsidRPr="00DA14B5">
        <w:rPr>
          <w:sz w:val="20"/>
          <w:szCs w:val="20"/>
        </w:rPr>
        <w:t xml:space="preserve">    </w:t>
      </w:r>
      <w:r w:rsidRPr="00DA14B5">
        <w:rPr>
          <w:sz w:val="20"/>
          <w:szCs w:val="20"/>
        </w:rPr>
        <w:t xml:space="preserve"> -</w:t>
      </w:r>
      <w:r w:rsidR="00C80550" w:rsidRPr="00DA14B5">
        <w:rPr>
          <w:sz w:val="20"/>
          <w:szCs w:val="20"/>
        </w:rPr>
        <w:t xml:space="preserve">                </w:t>
      </w:r>
      <w:r w:rsidRPr="00DA14B5">
        <w:rPr>
          <w:sz w:val="20"/>
          <w:szCs w:val="20"/>
        </w:rPr>
        <w:t xml:space="preserve">   </w:t>
      </w:r>
      <w:r w:rsidR="00C80550" w:rsidRPr="00DA14B5">
        <w:rPr>
          <w:sz w:val="20"/>
          <w:szCs w:val="20"/>
        </w:rPr>
        <w:t>99</w:t>
      </w:r>
      <w:r w:rsidRPr="00DA14B5">
        <w:rPr>
          <w:sz w:val="20"/>
          <w:szCs w:val="20"/>
        </w:rPr>
        <w:t xml:space="preserve">тыс.  </w:t>
      </w:r>
      <w:r w:rsidR="00C80550" w:rsidRPr="00DA14B5">
        <w:rPr>
          <w:sz w:val="20"/>
          <w:szCs w:val="20"/>
        </w:rPr>
        <w:t>713</w:t>
      </w:r>
      <w:r w:rsidRPr="00DA14B5">
        <w:rPr>
          <w:sz w:val="20"/>
          <w:szCs w:val="20"/>
        </w:rPr>
        <w:t xml:space="preserve"> руб. </w:t>
      </w:r>
      <w:r w:rsidR="00C80550" w:rsidRPr="00DA14B5">
        <w:rPr>
          <w:sz w:val="20"/>
          <w:szCs w:val="20"/>
        </w:rPr>
        <w:t>05</w:t>
      </w:r>
      <w:r w:rsidRPr="00DA14B5">
        <w:rPr>
          <w:sz w:val="20"/>
          <w:szCs w:val="20"/>
        </w:rPr>
        <w:t xml:space="preserve"> коп.</w:t>
      </w:r>
    </w:p>
    <w:p w:rsidR="00C80550" w:rsidRPr="00DA14B5" w:rsidRDefault="00C80550" w:rsidP="002D7AA9">
      <w:pPr>
        <w:jc w:val="both"/>
        <w:rPr>
          <w:sz w:val="20"/>
          <w:szCs w:val="20"/>
        </w:rPr>
      </w:pPr>
    </w:p>
    <w:p w:rsidR="00C80550" w:rsidRPr="00DA14B5" w:rsidRDefault="00C80550" w:rsidP="002D7AA9">
      <w:p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      Итого:</w:t>
      </w:r>
      <w:r w:rsidRPr="00DA14B5">
        <w:rPr>
          <w:sz w:val="20"/>
          <w:szCs w:val="20"/>
        </w:rPr>
        <w:tab/>
      </w:r>
      <w:r w:rsidRPr="00DA14B5">
        <w:rPr>
          <w:sz w:val="20"/>
          <w:szCs w:val="20"/>
        </w:rPr>
        <w:tab/>
      </w:r>
      <w:r w:rsidRPr="00DA14B5">
        <w:rPr>
          <w:sz w:val="20"/>
          <w:szCs w:val="20"/>
        </w:rPr>
        <w:tab/>
      </w:r>
      <w:r w:rsidRPr="00DA14B5">
        <w:rPr>
          <w:sz w:val="20"/>
          <w:szCs w:val="20"/>
        </w:rPr>
        <w:tab/>
        <w:t xml:space="preserve">               -     5 млн. 742 тыс. 801 руб. 69 коп.</w:t>
      </w:r>
    </w:p>
    <w:p w:rsidR="002727AE" w:rsidRPr="00DA14B5" w:rsidRDefault="002727AE" w:rsidP="002D7AA9">
      <w:pPr>
        <w:jc w:val="both"/>
        <w:rPr>
          <w:sz w:val="20"/>
          <w:szCs w:val="20"/>
        </w:rPr>
      </w:pPr>
    </w:p>
    <w:p w:rsidR="00B13371" w:rsidRPr="00DA14B5" w:rsidRDefault="00B13371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Настоящий   </w:t>
      </w:r>
      <w:r w:rsidR="0025608D" w:rsidRPr="00DA14B5">
        <w:rPr>
          <w:sz w:val="20"/>
          <w:szCs w:val="20"/>
        </w:rPr>
        <w:t>г</w:t>
      </w:r>
      <w:r w:rsidRPr="00DA14B5">
        <w:rPr>
          <w:sz w:val="20"/>
          <w:szCs w:val="20"/>
        </w:rPr>
        <w:t>одовой отчет акционерного Общества включает в себя  отчет Совета Директоров о результатах развития Общества по приоритетным направлениям его деятельности.</w:t>
      </w:r>
    </w:p>
    <w:p w:rsidR="002727AE" w:rsidRPr="00DA14B5" w:rsidRDefault="002727AE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     Приоритетными  направлениями деятельности Общества по-прежнему являются:</w:t>
      </w:r>
    </w:p>
    <w:p w:rsidR="00C97509" w:rsidRPr="00DA14B5" w:rsidRDefault="002727AE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сохранение   собственной торговли  и  консервативной арендной политики, направленной на обеспечение потребителей широким </w:t>
      </w:r>
      <w:r w:rsidR="00C97509" w:rsidRPr="00DA14B5">
        <w:rPr>
          <w:sz w:val="20"/>
          <w:szCs w:val="20"/>
        </w:rPr>
        <w:t>ассортиментом</w:t>
      </w:r>
      <w:r w:rsidRPr="00DA14B5">
        <w:rPr>
          <w:sz w:val="20"/>
          <w:szCs w:val="20"/>
        </w:rPr>
        <w:t xml:space="preserve"> товаров и </w:t>
      </w:r>
      <w:r w:rsidR="00C97509" w:rsidRPr="00DA14B5">
        <w:rPr>
          <w:sz w:val="20"/>
          <w:szCs w:val="20"/>
        </w:rPr>
        <w:t>дополнительных услуг;</w:t>
      </w:r>
    </w:p>
    <w:p w:rsidR="002727AE" w:rsidRPr="00DA14B5" w:rsidRDefault="002727AE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lastRenderedPageBreak/>
        <w:t>- поэтапная реализация концепции развития  и приспособления для современного использования  внутренней  территории Большого Гостиного Двора.</w:t>
      </w:r>
    </w:p>
    <w:p w:rsidR="00016C56" w:rsidRPr="00DA14B5" w:rsidRDefault="002727AE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В отчетном году Совет Д</w:t>
      </w:r>
      <w:r w:rsidR="00165232" w:rsidRPr="00DA14B5">
        <w:rPr>
          <w:sz w:val="20"/>
          <w:szCs w:val="20"/>
        </w:rPr>
        <w:t xml:space="preserve">иректоров неоднократно рассматривал на своих заседаниях вопросы развития Общества по приоритетным направлениям деятельности. </w:t>
      </w:r>
    </w:p>
    <w:p w:rsidR="00165232" w:rsidRPr="00DA14B5" w:rsidRDefault="00016C56" w:rsidP="003E3F37">
      <w:pPr>
        <w:ind w:firstLine="540"/>
        <w:jc w:val="both"/>
        <w:rPr>
          <w:sz w:val="20"/>
          <w:szCs w:val="20"/>
        </w:rPr>
      </w:pPr>
      <w:proofErr w:type="gramStart"/>
      <w:r w:rsidRPr="00DA14B5">
        <w:rPr>
          <w:sz w:val="20"/>
          <w:szCs w:val="20"/>
        </w:rPr>
        <w:t xml:space="preserve">В </w:t>
      </w:r>
      <w:r w:rsidR="00F74EBF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2016 г. Общество приступило к реализации следующего этапа </w:t>
      </w:r>
      <w:r w:rsidR="002839A1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общей концепции </w:t>
      </w:r>
      <w:r w:rsidR="00C97509" w:rsidRPr="00DA14B5">
        <w:rPr>
          <w:sz w:val="20"/>
          <w:szCs w:val="20"/>
        </w:rPr>
        <w:t>–</w:t>
      </w:r>
      <w:r w:rsidRPr="00DA14B5">
        <w:rPr>
          <w:sz w:val="20"/>
          <w:szCs w:val="20"/>
        </w:rPr>
        <w:t xml:space="preserve"> </w:t>
      </w:r>
      <w:r w:rsidR="00C97509" w:rsidRPr="00DA14B5">
        <w:rPr>
          <w:sz w:val="20"/>
          <w:szCs w:val="20"/>
        </w:rPr>
        <w:t>«П</w:t>
      </w:r>
      <w:r w:rsidR="00165232" w:rsidRPr="00DA14B5">
        <w:rPr>
          <w:sz w:val="20"/>
          <w:szCs w:val="20"/>
        </w:rPr>
        <w:t>риспособление для современного использования и реставраци</w:t>
      </w:r>
      <w:r w:rsidR="00C97509" w:rsidRPr="00DA14B5">
        <w:rPr>
          <w:sz w:val="20"/>
          <w:szCs w:val="20"/>
        </w:rPr>
        <w:t>я</w:t>
      </w:r>
      <w:r w:rsidR="00165232" w:rsidRPr="00DA14B5">
        <w:rPr>
          <w:sz w:val="20"/>
          <w:szCs w:val="20"/>
        </w:rPr>
        <w:t xml:space="preserve"> внутреннего кольца Перинной линии в составе  объекта культурного наследия федерального значения</w:t>
      </w:r>
      <w:r w:rsidRPr="00DA14B5">
        <w:rPr>
          <w:sz w:val="20"/>
          <w:szCs w:val="20"/>
        </w:rPr>
        <w:t xml:space="preserve"> Большой Гостиный Двор</w:t>
      </w:r>
      <w:r w:rsidR="00C97509" w:rsidRPr="00DA14B5">
        <w:rPr>
          <w:sz w:val="20"/>
          <w:szCs w:val="20"/>
        </w:rPr>
        <w:t>»</w:t>
      </w:r>
      <w:r w:rsidR="002839A1" w:rsidRPr="00DA14B5">
        <w:rPr>
          <w:sz w:val="20"/>
          <w:szCs w:val="20"/>
        </w:rPr>
        <w:t xml:space="preserve">,  который  </w:t>
      </w:r>
      <w:r w:rsidR="00165232" w:rsidRPr="00DA14B5">
        <w:rPr>
          <w:sz w:val="20"/>
          <w:szCs w:val="20"/>
        </w:rPr>
        <w:t>включает в себя работы  по проведению обследований и изыска</w:t>
      </w:r>
      <w:r w:rsidR="00F74EBF" w:rsidRPr="00DA14B5">
        <w:rPr>
          <w:sz w:val="20"/>
          <w:szCs w:val="20"/>
        </w:rPr>
        <w:t>ний, подготовке и согласованию с</w:t>
      </w:r>
      <w:r w:rsidR="00165232" w:rsidRPr="00DA14B5">
        <w:rPr>
          <w:sz w:val="20"/>
          <w:szCs w:val="20"/>
        </w:rPr>
        <w:t xml:space="preserve"> </w:t>
      </w:r>
      <w:r w:rsidR="00330584" w:rsidRPr="00DA14B5">
        <w:rPr>
          <w:sz w:val="20"/>
          <w:szCs w:val="20"/>
        </w:rPr>
        <w:t xml:space="preserve">КГИОП  </w:t>
      </w:r>
      <w:proofErr w:type="spellStart"/>
      <w:r w:rsidR="00330584" w:rsidRPr="00DA14B5">
        <w:rPr>
          <w:sz w:val="20"/>
          <w:szCs w:val="20"/>
        </w:rPr>
        <w:t>предпроектных</w:t>
      </w:r>
      <w:proofErr w:type="spellEnd"/>
      <w:r w:rsidR="00330584" w:rsidRPr="00DA14B5">
        <w:rPr>
          <w:sz w:val="20"/>
          <w:szCs w:val="20"/>
        </w:rPr>
        <w:t xml:space="preserve"> разработок, </w:t>
      </w:r>
      <w:r w:rsidR="00165232" w:rsidRPr="00DA14B5">
        <w:rPr>
          <w:sz w:val="20"/>
          <w:szCs w:val="20"/>
        </w:rPr>
        <w:t xml:space="preserve"> разработке проектной  документации стадии «Проектная документация» и </w:t>
      </w:r>
      <w:r w:rsidR="00330584" w:rsidRPr="00DA14B5">
        <w:rPr>
          <w:sz w:val="20"/>
          <w:szCs w:val="20"/>
        </w:rPr>
        <w:t xml:space="preserve"> стадии «Рабочая документация»  в составе</w:t>
      </w:r>
      <w:proofErr w:type="gramEnd"/>
      <w:r w:rsidR="00330584" w:rsidRPr="00DA14B5">
        <w:rPr>
          <w:sz w:val="20"/>
          <w:szCs w:val="20"/>
        </w:rPr>
        <w:t xml:space="preserve"> и </w:t>
      </w:r>
      <w:proofErr w:type="gramStart"/>
      <w:r w:rsidR="00330584" w:rsidRPr="00DA14B5">
        <w:rPr>
          <w:sz w:val="20"/>
          <w:szCs w:val="20"/>
        </w:rPr>
        <w:t>объеме</w:t>
      </w:r>
      <w:proofErr w:type="gramEnd"/>
      <w:r w:rsidR="00330584" w:rsidRPr="00DA14B5">
        <w:rPr>
          <w:sz w:val="20"/>
          <w:szCs w:val="20"/>
        </w:rPr>
        <w:t>, предусмотренн</w:t>
      </w:r>
      <w:r w:rsidR="00CD3B01" w:rsidRPr="00DA14B5">
        <w:rPr>
          <w:sz w:val="20"/>
          <w:szCs w:val="20"/>
        </w:rPr>
        <w:t>ом</w:t>
      </w:r>
      <w:r w:rsidR="00330584" w:rsidRPr="00DA14B5">
        <w:rPr>
          <w:sz w:val="20"/>
          <w:szCs w:val="20"/>
        </w:rPr>
        <w:t xml:space="preserve"> действующим законодательством, а также согласование разработанной проектно</w:t>
      </w:r>
      <w:r w:rsidR="00C97509" w:rsidRPr="00DA14B5">
        <w:rPr>
          <w:sz w:val="20"/>
          <w:szCs w:val="20"/>
        </w:rPr>
        <w:t>-сметно</w:t>
      </w:r>
      <w:r w:rsidR="00330584" w:rsidRPr="00DA14B5">
        <w:rPr>
          <w:sz w:val="20"/>
          <w:szCs w:val="20"/>
        </w:rPr>
        <w:t>й  документации с уполномоченными органами, в том числе  осуществляющими госуд</w:t>
      </w:r>
      <w:r w:rsidR="002839A1" w:rsidRPr="00DA14B5">
        <w:rPr>
          <w:sz w:val="20"/>
          <w:szCs w:val="20"/>
        </w:rPr>
        <w:t>арственную экспертизу</w:t>
      </w:r>
      <w:r w:rsidR="00330584" w:rsidRPr="00DA14B5">
        <w:rPr>
          <w:sz w:val="20"/>
          <w:szCs w:val="20"/>
        </w:rPr>
        <w:t>.</w:t>
      </w:r>
    </w:p>
    <w:p w:rsidR="00330584" w:rsidRPr="00DA14B5" w:rsidRDefault="00330584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июне 2016 года на выполнение  указанных работ был заключен договор с архитектурным бюро «Студия 44». Руководителем проекта  является заслуженный архитектор России </w:t>
      </w:r>
      <w:proofErr w:type="spellStart"/>
      <w:r w:rsidRPr="00DA14B5">
        <w:rPr>
          <w:sz w:val="20"/>
          <w:szCs w:val="20"/>
        </w:rPr>
        <w:t>Явейн</w:t>
      </w:r>
      <w:proofErr w:type="spellEnd"/>
      <w:r w:rsidRPr="00DA14B5">
        <w:rPr>
          <w:sz w:val="20"/>
          <w:szCs w:val="20"/>
        </w:rPr>
        <w:t xml:space="preserve"> Н.И., который в ноябре 2016 года на заседании  Совета директо</w:t>
      </w:r>
      <w:r w:rsidR="0092201D" w:rsidRPr="00DA14B5">
        <w:rPr>
          <w:sz w:val="20"/>
          <w:szCs w:val="20"/>
        </w:rPr>
        <w:t>ров Общества доложил</w:t>
      </w:r>
      <w:r w:rsidRPr="00DA14B5">
        <w:rPr>
          <w:sz w:val="20"/>
          <w:szCs w:val="20"/>
        </w:rPr>
        <w:t xml:space="preserve"> о ходе  работ  по проведению обследований и изысканий, подготовке проектной документации по внутреннему кольцу Перинной линии.</w:t>
      </w:r>
    </w:p>
    <w:p w:rsidR="00165232" w:rsidRPr="00DA14B5" w:rsidRDefault="00165232" w:rsidP="003E3F37">
      <w:pPr>
        <w:jc w:val="both"/>
        <w:rPr>
          <w:sz w:val="20"/>
          <w:szCs w:val="20"/>
        </w:rPr>
      </w:pPr>
    </w:p>
    <w:p w:rsidR="00713493" w:rsidRPr="00DA14B5" w:rsidRDefault="00713493" w:rsidP="002D7AA9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                                              Уважаемые акционеры!</w:t>
      </w:r>
    </w:p>
    <w:p w:rsidR="00713493" w:rsidRPr="00DA14B5" w:rsidRDefault="00713493" w:rsidP="002D7AA9">
      <w:pPr>
        <w:ind w:firstLine="540"/>
        <w:jc w:val="both"/>
        <w:rPr>
          <w:sz w:val="20"/>
          <w:szCs w:val="20"/>
        </w:rPr>
      </w:pP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Основными факторами риска, связанными  с деятельностью эмитента, являются:</w:t>
      </w:r>
    </w:p>
    <w:p w:rsidR="00713493" w:rsidRPr="00DA14B5" w:rsidRDefault="00713493" w:rsidP="00CB4C90">
      <w:pPr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снижение покупательной активности населения;</w:t>
      </w:r>
    </w:p>
    <w:p w:rsidR="00713493" w:rsidRPr="00DA14B5" w:rsidRDefault="00713493" w:rsidP="00CB4C90">
      <w:p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 увеличение  закупочных цен на товары и услуги, в </w:t>
      </w:r>
      <w:proofErr w:type="spellStart"/>
      <w:r w:rsidRPr="00DA14B5">
        <w:rPr>
          <w:sz w:val="20"/>
          <w:szCs w:val="20"/>
        </w:rPr>
        <w:t>т.ч</w:t>
      </w:r>
      <w:proofErr w:type="spellEnd"/>
      <w:r w:rsidRPr="00DA14B5">
        <w:rPr>
          <w:sz w:val="20"/>
          <w:szCs w:val="20"/>
        </w:rPr>
        <w:t>. в связи с падением курса рубля и ростом  инфляции.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Политика Общества в области  управления рисками заключается в их своевременном выявлении, оценке их существенности и принятии своевременных  мер по минимизации возможных негативных последствий.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Неблагоприятная макроэкономическая ситуация отчетного года сформирована в основном под влиянием  следующих факторов:</w:t>
      </w:r>
    </w:p>
    <w:p w:rsidR="00F02019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сокращение реально располагаемых доходов населе</w:t>
      </w:r>
      <w:r w:rsidR="00237034" w:rsidRPr="00DA14B5">
        <w:rPr>
          <w:sz w:val="20"/>
          <w:szCs w:val="20"/>
        </w:rPr>
        <w:t xml:space="preserve">ния. </w:t>
      </w:r>
      <w:r w:rsidR="00F02019" w:rsidRPr="00DA14B5">
        <w:rPr>
          <w:sz w:val="20"/>
          <w:szCs w:val="20"/>
        </w:rPr>
        <w:t>П</w:t>
      </w:r>
      <w:r w:rsidR="00237034" w:rsidRPr="00DA14B5">
        <w:rPr>
          <w:sz w:val="20"/>
          <w:szCs w:val="20"/>
        </w:rPr>
        <w:t>ри сохранении  прежн</w:t>
      </w:r>
      <w:r w:rsidR="00F02019" w:rsidRPr="00DA14B5">
        <w:rPr>
          <w:sz w:val="20"/>
          <w:szCs w:val="20"/>
        </w:rPr>
        <w:t>его уровня</w:t>
      </w:r>
      <w:r w:rsidRPr="00DA14B5">
        <w:rPr>
          <w:sz w:val="20"/>
          <w:szCs w:val="20"/>
        </w:rPr>
        <w:t xml:space="preserve"> зарплат </w:t>
      </w:r>
      <w:r w:rsidR="00884C85" w:rsidRPr="00DA14B5">
        <w:rPr>
          <w:sz w:val="20"/>
          <w:szCs w:val="20"/>
        </w:rPr>
        <w:t xml:space="preserve"> </w:t>
      </w:r>
      <w:r w:rsidR="00237034" w:rsidRPr="00DA14B5">
        <w:rPr>
          <w:sz w:val="20"/>
          <w:szCs w:val="20"/>
        </w:rPr>
        <w:t>выросли</w:t>
      </w:r>
      <w:r w:rsidRPr="00DA14B5">
        <w:rPr>
          <w:sz w:val="20"/>
          <w:szCs w:val="20"/>
        </w:rPr>
        <w:t xml:space="preserve">  обязательные расходы (транспортные, ЖКХ и др.)</w:t>
      </w:r>
      <w:r w:rsidR="00F02019" w:rsidRPr="00DA14B5">
        <w:rPr>
          <w:sz w:val="20"/>
          <w:szCs w:val="20"/>
        </w:rPr>
        <w:t>;</w:t>
      </w:r>
    </w:p>
    <w:p w:rsidR="00CC5F88" w:rsidRPr="00DA14B5" w:rsidRDefault="00CC5F88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быстры</w:t>
      </w:r>
      <w:r w:rsidR="00860B1B" w:rsidRPr="00DA14B5">
        <w:rPr>
          <w:sz w:val="20"/>
          <w:szCs w:val="20"/>
        </w:rPr>
        <w:t>х</w:t>
      </w:r>
      <w:r w:rsidRPr="00DA14B5">
        <w:rPr>
          <w:sz w:val="20"/>
          <w:szCs w:val="20"/>
        </w:rPr>
        <w:t xml:space="preserve"> темп</w:t>
      </w:r>
      <w:r w:rsidR="00860B1B" w:rsidRPr="00DA14B5">
        <w:rPr>
          <w:sz w:val="20"/>
          <w:szCs w:val="20"/>
        </w:rPr>
        <w:t>ов</w:t>
      </w:r>
      <w:r w:rsidRPr="00DA14B5">
        <w:rPr>
          <w:sz w:val="20"/>
          <w:szCs w:val="20"/>
        </w:rPr>
        <w:t xml:space="preserve"> расшир</w:t>
      </w:r>
      <w:r w:rsidR="00860B1B" w:rsidRPr="00DA14B5">
        <w:rPr>
          <w:sz w:val="20"/>
          <w:szCs w:val="20"/>
        </w:rPr>
        <w:t>ения</w:t>
      </w:r>
      <w:r w:rsidRPr="00DA14B5">
        <w:rPr>
          <w:sz w:val="20"/>
          <w:szCs w:val="20"/>
        </w:rPr>
        <w:t xml:space="preserve">  сфер</w:t>
      </w:r>
      <w:r w:rsidR="001A7D14" w:rsidRPr="00DA14B5">
        <w:rPr>
          <w:sz w:val="20"/>
          <w:szCs w:val="20"/>
        </w:rPr>
        <w:t>ы</w:t>
      </w:r>
      <w:r w:rsidRPr="00DA14B5">
        <w:rPr>
          <w:sz w:val="20"/>
          <w:szCs w:val="20"/>
        </w:rPr>
        <w:t xml:space="preserve"> платной  медицины и платного образования;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низкого уровня курса национальной валюты;</w:t>
      </w:r>
    </w:p>
    <w:p w:rsidR="00713493" w:rsidRPr="00DA14B5" w:rsidRDefault="001A625D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</w:t>
      </w:r>
      <w:r w:rsidR="00713493" w:rsidRPr="00DA14B5">
        <w:rPr>
          <w:sz w:val="20"/>
          <w:szCs w:val="20"/>
        </w:rPr>
        <w:t xml:space="preserve">значительной  </w:t>
      </w:r>
      <w:proofErr w:type="spellStart"/>
      <w:r w:rsidR="00713493" w:rsidRPr="00DA14B5">
        <w:rPr>
          <w:sz w:val="20"/>
          <w:szCs w:val="20"/>
        </w:rPr>
        <w:t>закредитованностью</w:t>
      </w:r>
      <w:proofErr w:type="spellEnd"/>
      <w:r w:rsidR="00713493" w:rsidRPr="00DA14B5">
        <w:rPr>
          <w:sz w:val="20"/>
          <w:szCs w:val="20"/>
        </w:rPr>
        <w:t xml:space="preserve"> населения </w:t>
      </w:r>
      <w:r w:rsidR="00884C85" w:rsidRPr="00DA14B5">
        <w:rPr>
          <w:sz w:val="20"/>
          <w:szCs w:val="20"/>
        </w:rPr>
        <w:t xml:space="preserve"> (</w:t>
      </w:r>
      <w:r w:rsidR="00713493" w:rsidRPr="00DA14B5">
        <w:rPr>
          <w:sz w:val="20"/>
          <w:szCs w:val="20"/>
        </w:rPr>
        <w:t>необходимость</w:t>
      </w:r>
      <w:r w:rsidR="00884C85" w:rsidRPr="00DA14B5">
        <w:rPr>
          <w:sz w:val="20"/>
          <w:szCs w:val="20"/>
        </w:rPr>
        <w:t xml:space="preserve">ю </w:t>
      </w:r>
      <w:r w:rsidR="00713493" w:rsidRPr="00DA14B5">
        <w:rPr>
          <w:sz w:val="20"/>
          <w:szCs w:val="20"/>
        </w:rPr>
        <w:t xml:space="preserve"> платить по  ранее полученным  кредитам, в </w:t>
      </w:r>
      <w:proofErr w:type="spellStart"/>
      <w:r w:rsidR="00713493" w:rsidRPr="00DA14B5">
        <w:rPr>
          <w:sz w:val="20"/>
          <w:szCs w:val="20"/>
        </w:rPr>
        <w:t>т.ч</w:t>
      </w:r>
      <w:proofErr w:type="spellEnd"/>
      <w:r w:rsidR="00713493" w:rsidRPr="00DA14B5">
        <w:rPr>
          <w:sz w:val="20"/>
          <w:szCs w:val="20"/>
        </w:rPr>
        <w:t>.  в иностранной валюте</w:t>
      </w:r>
      <w:r w:rsidR="00884C85" w:rsidRPr="00DA14B5">
        <w:rPr>
          <w:sz w:val="20"/>
          <w:szCs w:val="20"/>
        </w:rPr>
        <w:t>)</w:t>
      </w:r>
      <w:r w:rsidR="00713493" w:rsidRPr="00DA14B5">
        <w:rPr>
          <w:sz w:val="20"/>
          <w:szCs w:val="20"/>
        </w:rPr>
        <w:t>;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неуверенность значительной части населения в завтрашнем дне (сокращение, увольнение, нестабильная ситуация и </w:t>
      </w:r>
      <w:proofErr w:type="spellStart"/>
      <w:r w:rsidRPr="00DA14B5">
        <w:rPr>
          <w:sz w:val="20"/>
          <w:szCs w:val="20"/>
        </w:rPr>
        <w:t>др</w:t>
      </w:r>
      <w:proofErr w:type="gramStart"/>
      <w:r w:rsidRPr="00DA14B5">
        <w:rPr>
          <w:sz w:val="20"/>
          <w:szCs w:val="20"/>
        </w:rPr>
        <w:t>.ф</w:t>
      </w:r>
      <w:proofErr w:type="gramEnd"/>
      <w:r w:rsidRPr="00DA14B5">
        <w:rPr>
          <w:sz w:val="20"/>
          <w:szCs w:val="20"/>
        </w:rPr>
        <w:t>акторы</w:t>
      </w:r>
      <w:proofErr w:type="spellEnd"/>
      <w:r w:rsidRPr="00DA14B5">
        <w:rPr>
          <w:sz w:val="20"/>
          <w:szCs w:val="20"/>
        </w:rPr>
        <w:t>)</w:t>
      </w:r>
      <w:r w:rsidR="006B4117" w:rsidRPr="00DA14B5">
        <w:rPr>
          <w:sz w:val="20"/>
          <w:szCs w:val="20"/>
        </w:rPr>
        <w:t>.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Сложившиеся условия оказали  значительное влияние на отрасль розничной  торговли и привели к сокращению темпов развития рынка.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</w:p>
    <w:p w:rsidR="00713493" w:rsidRPr="00DA14B5" w:rsidRDefault="00713493" w:rsidP="00CB4C90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                                              Уважаемые акционеры!</w:t>
      </w:r>
    </w:p>
    <w:p w:rsidR="00713493" w:rsidRPr="00DA14B5" w:rsidRDefault="00713493" w:rsidP="00CB4C90">
      <w:pPr>
        <w:ind w:firstLine="540"/>
        <w:jc w:val="both"/>
        <w:rPr>
          <w:sz w:val="20"/>
          <w:szCs w:val="20"/>
        </w:rPr>
      </w:pPr>
    </w:p>
    <w:p w:rsidR="00713493" w:rsidRPr="00DA14B5" w:rsidRDefault="00713493" w:rsidP="00CB4C90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Основной деятельность Общества  является розничная торговля.</w:t>
      </w:r>
    </w:p>
    <w:p w:rsidR="00713493" w:rsidRPr="00DA14B5" w:rsidRDefault="003765AB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О</w:t>
      </w:r>
      <w:r w:rsidR="00713493" w:rsidRPr="00DA14B5">
        <w:rPr>
          <w:sz w:val="20"/>
          <w:szCs w:val="20"/>
        </w:rPr>
        <w:t>бъем розничной торговли – один из важнейших  источников  насыщения  национального  и региональных бюджетов, это  лакмусовая бумажка экономической активности в стране или, образно говоря, экономического  самочувствия нации.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Оборот  розничной торговли  в Российской Федерации в 2016 году в сопоставимых ценах  снизился  по сравнению с 2015 годом на 5,2% и составил по данным Росстата 28,1 </w:t>
      </w:r>
      <w:proofErr w:type="spellStart"/>
      <w:r w:rsidRPr="00DA14B5">
        <w:rPr>
          <w:sz w:val="20"/>
          <w:szCs w:val="20"/>
        </w:rPr>
        <w:t>трл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 Снижение было  непрерывным на протяжении всего  года без значительных квартальных колебаний, в отличие от динамики 2015 года.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Отрицательная динамика обусловлена сберегательной моделью поведения  населения и кризисными настроениями со стороны потребительского сектора. Структура розничного оборота не изменилась по сравнению с 2015 годом, по-прежнему  доля  продовольственных товаров (включая напитки и табачные изделия) составляет 48,7%,  доля непродовольственных товаров, соответственно – 51,3%.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Такие же тенденции наблюдались в розничной торговле Санкт-Петербурга. 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Общее  предложение классических торговых центров по итогам 2016 года составило 2,76 млн.</w:t>
      </w:r>
      <w:r w:rsidR="00013F6F" w:rsidRPr="00DA14B5">
        <w:rPr>
          <w:sz w:val="20"/>
          <w:szCs w:val="20"/>
        </w:rPr>
        <w:t xml:space="preserve"> </w:t>
      </w:r>
      <w:proofErr w:type="spellStart"/>
      <w:r w:rsidRPr="00DA14B5">
        <w:rPr>
          <w:sz w:val="20"/>
          <w:szCs w:val="20"/>
        </w:rPr>
        <w:t>кв.м</w:t>
      </w:r>
      <w:proofErr w:type="spellEnd"/>
      <w:r w:rsidRPr="00DA14B5">
        <w:rPr>
          <w:sz w:val="20"/>
          <w:szCs w:val="20"/>
        </w:rPr>
        <w:t>.</w:t>
      </w:r>
      <w:r w:rsidR="00DB3647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В третьем квартале    был</w:t>
      </w:r>
      <w:r w:rsidR="006A11D4" w:rsidRPr="00DA14B5">
        <w:rPr>
          <w:sz w:val="20"/>
          <w:szCs w:val="20"/>
        </w:rPr>
        <w:t>и</w:t>
      </w:r>
      <w:r w:rsidRPr="00DA14B5">
        <w:rPr>
          <w:sz w:val="20"/>
          <w:szCs w:val="20"/>
        </w:rPr>
        <w:t xml:space="preserve"> введен</w:t>
      </w:r>
      <w:r w:rsidR="006A11D4" w:rsidRPr="00DA14B5">
        <w:rPr>
          <w:sz w:val="20"/>
          <w:szCs w:val="20"/>
        </w:rPr>
        <w:t>ы</w:t>
      </w:r>
      <w:r w:rsidRPr="00DA14B5">
        <w:rPr>
          <w:sz w:val="20"/>
          <w:szCs w:val="20"/>
        </w:rPr>
        <w:t xml:space="preserve"> в эксплуатацию  два классических торговых центра суммарной площадью 89 тыс. </w:t>
      </w:r>
      <w:proofErr w:type="spellStart"/>
      <w:r w:rsidRPr="00DA14B5">
        <w:rPr>
          <w:sz w:val="20"/>
          <w:szCs w:val="20"/>
        </w:rPr>
        <w:t>кв</w:t>
      </w:r>
      <w:proofErr w:type="gramStart"/>
      <w:r w:rsidRPr="00DA14B5">
        <w:rPr>
          <w:sz w:val="20"/>
          <w:szCs w:val="20"/>
        </w:rPr>
        <w:t>.м</w:t>
      </w:r>
      <w:proofErr w:type="spellEnd"/>
      <w:proofErr w:type="gramEnd"/>
      <w:r w:rsidRPr="00DA14B5">
        <w:rPr>
          <w:sz w:val="20"/>
          <w:szCs w:val="20"/>
        </w:rPr>
        <w:t xml:space="preserve"> – ТРЦ «</w:t>
      </w:r>
      <w:proofErr w:type="spellStart"/>
      <w:r w:rsidRPr="00DA14B5">
        <w:rPr>
          <w:sz w:val="20"/>
          <w:szCs w:val="20"/>
        </w:rPr>
        <w:t>Охта</w:t>
      </w:r>
      <w:proofErr w:type="spellEnd"/>
      <w:r w:rsidRPr="00DA14B5">
        <w:rPr>
          <w:sz w:val="20"/>
          <w:szCs w:val="20"/>
        </w:rPr>
        <w:t xml:space="preserve"> </w:t>
      </w:r>
      <w:proofErr w:type="spellStart"/>
      <w:r w:rsidRPr="00DA14B5">
        <w:rPr>
          <w:sz w:val="20"/>
          <w:szCs w:val="20"/>
        </w:rPr>
        <w:t>Молл</w:t>
      </w:r>
      <w:proofErr w:type="spellEnd"/>
      <w:r w:rsidRPr="00DA14B5">
        <w:rPr>
          <w:sz w:val="20"/>
          <w:szCs w:val="20"/>
        </w:rPr>
        <w:t xml:space="preserve">» и вторая очередь ТРК «Порт Находка». </w:t>
      </w:r>
      <w:r w:rsidR="006A11D4" w:rsidRPr="00DA14B5">
        <w:rPr>
          <w:sz w:val="20"/>
          <w:szCs w:val="20"/>
        </w:rPr>
        <w:t>О</w:t>
      </w:r>
      <w:r w:rsidRPr="00DA14B5">
        <w:rPr>
          <w:sz w:val="20"/>
          <w:szCs w:val="20"/>
        </w:rPr>
        <w:t>беспеченность  торговыми площадями в Санкт-Петербурге  по-прежнему одна из самых  высоких в России.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По данным</w:t>
      </w:r>
      <w:r w:rsidR="00DB3647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</w:t>
      </w:r>
      <w:proofErr w:type="spellStart"/>
      <w:r w:rsidRPr="00DA14B5">
        <w:rPr>
          <w:sz w:val="20"/>
          <w:szCs w:val="20"/>
        </w:rPr>
        <w:t>Петростата</w:t>
      </w:r>
      <w:proofErr w:type="spellEnd"/>
      <w:r w:rsidRPr="00DA14B5">
        <w:rPr>
          <w:sz w:val="20"/>
          <w:szCs w:val="20"/>
        </w:rPr>
        <w:t xml:space="preserve"> оборот розничной  торговли  в Санкт-Петербурге за 2016 год снизился по сравнению с 2015 годом на 1,5% .</w:t>
      </w:r>
    </w:p>
    <w:p w:rsidR="009506D9" w:rsidRPr="00DA14B5" w:rsidRDefault="009506D9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Годовой товарооборот  Общества  за 2016 год составил 1 млрд</w:t>
      </w:r>
      <w:r w:rsidR="00DB3647" w:rsidRPr="00DA14B5">
        <w:rPr>
          <w:sz w:val="20"/>
          <w:szCs w:val="20"/>
        </w:rPr>
        <w:t>.</w:t>
      </w:r>
      <w:r w:rsidRPr="00DA14B5">
        <w:rPr>
          <w:sz w:val="20"/>
          <w:szCs w:val="20"/>
        </w:rPr>
        <w:t xml:space="preserve"> 763 млн.</w:t>
      </w:r>
      <w:r w:rsidR="00DB3647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>рублей со снижением на 0,2% к уровню  2015 года, что значительно меньше, чем  в целом по России и по Санкт-Петербургу.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Стратегией коммерческого аппарата, как и в предыдущие годы является: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сохранение  собственной торговли по выбранным товарным группам;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наличие самого широкого  ассортимента представленных товаров для покупателей всех категорий; 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lastRenderedPageBreak/>
        <w:t>- гибкая ценовая политика;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развитие дисконтной системы и программ  лояльности для различных категорий покупателей;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увеличение   дополнительных сервисов для покупателей;</w:t>
      </w:r>
    </w:p>
    <w:p w:rsidR="00713493" w:rsidRPr="00DA14B5" w:rsidRDefault="00713493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высокий уровень квалификации персонала.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Для развития и удержания позиций на рынке в течение всего отчетного периода предпринимались следующие  меры: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расширение ассортимента</w:t>
      </w:r>
      <w:r w:rsidR="00AA5350" w:rsidRPr="00DA14B5">
        <w:rPr>
          <w:sz w:val="20"/>
          <w:szCs w:val="20"/>
        </w:rPr>
        <w:t xml:space="preserve"> товаров</w:t>
      </w:r>
      <w:r w:rsidRPr="00DA14B5">
        <w:rPr>
          <w:sz w:val="20"/>
          <w:szCs w:val="20"/>
        </w:rPr>
        <w:t xml:space="preserve"> с привлечением новых торговых марок;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разработка маркетинговых мероприятий, направленных на стимулирование сбыта  (скидки, рекламные акции и пр.);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В торговых залах представлено более 140 тысяч наименований товаров  и более 1000 брендов  различных товарных категорий.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Коммерческий аппарат  продолжает работу по поиску новых поставщиков и торговых марок.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2016 году коммерсанты Общества заключили </w:t>
      </w:r>
      <w:r w:rsidR="00835918" w:rsidRPr="00DA14B5">
        <w:rPr>
          <w:sz w:val="20"/>
          <w:szCs w:val="20"/>
        </w:rPr>
        <w:t>более</w:t>
      </w:r>
      <w:r w:rsidRPr="00DA14B5">
        <w:rPr>
          <w:sz w:val="20"/>
          <w:szCs w:val="20"/>
        </w:rPr>
        <w:t xml:space="preserve"> 1</w:t>
      </w:r>
      <w:r w:rsidR="00835918" w:rsidRPr="00DA14B5">
        <w:rPr>
          <w:sz w:val="20"/>
          <w:szCs w:val="20"/>
        </w:rPr>
        <w:t>0</w:t>
      </w:r>
      <w:r w:rsidRPr="00DA14B5">
        <w:rPr>
          <w:sz w:val="20"/>
          <w:szCs w:val="20"/>
        </w:rPr>
        <w:t>0 договоров с новыми поставщиками, что дало возможность  представить в торговых залах Большого Гостиного Двора новые российские и зарубежные фирмы.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Для поиска новых поставщиков коммерсанты посещали  российские и зарубежные выставки в Дюссельдорфе, Москве и Санкт-Петербурге. Выезжали на закупки товаров в Италию, Германию, Францию. 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Сочетание собственной торговли со сдачей части свободных помещений  в субаренду позволяет гибко и оперативно  производить передислокацию, замену ассортимента, не допускать простоя площадей</w:t>
      </w:r>
      <w:r w:rsidR="00C57C1B" w:rsidRPr="00DA14B5">
        <w:rPr>
          <w:sz w:val="20"/>
          <w:szCs w:val="20"/>
        </w:rPr>
        <w:t xml:space="preserve"> в случаях</w:t>
      </w:r>
      <w:r w:rsidRPr="00DA14B5">
        <w:rPr>
          <w:sz w:val="20"/>
          <w:szCs w:val="20"/>
        </w:rPr>
        <w:t>, когда  субарендатор досрочно  расторгает договор или не продлевает его на новый срок. Так</w:t>
      </w:r>
      <w:r w:rsidR="00C57C1B" w:rsidRPr="00DA14B5">
        <w:rPr>
          <w:sz w:val="20"/>
          <w:szCs w:val="20"/>
        </w:rPr>
        <w:t>,</w:t>
      </w:r>
      <w:r w:rsidR="002446F7" w:rsidRPr="00DA14B5">
        <w:rPr>
          <w:sz w:val="20"/>
          <w:szCs w:val="20"/>
        </w:rPr>
        <w:t xml:space="preserve"> в 2016 году в</w:t>
      </w:r>
      <w:r w:rsidRPr="00DA14B5">
        <w:rPr>
          <w:sz w:val="20"/>
          <w:szCs w:val="20"/>
        </w:rPr>
        <w:t xml:space="preserve"> </w:t>
      </w:r>
      <w:r w:rsidR="002446F7" w:rsidRPr="00DA14B5">
        <w:rPr>
          <w:sz w:val="20"/>
          <w:szCs w:val="20"/>
        </w:rPr>
        <w:t xml:space="preserve"> связи с </w:t>
      </w:r>
      <w:r w:rsidRPr="00DA14B5">
        <w:rPr>
          <w:sz w:val="20"/>
          <w:szCs w:val="20"/>
        </w:rPr>
        <w:t xml:space="preserve">закрытием </w:t>
      </w:r>
      <w:r w:rsidR="0046053A" w:rsidRPr="00DA14B5">
        <w:rPr>
          <w:sz w:val="20"/>
          <w:szCs w:val="20"/>
        </w:rPr>
        <w:t xml:space="preserve"> субарендатором </w:t>
      </w:r>
      <w:r w:rsidRPr="00DA14B5">
        <w:rPr>
          <w:sz w:val="20"/>
          <w:szCs w:val="20"/>
        </w:rPr>
        <w:t xml:space="preserve">магазина </w:t>
      </w:r>
      <w:r w:rsidR="00C57C1B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</w:t>
      </w:r>
      <w:r w:rsidR="00C57C1B" w:rsidRPr="00DA14B5">
        <w:rPr>
          <w:sz w:val="20"/>
          <w:szCs w:val="20"/>
        </w:rPr>
        <w:t>«</w:t>
      </w:r>
      <w:proofErr w:type="spellStart"/>
      <w:r w:rsidRPr="00DA14B5">
        <w:rPr>
          <w:sz w:val="20"/>
          <w:szCs w:val="20"/>
        </w:rPr>
        <w:t>Интерспорт</w:t>
      </w:r>
      <w:proofErr w:type="spellEnd"/>
      <w:r w:rsidR="00C57C1B" w:rsidRPr="00DA14B5">
        <w:rPr>
          <w:sz w:val="20"/>
          <w:szCs w:val="20"/>
        </w:rPr>
        <w:t xml:space="preserve">» </w:t>
      </w:r>
      <w:r w:rsidRPr="00DA14B5">
        <w:rPr>
          <w:sz w:val="20"/>
          <w:szCs w:val="20"/>
        </w:rPr>
        <w:t xml:space="preserve"> на этих площадях  была оперативно развернута  собственная торговля, что позволило избежать потерь.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В течение всего года продолжалась работа по реорганизации, укрупнению и ликвидации магазинов и складов, а также  упорядочивание штатной численности: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объеди</w:t>
      </w:r>
      <w:r w:rsidR="00BB4516" w:rsidRPr="00DA14B5">
        <w:rPr>
          <w:sz w:val="20"/>
          <w:szCs w:val="20"/>
        </w:rPr>
        <w:t>не</w:t>
      </w:r>
      <w:r w:rsidRPr="00DA14B5">
        <w:rPr>
          <w:sz w:val="20"/>
          <w:szCs w:val="20"/>
        </w:rPr>
        <w:t>н</w:t>
      </w:r>
      <w:r w:rsidR="00BB4516" w:rsidRPr="00DA14B5">
        <w:rPr>
          <w:sz w:val="20"/>
          <w:szCs w:val="20"/>
        </w:rPr>
        <w:t>ы</w:t>
      </w:r>
      <w:r w:rsidRPr="00DA14B5">
        <w:rPr>
          <w:sz w:val="20"/>
          <w:szCs w:val="20"/>
        </w:rPr>
        <w:t xml:space="preserve"> магазин</w:t>
      </w:r>
      <w:r w:rsidR="00BB4516" w:rsidRPr="00DA14B5">
        <w:rPr>
          <w:sz w:val="20"/>
          <w:szCs w:val="20"/>
        </w:rPr>
        <w:t>ы</w:t>
      </w:r>
      <w:r w:rsidRPr="00DA14B5">
        <w:rPr>
          <w:sz w:val="20"/>
          <w:szCs w:val="20"/>
        </w:rPr>
        <w:t xml:space="preserve"> </w:t>
      </w:r>
      <w:r w:rsidR="003E2160" w:rsidRPr="00DA14B5">
        <w:rPr>
          <w:sz w:val="20"/>
          <w:szCs w:val="20"/>
        </w:rPr>
        <w:t>№</w:t>
      </w:r>
      <w:r w:rsidRPr="00DA14B5">
        <w:rPr>
          <w:sz w:val="20"/>
          <w:szCs w:val="20"/>
        </w:rPr>
        <w:t xml:space="preserve">  214  и  </w:t>
      </w:r>
      <w:r w:rsidR="003E2160" w:rsidRPr="00DA14B5">
        <w:rPr>
          <w:sz w:val="20"/>
          <w:szCs w:val="20"/>
        </w:rPr>
        <w:t>№</w:t>
      </w:r>
      <w:r w:rsidRPr="00DA14B5">
        <w:rPr>
          <w:sz w:val="20"/>
          <w:szCs w:val="20"/>
        </w:rPr>
        <w:t xml:space="preserve"> 223;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о</w:t>
      </w:r>
      <w:r w:rsidR="00BB4516" w:rsidRPr="00DA14B5">
        <w:rPr>
          <w:sz w:val="20"/>
          <w:szCs w:val="20"/>
        </w:rPr>
        <w:t xml:space="preserve">рганизованы </w:t>
      </w:r>
      <w:r w:rsidRPr="00DA14B5">
        <w:rPr>
          <w:sz w:val="20"/>
          <w:szCs w:val="20"/>
        </w:rPr>
        <w:t xml:space="preserve">  магазин</w:t>
      </w:r>
      <w:r w:rsidR="00BB4516" w:rsidRPr="00DA14B5">
        <w:rPr>
          <w:sz w:val="20"/>
          <w:szCs w:val="20"/>
        </w:rPr>
        <w:t>ы</w:t>
      </w:r>
      <w:r w:rsidRPr="00DA14B5">
        <w:rPr>
          <w:sz w:val="20"/>
          <w:szCs w:val="20"/>
        </w:rPr>
        <w:t>-склад</w:t>
      </w:r>
      <w:r w:rsidR="00BB4516" w:rsidRPr="00DA14B5">
        <w:rPr>
          <w:sz w:val="20"/>
          <w:szCs w:val="20"/>
        </w:rPr>
        <w:t>ы</w:t>
      </w:r>
      <w:r w:rsidRPr="00DA14B5">
        <w:rPr>
          <w:sz w:val="20"/>
          <w:szCs w:val="20"/>
        </w:rPr>
        <w:t xml:space="preserve"> № 115 (канцелярские товары) </w:t>
      </w:r>
      <w:r w:rsidR="00C57C1B" w:rsidRPr="00DA14B5">
        <w:rPr>
          <w:sz w:val="20"/>
          <w:szCs w:val="20"/>
        </w:rPr>
        <w:t>и</w:t>
      </w:r>
      <w:r w:rsidRPr="00DA14B5">
        <w:rPr>
          <w:sz w:val="20"/>
          <w:szCs w:val="20"/>
        </w:rPr>
        <w:t xml:space="preserve"> № 319 (кожгалантерейные товары);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объединен</w:t>
      </w:r>
      <w:r w:rsidR="00BB4516" w:rsidRPr="00DA14B5">
        <w:rPr>
          <w:sz w:val="20"/>
          <w:szCs w:val="20"/>
        </w:rPr>
        <w:t>ы</w:t>
      </w:r>
      <w:r w:rsidRPr="00DA14B5">
        <w:rPr>
          <w:sz w:val="20"/>
          <w:szCs w:val="20"/>
        </w:rPr>
        <w:t xml:space="preserve">  703</w:t>
      </w:r>
      <w:r w:rsidR="003E2160" w:rsidRPr="00DA14B5">
        <w:rPr>
          <w:sz w:val="20"/>
          <w:szCs w:val="20"/>
        </w:rPr>
        <w:t xml:space="preserve">-й </w:t>
      </w:r>
      <w:r w:rsidRPr="00DA14B5">
        <w:rPr>
          <w:sz w:val="20"/>
          <w:szCs w:val="20"/>
        </w:rPr>
        <w:t xml:space="preserve"> и </w:t>
      </w:r>
      <w:r w:rsidR="003E2160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>609</w:t>
      </w:r>
      <w:r w:rsidR="003E2160" w:rsidRPr="00DA14B5">
        <w:rPr>
          <w:sz w:val="20"/>
          <w:szCs w:val="20"/>
        </w:rPr>
        <w:t>-й</w:t>
      </w:r>
      <w:r w:rsidRPr="00DA14B5">
        <w:rPr>
          <w:sz w:val="20"/>
          <w:szCs w:val="20"/>
        </w:rPr>
        <w:t xml:space="preserve"> склад</w:t>
      </w:r>
      <w:r w:rsidR="00BB4516" w:rsidRPr="00DA14B5">
        <w:rPr>
          <w:sz w:val="20"/>
          <w:szCs w:val="20"/>
        </w:rPr>
        <w:t>ы</w:t>
      </w:r>
      <w:r w:rsidRPr="00DA14B5">
        <w:rPr>
          <w:sz w:val="20"/>
          <w:szCs w:val="20"/>
        </w:rPr>
        <w:t>.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настоящее время  розничную торговлю осуществляют  17 магазинов     (в </w:t>
      </w:r>
      <w:proofErr w:type="spellStart"/>
      <w:r w:rsidRPr="00DA14B5">
        <w:rPr>
          <w:sz w:val="20"/>
          <w:szCs w:val="20"/>
        </w:rPr>
        <w:t>т.ч</w:t>
      </w:r>
      <w:proofErr w:type="spellEnd"/>
      <w:r w:rsidRPr="00DA14B5">
        <w:rPr>
          <w:sz w:val="20"/>
          <w:szCs w:val="20"/>
        </w:rPr>
        <w:t>.    4 магазина-склада), количество складов сократилось до 7.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Проводились мероприятия  по оптимизации  численности  и в других подразделениях Общества, штатная численность  уменьшена на 85  штатных единиц.</w:t>
      </w:r>
      <w:r w:rsidR="009F0E5D" w:rsidRPr="00DA14B5">
        <w:rPr>
          <w:sz w:val="20"/>
          <w:szCs w:val="20"/>
        </w:rPr>
        <w:t xml:space="preserve">  </w:t>
      </w:r>
      <w:r w:rsidRPr="00DA14B5">
        <w:rPr>
          <w:sz w:val="20"/>
          <w:szCs w:val="20"/>
        </w:rPr>
        <w:t xml:space="preserve">Среднесписочная численность сотрудников  за 2016 год составила 911 человек. 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С целью стимулирования  сбыта в универмаге проводился комплекс  маркетинговых мероприятий: рекламные акции, скидки, распродажи, модные показы, </w:t>
      </w:r>
      <w:proofErr w:type="spellStart"/>
      <w:r w:rsidRPr="00DA14B5">
        <w:rPr>
          <w:sz w:val="20"/>
          <w:szCs w:val="20"/>
        </w:rPr>
        <w:t>инвет</w:t>
      </w:r>
      <w:proofErr w:type="spellEnd"/>
      <w:r w:rsidRPr="00DA14B5">
        <w:rPr>
          <w:sz w:val="20"/>
          <w:szCs w:val="20"/>
        </w:rPr>
        <w:t>-мероприятия.</w:t>
      </w:r>
    </w:p>
    <w:p w:rsidR="00DD5143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2016 году маркетинговая </w:t>
      </w:r>
      <w:r w:rsidR="008C3187" w:rsidRPr="00DA14B5">
        <w:rPr>
          <w:sz w:val="20"/>
          <w:szCs w:val="20"/>
        </w:rPr>
        <w:t>служба</w:t>
      </w:r>
      <w:r w:rsidRPr="00DA14B5">
        <w:rPr>
          <w:sz w:val="20"/>
          <w:szCs w:val="20"/>
        </w:rPr>
        <w:t xml:space="preserve"> О</w:t>
      </w:r>
      <w:r w:rsidR="00960A48" w:rsidRPr="00DA14B5">
        <w:rPr>
          <w:sz w:val="20"/>
          <w:szCs w:val="20"/>
        </w:rPr>
        <w:t xml:space="preserve">бщества отказалась </w:t>
      </w:r>
      <w:r w:rsidRPr="00DA14B5">
        <w:rPr>
          <w:sz w:val="20"/>
          <w:szCs w:val="20"/>
        </w:rPr>
        <w:t xml:space="preserve"> от организации традиционных сезонных распродаж. Для того</w:t>
      </w:r>
      <w:proofErr w:type="gramStart"/>
      <w:r w:rsidR="008840C3" w:rsidRPr="00DA14B5">
        <w:rPr>
          <w:sz w:val="20"/>
          <w:szCs w:val="20"/>
        </w:rPr>
        <w:t>,</w:t>
      </w:r>
      <w:proofErr w:type="gramEnd"/>
      <w:r w:rsidRPr="00DA14B5">
        <w:rPr>
          <w:sz w:val="20"/>
          <w:szCs w:val="20"/>
        </w:rPr>
        <w:t xml:space="preserve">  чтобы покупатели могли  позволить</w:t>
      </w:r>
      <w:r w:rsidR="008840C3" w:rsidRPr="00DA14B5">
        <w:rPr>
          <w:sz w:val="20"/>
          <w:szCs w:val="20"/>
        </w:rPr>
        <w:t xml:space="preserve"> себе  приобрести больше товаров</w:t>
      </w:r>
      <w:r w:rsidRPr="00DA14B5">
        <w:rPr>
          <w:sz w:val="20"/>
          <w:szCs w:val="20"/>
        </w:rPr>
        <w:t xml:space="preserve"> или выбрали</w:t>
      </w:r>
      <w:r w:rsidR="000E5664" w:rsidRPr="00DA14B5">
        <w:rPr>
          <w:sz w:val="20"/>
          <w:szCs w:val="20"/>
        </w:rPr>
        <w:t xml:space="preserve"> для совершения  покупок </w:t>
      </w:r>
      <w:r w:rsidRPr="00DA14B5">
        <w:rPr>
          <w:sz w:val="20"/>
          <w:szCs w:val="20"/>
        </w:rPr>
        <w:t xml:space="preserve"> наш у</w:t>
      </w:r>
      <w:r w:rsidR="000E5664" w:rsidRPr="00DA14B5">
        <w:rPr>
          <w:sz w:val="20"/>
          <w:szCs w:val="20"/>
        </w:rPr>
        <w:t>нивермаг, а также для  поддержания</w:t>
      </w:r>
      <w:r w:rsidRPr="00DA14B5">
        <w:rPr>
          <w:sz w:val="20"/>
          <w:szCs w:val="20"/>
        </w:rPr>
        <w:t xml:space="preserve">  интереса постоянных покупателей</w:t>
      </w:r>
      <w:r w:rsidR="008840C3" w:rsidRPr="00DA14B5">
        <w:rPr>
          <w:sz w:val="20"/>
          <w:szCs w:val="20"/>
        </w:rPr>
        <w:t>,</w:t>
      </w:r>
      <w:r w:rsidRPr="00DA14B5">
        <w:rPr>
          <w:sz w:val="20"/>
          <w:szCs w:val="20"/>
        </w:rPr>
        <w:t xml:space="preserve"> в  течение 2016 года,  кроме ежемесячного  дня клиента, было проведено 29 различных акций, стимулирующих совершать покупки, в </w:t>
      </w:r>
      <w:proofErr w:type="spellStart"/>
      <w:r w:rsidRPr="00DA14B5">
        <w:rPr>
          <w:sz w:val="20"/>
          <w:szCs w:val="20"/>
        </w:rPr>
        <w:t>т.ч</w:t>
      </w:r>
      <w:proofErr w:type="spellEnd"/>
      <w:r w:rsidRPr="00DA14B5">
        <w:rPr>
          <w:sz w:val="20"/>
          <w:szCs w:val="20"/>
        </w:rPr>
        <w:t xml:space="preserve">.  за счет  увеличения % скидки по дисконтной карте.  </w:t>
      </w:r>
      <w:r w:rsidR="008840C3" w:rsidRPr="00DA14B5">
        <w:rPr>
          <w:sz w:val="20"/>
          <w:szCs w:val="20"/>
        </w:rPr>
        <w:t>Акции были также  направлены на  привлечение</w:t>
      </w:r>
      <w:r w:rsidRPr="00DA14B5">
        <w:rPr>
          <w:sz w:val="20"/>
          <w:szCs w:val="20"/>
        </w:rPr>
        <w:t xml:space="preserve"> новых  покупателей, выдачу им  дисконтн</w:t>
      </w:r>
      <w:r w:rsidR="00DD5143" w:rsidRPr="00DA14B5">
        <w:rPr>
          <w:sz w:val="20"/>
          <w:szCs w:val="20"/>
        </w:rPr>
        <w:t xml:space="preserve">ых </w:t>
      </w:r>
      <w:r w:rsidRPr="00DA14B5">
        <w:rPr>
          <w:sz w:val="20"/>
          <w:szCs w:val="20"/>
        </w:rPr>
        <w:t xml:space="preserve"> карт</w:t>
      </w:r>
      <w:r w:rsidR="00DD5143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Общества.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За 2016 год было выдано 36 тысяч дисконтных карт (на всех расчетных  узлах, </w:t>
      </w:r>
      <w:r w:rsidR="00DD5143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в Информационном центре, а также на всех  проводимых </w:t>
      </w:r>
      <w:r w:rsidR="0072343C" w:rsidRPr="00DA14B5">
        <w:rPr>
          <w:sz w:val="20"/>
          <w:szCs w:val="20"/>
        </w:rPr>
        <w:t xml:space="preserve">в универмаге </w:t>
      </w:r>
      <w:r w:rsidRPr="00DA14B5">
        <w:rPr>
          <w:sz w:val="20"/>
          <w:szCs w:val="20"/>
        </w:rPr>
        <w:t>мероприятиях).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На протяжении всего 2016 года  сохранялась тенденция увеличения продаж </w:t>
      </w:r>
      <w:r w:rsidR="00050B43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в дни проводимых Обществом акций, </w:t>
      </w:r>
      <w:r w:rsidR="00050B43" w:rsidRPr="00DA14B5">
        <w:rPr>
          <w:sz w:val="20"/>
          <w:szCs w:val="20"/>
        </w:rPr>
        <w:t>при которых</w:t>
      </w:r>
      <w:r w:rsidRPr="00DA14B5">
        <w:rPr>
          <w:sz w:val="20"/>
          <w:szCs w:val="20"/>
        </w:rPr>
        <w:t xml:space="preserve"> к скидкам по дисконтным картам  добавляются  различные дополнительные скидки, выдаются призы, подарки.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Анализ  покупательских потоков и совершаемых покупок </w:t>
      </w:r>
      <w:r w:rsidR="000C280F" w:rsidRPr="00DA14B5">
        <w:rPr>
          <w:sz w:val="20"/>
          <w:szCs w:val="20"/>
        </w:rPr>
        <w:t xml:space="preserve"> в сравнении  2015 и 2016 г</w:t>
      </w:r>
      <w:r w:rsidR="004C0B7E" w:rsidRPr="00DA14B5">
        <w:rPr>
          <w:sz w:val="20"/>
          <w:szCs w:val="20"/>
        </w:rPr>
        <w:t>одов</w:t>
      </w:r>
      <w:r w:rsidR="000C280F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показывает, что  жители Санкт-Петербурга </w:t>
      </w:r>
      <w:r w:rsidR="000C280F" w:rsidRPr="00DA14B5">
        <w:rPr>
          <w:sz w:val="20"/>
          <w:szCs w:val="20"/>
        </w:rPr>
        <w:t xml:space="preserve"> все чаще </w:t>
      </w:r>
      <w:r w:rsidRPr="00DA14B5">
        <w:rPr>
          <w:sz w:val="20"/>
          <w:szCs w:val="20"/>
        </w:rPr>
        <w:t>предп</w:t>
      </w:r>
      <w:r w:rsidR="00C97509" w:rsidRPr="00DA14B5">
        <w:rPr>
          <w:sz w:val="20"/>
          <w:szCs w:val="20"/>
        </w:rPr>
        <w:t>очитают</w:t>
      </w:r>
      <w:r w:rsidR="00CA1CD4" w:rsidRPr="00DA14B5">
        <w:rPr>
          <w:sz w:val="20"/>
          <w:szCs w:val="20"/>
        </w:rPr>
        <w:t xml:space="preserve"> </w:t>
      </w:r>
      <w:r w:rsidR="00C97509" w:rsidRPr="00DA14B5">
        <w:rPr>
          <w:sz w:val="20"/>
          <w:szCs w:val="20"/>
        </w:rPr>
        <w:t xml:space="preserve"> покупать  со</w:t>
      </w:r>
      <w:r w:rsidR="00CA1CD4" w:rsidRPr="00DA14B5">
        <w:rPr>
          <w:sz w:val="20"/>
          <w:szCs w:val="20"/>
        </w:rPr>
        <w:t xml:space="preserve"> </w:t>
      </w:r>
      <w:r w:rsidR="00C97509" w:rsidRPr="00DA14B5">
        <w:rPr>
          <w:sz w:val="20"/>
          <w:szCs w:val="20"/>
        </w:rPr>
        <w:t xml:space="preserve"> скидками,  </w:t>
      </w:r>
      <w:r w:rsidRPr="00DA14B5">
        <w:rPr>
          <w:sz w:val="20"/>
          <w:szCs w:val="20"/>
        </w:rPr>
        <w:t xml:space="preserve"> готовы </w:t>
      </w:r>
      <w:r w:rsidR="000C280F" w:rsidRPr="00DA14B5">
        <w:rPr>
          <w:sz w:val="20"/>
          <w:szCs w:val="20"/>
        </w:rPr>
        <w:t xml:space="preserve"> ждать и </w:t>
      </w:r>
      <w:r w:rsidRPr="00DA14B5">
        <w:rPr>
          <w:sz w:val="20"/>
          <w:szCs w:val="20"/>
        </w:rPr>
        <w:t xml:space="preserve"> отложить  покупку до </w:t>
      </w:r>
      <w:r w:rsidR="000C280F" w:rsidRPr="00DA14B5">
        <w:rPr>
          <w:sz w:val="20"/>
          <w:szCs w:val="20"/>
        </w:rPr>
        <w:t>начала акции.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В дни без акций коэффициент  конверсии составл</w:t>
      </w:r>
      <w:r w:rsidR="00835918" w:rsidRPr="00DA14B5">
        <w:rPr>
          <w:sz w:val="20"/>
          <w:szCs w:val="20"/>
        </w:rPr>
        <w:t>ял</w:t>
      </w:r>
      <w:r w:rsidRPr="00DA14B5">
        <w:rPr>
          <w:sz w:val="20"/>
          <w:szCs w:val="20"/>
        </w:rPr>
        <w:t xml:space="preserve"> около 10%, что почти на 3% ниже уровня  2015 года. Т.е. покупатели приходят, примеряют,  подбирают</w:t>
      </w:r>
      <w:r w:rsidR="00CA1CD4" w:rsidRPr="00DA14B5">
        <w:rPr>
          <w:sz w:val="20"/>
          <w:szCs w:val="20"/>
        </w:rPr>
        <w:t xml:space="preserve"> товар</w:t>
      </w:r>
      <w:r w:rsidR="00001613" w:rsidRPr="00DA14B5">
        <w:rPr>
          <w:sz w:val="20"/>
          <w:szCs w:val="20"/>
        </w:rPr>
        <w:t>, но</w:t>
      </w:r>
      <w:r w:rsidR="008E31EC" w:rsidRPr="00DA14B5">
        <w:rPr>
          <w:sz w:val="20"/>
          <w:szCs w:val="20"/>
        </w:rPr>
        <w:t xml:space="preserve"> значительное</w:t>
      </w:r>
      <w:r w:rsidRPr="00DA14B5">
        <w:rPr>
          <w:sz w:val="20"/>
          <w:szCs w:val="20"/>
        </w:rPr>
        <w:t xml:space="preserve">   </w:t>
      </w:r>
      <w:r w:rsidR="008E31EC" w:rsidRPr="00DA14B5">
        <w:rPr>
          <w:sz w:val="20"/>
          <w:szCs w:val="20"/>
        </w:rPr>
        <w:t>количество</w:t>
      </w:r>
      <w:r w:rsidRPr="00DA14B5">
        <w:rPr>
          <w:sz w:val="20"/>
          <w:szCs w:val="20"/>
        </w:rPr>
        <w:t xml:space="preserve">  постоянных покупателей откладыва</w:t>
      </w:r>
      <w:r w:rsidR="008E31EC" w:rsidRPr="00DA14B5">
        <w:rPr>
          <w:sz w:val="20"/>
          <w:szCs w:val="20"/>
        </w:rPr>
        <w:t>е</w:t>
      </w:r>
      <w:r w:rsidRPr="00DA14B5">
        <w:rPr>
          <w:sz w:val="20"/>
          <w:szCs w:val="20"/>
        </w:rPr>
        <w:t>т покупку и ждет  акци</w:t>
      </w:r>
      <w:r w:rsidR="00CA1CD4" w:rsidRPr="00DA14B5">
        <w:rPr>
          <w:sz w:val="20"/>
          <w:szCs w:val="20"/>
        </w:rPr>
        <w:t>й</w:t>
      </w:r>
      <w:r w:rsidRPr="00DA14B5">
        <w:rPr>
          <w:sz w:val="20"/>
          <w:szCs w:val="20"/>
        </w:rPr>
        <w:t>, во время проведения которых коэффициент конверсии увеличива</w:t>
      </w:r>
      <w:r w:rsidR="008E31EC" w:rsidRPr="00DA14B5">
        <w:rPr>
          <w:sz w:val="20"/>
          <w:szCs w:val="20"/>
        </w:rPr>
        <w:t xml:space="preserve">лся </w:t>
      </w:r>
      <w:r w:rsidRPr="00DA14B5">
        <w:rPr>
          <w:sz w:val="20"/>
          <w:szCs w:val="20"/>
        </w:rPr>
        <w:t xml:space="preserve"> до 13</w:t>
      </w:r>
      <w:r w:rsidR="008E31EC" w:rsidRPr="00DA14B5">
        <w:rPr>
          <w:sz w:val="20"/>
          <w:szCs w:val="20"/>
        </w:rPr>
        <w:t>%</w:t>
      </w:r>
      <w:r w:rsidRPr="00DA14B5">
        <w:rPr>
          <w:sz w:val="20"/>
          <w:szCs w:val="20"/>
        </w:rPr>
        <w:t>-15%, т.е.  почти на 40% выше, чем в дни без акций.</w:t>
      </w:r>
    </w:p>
    <w:p w:rsidR="007B4B4C" w:rsidRPr="00DA14B5" w:rsidRDefault="007B4B4C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За 2016 год  значительно увеличилось  количество покупок, совершаемых с использованием дисконтных карт: в среднем количество покупок по дисконтным картам в обычные дни  составляло </w:t>
      </w:r>
      <w:r w:rsidR="00271FAA" w:rsidRPr="00DA14B5">
        <w:rPr>
          <w:sz w:val="20"/>
          <w:szCs w:val="20"/>
        </w:rPr>
        <w:t xml:space="preserve"> от </w:t>
      </w:r>
      <w:r w:rsidRPr="00DA14B5">
        <w:rPr>
          <w:sz w:val="20"/>
          <w:szCs w:val="20"/>
        </w:rPr>
        <w:t xml:space="preserve">43% </w:t>
      </w:r>
      <w:r w:rsidR="00271FAA" w:rsidRPr="00DA14B5">
        <w:rPr>
          <w:sz w:val="20"/>
          <w:szCs w:val="20"/>
        </w:rPr>
        <w:t xml:space="preserve"> до 70%</w:t>
      </w:r>
      <w:r w:rsidRPr="00DA14B5">
        <w:rPr>
          <w:sz w:val="20"/>
          <w:szCs w:val="20"/>
        </w:rPr>
        <w:t xml:space="preserve">, а во время проведения акции </w:t>
      </w:r>
      <w:r w:rsidR="00001613" w:rsidRPr="00DA14B5">
        <w:rPr>
          <w:sz w:val="20"/>
          <w:szCs w:val="20"/>
        </w:rPr>
        <w:t>-</w:t>
      </w:r>
      <w:r w:rsidR="00271FAA" w:rsidRPr="00DA14B5">
        <w:rPr>
          <w:sz w:val="20"/>
          <w:szCs w:val="20"/>
        </w:rPr>
        <w:t xml:space="preserve"> от </w:t>
      </w:r>
      <w:r w:rsidRPr="00DA14B5">
        <w:rPr>
          <w:sz w:val="20"/>
          <w:szCs w:val="20"/>
        </w:rPr>
        <w:t xml:space="preserve">64% </w:t>
      </w:r>
      <w:r w:rsidR="00271FAA" w:rsidRPr="00DA14B5">
        <w:rPr>
          <w:sz w:val="20"/>
          <w:szCs w:val="20"/>
        </w:rPr>
        <w:t xml:space="preserve"> до 90% </w:t>
      </w:r>
      <w:r w:rsidRPr="00DA14B5">
        <w:rPr>
          <w:sz w:val="20"/>
          <w:szCs w:val="20"/>
        </w:rPr>
        <w:t>в канун  нового года. Продажи с  применением дисконт</w:t>
      </w:r>
      <w:r w:rsidR="009E0A7A" w:rsidRPr="00DA14B5">
        <w:rPr>
          <w:sz w:val="20"/>
          <w:szCs w:val="20"/>
        </w:rPr>
        <w:t>ных карт  в 2016 году  состав</w:t>
      </w:r>
      <w:r w:rsidR="00001613" w:rsidRPr="00DA14B5">
        <w:rPr>
          <w:sz w:val="20"/>
          <w:szCs w:val="20"/>
        </w:rPr>
        <w:t xml:space="preserve">или </w:t>
      </w:r>
      <w:r w:rsidRPr="00DA14B5">
        <w:rPr>
          <w:sz w:val="20"/>
          <w:szCs w:val="20"/>
        </w:rPr>
        <w:t xml:space="preserve"> 71% от общего товарооборота </w:t>
      </w:r>
      <w:r w:rsidR="00001613" w:rsidRPr="00DA14B5">
        <w:rPr>
          <w:sz w:val="20"/>
          <w:szCs w:val="20"/>
        </w:rPr>
        <w:t>у</w:t>
      </w:r>
      <w:r w:rsidRPr="00DA14B5">
        <w:rPr>
          <w:sz w:val="20"/>
          <w:szCs w:val="20"/>
        </w:rPr>
        <w:t>нивермага.</w:t>
      </w:r>
    </w:p>
    <w:p w:rsidR="000C280F" w:rsidRPr="00DA14B5" w:rsidRDefault="000C280F" w:rsidP="00CB4C90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По итогам </w:t>
      </w:r>
      <w:r w:rsidR="000A35AC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программы </w:t>
      </w:r>
      <w:r w:rsidR="000A35AC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>«100 лучших  товаров России»  ди</w:t>
      </w:r>
      <w:r w:rsidR="001A625D" w:rsidRPr="00DA14B5">
        <w:rPr>
          <w:sz w:val="20"/>
          <w:szCs w:val="20"/>
        </w:rPr>
        <w:t>сконтная система  Большого Гост</w:t>
      </w:r>
      <w:r w:rsidRPr="00DA14B5">
        <w:rPr>
          <w:sz w:val="20"/>
          <w:szCs w:val="20"/>
        </w:rPr>
        <w:t>иного Двора</w:t>
      </w:r>
      <w:r w:rsidR="00C97509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была  удостоена </w:t>
      </w:r>
      <w:r w:rsidR="000A35AC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>награды  «Декларация качества».</w:t>
      </w:r>
    </w:p>
    <w:p w:rsidR="007B4B4C" w:rsidRPr="00DA14B5" w:rsidRDefault="007B4B4C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 целях увеличения рентабельности предприятия, для повышения лояльности покупателей и увеличения покупательской активности  использовалась информативная реклама в СМИ, звуковая реклама в метрополитене  и </w:t>
      </w:r>
      <w:proofErr w:type="spellStart"/>
      <w:r w:rsidRPr="00DA14B5">
        <w:rPr>
          <w:sz w:val="20"/>
          <w:szCs w:val="20"/>
        </w:rPr>
        <w:t>лайтбоксы</w:t>
      </w:r>
      <w:proofErr w:type="spellEnd"/>
      <w:r w:rsidRPr="00DA14B5">
        <w:rPr>
          <w:sz w:val="20"/>
          <w:szCs w:val="20"/>
        </w:rPr>
        <w:t xml:space="preserve">  на эскалаторах станций метрополитена.</w:t>
      </w:r>
    </w:p>
    <w:p w:rsidR="007B4B4C" w:rsidRPr="00DA14B5" w:rsidRDefault="007B4B4C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lastRenderedPageBreak/>
        <w:t>Официальный сайт Общества за 2016 г. посетили  120 тысяч человек. Также  активно  идет развитие официальных групп в социальных  сетях, а также  реклама и информация в соц</w:t>
      </w:r>
      <w:r w:rsidR="00C97509" w:rsidRPr="00DA14B5">
        <w:rPr>
          <w:sz w:val="20"/>
          <w:szCs w:val="20"/>
        </w:rPr>
        <w:t xml:space="preserve">иальных </w:t>
      </w:r>
      <w:r w:rsidRPr="00DA14B5">
        <w:rPr>
          <w:sz w:val="20"/>
          <w:szCs w:val="20"/>
        </w:rPr>
        <w:t>сетях.</w:t>
      </w:r>
    </w:p>
    <w:p w:rsidR="007B4B4C" w:rsidRPr="00DA14B5" w:rsidRDefault="007B4B4C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Информирование покупателей также  активно осуществлялось через местное радиовещание, визуальные носители в торговом зале Общества, путеводители и буклеты, с помощью СМС-рассылки.</w:t>
      </w:r>
    </w:p>
    <w:p w:rsidR="007B4B4C" w:rsidRPr="00DA14B5" w:rsidRDefault="007B4B4C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На протяжении всей истории своего существования Большой Гостиный Двор был и остается не только центром торговли, но и местом  встреч  и общения, центром общественной, культурной и благотв</w:t>
      </w:r>
      <w:r w:rsidR="000C280F" w:rsidRPr="00DA14B5">
        <w:rPr>
          <w:sz w:val="20"/>
          <w:szCs w:val="20"/>
        </w:rPr>
        <w:t>орительной жизни города</w:t>
      </w:r>
      <w:r w:rsidRPr="00DA14B5">
        <w:rPr>
          <w:sz w:val="20"/>
          <w:szCs w:val="20"/>
        </w:rPr>
        <w:t>. В 2016 году проводились концерты, в том числе благотворительные, выставки</w:t>
      </w:r>
      <w:r w:rsidR="000C280F" w:rsidRPr="00DA14B5">
        <w:rPr>
          <w:sz w:val="20"/>
          <w:szCs w:val="20"/>
        </w:rPr>
        <w:t>, к</w:t>
      </w:r>
      <w:r w:rsidRPr="00DA14B5">
        <w:rPr>
          <w:sz w:val="20"/>
          <w:szCs w:val="20"/>
        </w:rPr>
        <w:t>онкурсы, фестивали, мастер-классы детского творчества. С целью создания благоприятной и комфортной обстановки</w:t>
      </w:r>
      <w:r w:rsidR="000C280F" w:rsidRPr="00DA14B5">
        <w:rPr>
          <w:sz w:val="20"/>
          <w:szCs w:val="20"/>
        </w:rPr>
        <w:t xml:space="preserve"> в торговом зале, для  привлечения покупателей </w:t>
      </w:r>
      <w:r w:rsidRPr="00DA14B5">
        <w:rPr>
          <w:sz w:val="20"/>
          <w:szCs w:val="20"/>
        </w:rPr>
        <w:t xml:space="preserve"> в 2016 го</w:t>
      </w:r>
      <w:r w:rsidR="006D3AD4" w:rsidRPr="00DA14B5">
        <w:rPr>
          <w:sz w:val="20"/>
          <w:szCs w:val="20"/>
        </w:rPr>
        <w:t>ду  продолжались</w:t>
      </w:r>
      <w:r w:rsidRPr="00DA14B5">
        <w:rPr>
          <w:sz w:val="20"/>
          <w:szCs w:val="20"/>
        </w:rPr>
        <w:t xml:space="preserve">  концерты студентов Международной Академии Музыки  Елены Образцовой, полюбившиеся как жителям Санкт-Петербурга, так и гостям нашего города.</w:t>
      </w:r>
    </w:p>
    <w:p w:rsidR="007B4B4C" w:rsidRPr="00DA14B5" w:rsidRDefault="007B4B4C" w:rsidP="007B4B4C">
      <w:pPr>
        <w:spacing w:line="360" w:lineRule="auto"/>
        <w:ind w:firstLine="567"/>
        <w:rPr>
          <w:sz w:val="20"/>
          <w:szCs w:val="20"/>
        </w:rPr>
      </w:pPr>
    </w:p>
    <w:p w:rsidR="00E964C0" w:rsidRPr="00DA14B5" w:rsidRDefault="00E964C0" w:rsidP="00E964C0">
      <w:pPr>
        <w:jc w:val="center"/>
        <w:rPr>
          <w:sz w:val="20"/>
          <w:szCs w:val="20"/>
        </w:rPr>
      </w:pPr>
      <w:r w:rsidRPr="00DA14B5">
        <w:rPr>
          <w:sz w:val="20"/>
          <w:szCs w:val="20"/>
        </w:rPr>
        <w:t>Уважаемые акционеры!</w:t>
      </w:r>
    </w:p>
    <w:p w:rsidR="00E964C0" w:rsidRPr="00DA14B5" w:rsidRDefault="00E964C0" w:rsidP="00E964C0">
      <w:pPr>
        <w:jc w:val="center"/>
        <w:rPr>
          <w:sz w:val="20"/>
          <w:szCs w:val="20"/>
        </w:rPr>
      </w:pPr>
    </w:p>
    <w:p w:rsidR="00E964C0" w:rsidRPr="00DA14B5" w:rsidRDefault="00E964C0" w:rsidP="00E964C0">
      <w:pPr>
        <w:ind w:firstLine="567"/>
        <w:rPr>
          <w:sz w:val="20"/>
          <w:szCs w:val="20"/>
        </w:rPr>
      </w:pPr>
      <w:r w:rsidRPr="00DA14B5">
        <w:rPr>
          <w:sz w:val="20"/>
          <w:szCs w:val="20"/>
        </w:rPr>
        <w:t>Финансовые результаты  деятельности Общества характеризуются следующими показателями: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211"/>
        <w:gridCol w:w="1134"/>
        <w:gridCol w:w="1560"/>
        <w:gridCol w:w="1701"/>
      </w:tblGrid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Наименование показателя</w:t>
            </w:r>
          </w:p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За 2016 г.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За 2015 г.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Выручка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2110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1 237 448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1 210 728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2120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(459 830)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(437 603)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2100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777 618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773 125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2210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(682 548)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(698 709)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2220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-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2200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95 070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74 416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2310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-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2320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4 516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2 934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2330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-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2340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23 212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55 660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2350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(58 253)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(56 017)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2300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64 545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76 993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2410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(14 163)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(17 200)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 xml:space="preserve">в </w:t>
            </w:r>
            <w:proofErr w:type="spellStart"/>
            <w:r w:rsidRPr="00DA14B5">
              <w:rPr>
                <w:sz w:val="20"/>
                <w:szCs w:val="20"/>
              </w:rPr>
              <w:t>т.ч</w:t>
            </w:r>
            <w:proofErr w:type="spellEnd"/>
            <w:r w:rsidRPr="00DA14B5">
              <w:rPr>
                <w:sz w:val="20"/>
                <w:szCs w:val="20"/>
              </w:rPr>
              <w:t>.  постоянные налоговые обязательства (активы)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</w:p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2421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</w:p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(1 374)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</w:p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(1 787)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2430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(121)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15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2450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-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Прочее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2460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-</w:t>
            </w:r>
          </w:p>
        </w:tc>
      </w:tr>
      <w:tr w:rsidR="00E964C0" w:rsidRPr="00DA14B5" w:rsidTr="009B3254">
        <w:tc>
          <w:tcPr>
            <w:tcW w:w="5211" w:type="dxa"/>
          </w:tcPr>
          <w:p w:rsidR="00E964C0" w:rsidRPr="00DA14B5" w:rsidRDefault="00E964C0" w:rsidP="009B3254">
            <w:pPr>
              <w:jc w:val="both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134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2400</w:t>
            </w:r>
          </w:p>
        </w:tc>
        <w:tc>
          <w:tcPr>
            <w:tcW w:w="1560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50 261</w:t>
            </w:r>
          </w:p>
        </w:tc>
        <w:tc>
          <w:tcPr>
            <w:tcW w:w="1701" w:type="dxa"/>
          </w:tcPr>
          <w:p w:rsidR="00E964C0" w:rsidRPr="00DA14B5" w:rsidRDefault="00E964C0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59 808</w:t>
            </w:r>
          </w:p>
        </w:tc>
      </w:tr>
    </w:tbl>
    <w:p w:rsidR="00E964C0" w:rsidRPr="00DA14B5" w:rsidRDefault="00E964C0" w:rsidP="00E964C0">
      <w:pPr>
        <w:ind w:firstLine="567"/>
        <w:rPr>
          <w:sz w:val="20"/>
          <w:szCs w:val="20"/>
        </w:rPr>
      </w:pPr>
    </w:p>
    <w:p w:rsidR="002D7AA9" w:rsidRPr="00DA14B5" w:rsidRDefault="002D7AA9" w:rsidP="00E964C0">
      <w:pPr>
        <w:ind w:firstLine="567"/>
        <w:rPr>
          <w:sz w:val="20"/>
          <w:szCs w:val="20"/>
        </w:rPr>
      </w:pPr>
    </w:p>
    <w:p w:rsidR="00E964C0" w:rsidRPr="00DA14B5" w:rsidRDefault="00E964C0" w:rsidP="003E3F37">
      <w:pPr>
        <w:ind w:firstLine="567"/>
        <w:rPr>
          <w:sz w:val="20"/>
          <w:szCs w:val="20"/>
        </w:rPr>
      </w:pPr>
      <w:r w:rsidRPr="00DA14B5">
        <w:rPr>
          <w:sz w:val="20"/>
          <w:szCs w:val="20"/>
        </w:rPr>
        <w:t xml:space="preserve">Общая выручка от деятельности Общества за 2016 год составила 1 млрд. 237 млн. 448 </w:t>
      </w:r>
      <w:proofErr w:type="spellStart"/>
      <w:r w:rsidRPr="00DA14B5">
        <w:rPr>
          <w:sz w:val="20"/>
          <w:szCs w:val="20"/>
        </w:rPr>
        <w:t>тыс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 с  ростом 26,7 млн. к уровню 2015 года.</w:t>
      </w:r>
    </w:p>
    <w:p w:rsidR="00E964C0" w:rsidRPr="00DA14B5" w:rsidRDefault="00E964C0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Валовая прибыль составила 777 млн. 618 тыс. р</w:t>
      </w:r>
      <w:r w:rsidR="00F06DBE" w:rsidRPr="00DA14B5">
        <w:rPr>
          <w:sz w:val="20"/>
          <w:szCs w:val="20"/>
        </w:rPr>
        <w:t>уб. с ростом 4,5 млн. к  2015</w:t>
      </w:r>
      <w:r w:rsidRPr="00DA14B5">
        <w:rPr>
          <w:sz w:val="20"/>
          <w:szCs w:val="20"/>
        </w:rPr>
        <w:t xml:space="preserve"> году.</w:t>
      </w:r>
    </w:p>
    <w:p w:rsidR="00E964C0" w:rsidRPr="00DA14B5" w:rsidRDefault="00E964C0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Коммерческие расходы за 2016 год снизились на 16 млн. 161 тыс.</w:t>
      </w:r>
      <w:r w:rsidR="00CA424B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руб. и составили 682 млн. 548 </w:t>
      </w:r>
      <w:proofErr w:type="spellStart"/>
      <w:r w:rsidRPr="00DA14B5">
        <w:rPr>
          <w:sz w:val="20"/>
          <w:szCs w:val="20"/>
        </w:rPr>
        <w:t>тыс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</w:t>
      </w:r>
    </w:p>
    <w:p w:rsidR="00E964C0" w:rsidRPr="00DA14B5" w:rsidRDefault="00E964C0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Несмотря на </w:t>
      </w:r>
      <w:r w:rsidR="004C0B7E" w:rsidRPr="00DA14B5">
        <w:rPr>
          <w:sz w:val="20"/>
          <w:szCs w:val="20"/>
        </w:rPr>
        <w:t>общее</w:t>
      </w:r>
      <w:r w:rsidRPr="00DA14B5">
        <w:rPr>
          <w:sz w:val="20"/>
          <w:szCs w:val="20"/>
        </w:rPr>
        <w:t xml:space="preserve">  снижение расходов в 2016 г., по некоторым статьям зафиксирован  существенный рост, а именно: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1. Увеличени</w:t>
      </w:r>
      <w:r w:rsidR="004C0B7E" w:rsidRPr="00DA14B5">
        <w:rPr>
          <w:sz w:val="20"/>
          <w:szCs w:val="20"/>
        </w:rPr>
        <w:t>е</w:t>
      </w:r>
      <w:r w:rsidRPr="00DA14B5">
        <w:rPr>
          <w:sz w:val="20"/>
          <w:szCs w:val="20"/>
        </w:rPr>
        <w:t xml:space="preserve"> та</w:t>
      </w:r>
      <w:r w:rsidR="004C0B7E" w:rsidRPr="00DA14B5">
        <w:rPr>
          <w:sz w:val="20"/>
          <w:szCs w:val="20"/>
        </w:rPr>
        <w:t xml:space="preserve">рифов  на коммунальные платежи </w:t>
      </w:r>
      <w:r w:rsidRPr="00DA14B5">
        <w:rPr>
          <w:sz w:val="20"/>
          <w:szCs w:val="20"/>
        </w:rPr>
        <w:t xml:space="preserve"> привело к росту расходов на использование  энергетических ресурсов: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на электроэнергию – на 8,7 </w:t>
      </w:r>
      <w:proofErr w:type="spellStart"/>
      <w:r w:rsidRPr="00DA14B5">
        <w:rPr>
          <w:sz w:val="20"/>
          <w:szCs w:val="20"/>
        </w:rPr>
        <w:t>млн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 (+27% к 2015 г.);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на отопление  - на  1,7 млн. руб. (+25% к 2015 г.);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на водоснабжение – на 328 </w:t>
      </w:r>
      <w:proofErr w:type="spellStart"/>
      <w:r w:rsidRPr="00DA14B5">
        <w:rPr>
          <w:sz w:val="20"/>
          <w:szCs w:val="20"/>
        </w:rPr>
        <w:t>тыс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 (+9% к 2015 г.)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2. </w:t>
      </w:r>
      <w:r w:rsidR="00AF5A3E" w:rsidRPr="00DA14B5">
        <w:rPr>
          <w:sz w:val="20"/>
          <w:szCs w:val="20"/>
        </w:rPr>
        <w:t>У</w:t>
      </w:r>
      <w:r w:rsidRPr="00DA14B5">
        <w:rPr>
          <w:sz w:val="20"/>
          <w:szCs w:val="20"/>
        </w:rPr>
        <w:t>велич</w:t>
      </w:r>
      <w:r w:rsidR="00AF5A3E" w:rsidRPr="00DA14B5">
        <w:rPr>
          <w:sz w:val="20"/>
          <w:szCs w:val="20"/>
        </w:rPr>
        <w:t>ились расходы</w:t>
      </w:r>
      <w:r w:rsidRPr="00DA14B5">
        <w:rPr>
          <w:sz w:val="20"/>
          <w:szCs w:val="20"/>
        </w:rPr>
        <w:t xml:space="preserve"> на аренду здания и земельных участков на 10,9 </w:t>
      </w:r>
      <w:proofErr w:type="spellStart"/>
      <w:r w:rsidRPr="00DA14B5">
        <w:rPr>
          <w:sz w:val="20"/>
          <w:szCs w:val="20"/>
        </w:rPr>
        <w:t>млн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 xml:space="preserve"> (+11%).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3. Услуги по уборке помещений  и территории </w:t>
      </w:r>
      <w:r w:rsidR="000359F6" w:rsidRPr="00DA14B5">
        <w:rPr>
          <w:sz w:val="20"/>
          <w:szCs w:val="20"/>
        </w:rPr>
        <w:t xml:space="preserve">увеличились </w:t>
      </w:r>
      <w:r w:rsidRPr="00DA14B5">
        <w:rPr>
          <w:sz w:val="20"/>
          <w:szCs w:val="20"/>
        </w:rPr>
        <w:t xml:space="preserve"> в 2016 г. на 2,9 </w:t>
      </w:r>
      <w:proofErr w:type="spellStart"/>
      <w:r w:rsidRPr="00DA14B5">
        <w:rPr>
          <w:sz w:val="20"/>
          <w:szCs w:val="20"/>
        </w:rPr>
        <w:t>млн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 xml:space="preserve">. </w:t>
      </w:r>
      <w:r w:rsidR="000359F6" w:rsidRPr="00DA14B5">
        <w:rPr>
          <w:sz w:val="20"/>
          <w:szCs w:val="20"/>
        </w:rPr>
        <w:t>( т.е.</w:t>
      </w:r>
      <w:r w:rsidRPr="00DA14B5">
        <w:rPr>
          <w:sz w:val="20"/>
          <w:szCs w:val="20"/>
        </w:rPr>
        <w:t xml:space="preserve"> на 13% дороже, чем в 2015 году</w:t>
      </w:r>
      <w:r w:rsidR="000359F6" w:rsidRPr="00DA14B5">
        <w:rPr>
          <w:sz w:val="20"/>
          <w:szCs w:val="20"/>
        </w:rPr>
        <w:t>)</w:t>
      </w:r>
      <w:r w:rsidRPr="00DA14B5">
        <w:rPr>
          <w:sz w:val="20"/>
          <w:szCs w:val="20"/>
        </w:rPr>
        <w:t>.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4. В </w:t>
      </w:r>
      <w:r w:rsidR="00A61616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2016 году было введено в эксплуатацию  основных средств на сумму 32,4 </w:t>
      </w:r>
      <w:proofErr w:type="spellStart"/>
      <w:r w:rsidRPr="00DA14B5">
        <w:rPr>
          <w:sz w:val="20"/>
          <w:szCs w:val="20"/>
        </w:rPr>
        <w:t>млн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 xml:space="preserve">., что привело к увеличению  амортизационных  отчислений на 6,9 </w:t>
      </w:r>
      <w:proofErr w:type="spellStart"/>
      <w:r w:rsidRPr="00DA14B5">
        <w:rPr>
          <w:sz w:val="20"/>
          <w:szCs w:val="20"/>
        </w:rPr>
        <w:t>млн.руб</w:t>
      </w:r>
      <w:proofErr w:type="spellEnd"/>
      <w:r w:rsidRPr="00DA14B5">
        <w:rPr>
          <w:sz w:val="20"/>
          <w:szCs w:val="20"/>
        </w:rPr>
        <w:t>.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5. </w:t>
      </w:r>
      <w:r w:rsidR="002720F4" w:rsidRPr="00DA14B5">
        <w:rPr>
          <w:sz w:val="20"/>
          <w:szCs w:val="20"/>
        </w:rPr>
        <w:t>Затраты на п</w:t>
      </w:r>
      <w:r w:rsidRPr="00DA14B5">
        <w:rPr>
          <w:sz w:val="20"/>
          <w:szCs w:val="20"/>
        </w:rPr>
        <w:t>отребление</w:t>
      </w:r>
      <w:r w:rsidR="002720F4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бензина в 2016 г. составил</w:t>
      </w:r>
      <w:r w:rsidR="002720F4" w:rsidRPr="00DA14B5">
        <w:rPr>
          <w:sz w:val="20"/>
          <w:szCs w:val="20"/>
        </w:rPr>
        <w:t>и</w:t>
      </w:r>
      <w:r w:rsidRPr="00DA14B5">
        <w:rPr>
          <w:sz w:val="20"/>
          <w:szCs w:val="20"/>
        </w:rPr>
        <w:t xml:space="preserve"> 1 15</w:t>
      </w:r>
      <w:r w:rsidR="00A01FF8" w:rsidRPr="00DA14B5">
        <w:rPr>
          <w:sz w:val="20"/>
          <w:szCs w:val="20"/>
        </w:rPr>
        <w:t>2</w:t>
      </w:r>
      <w:r w:rsidRPr="00DA14B5">
        <w:rPr>
          <w:sz w:val="20"/>
          <w:szCs w:val="20"/>
        </w:rPr>
        <w:t> </w:t>
      </w:r>
      <w:r w:rsidR="00A01FF8" w:rsidRPr="00DA14B5">
        <w:rPr>
          <w:sz w:val="20"/>
          <w:szCs w:val="20"/>
        </w:rPr>
        <w:t>808</w:t>
      </w:r>
      <w:r w:rsidRPr="00DA14B5">
        <w:rPr>
          <w:sz w:val="20"/>
          <w:szCs w:val="20"/>
        </w:rPr>
        <w:t xml:space="preserve"> руб. (рост 6% к уровню 2015 г.)</w:t>
      </w:r>
      <w:r w:rsidR="002720F4" w:rsidRPr="00DA14B5">
        <w:rPr>
          <w:sz w:val="20"/>
          <w:szCs w:val="20"/>
        </w:rPr>
        <w:t>,</w:t>
      </w:r>
      <w:r w:rsidRPr="00DA14B5">
        <w:rPr>
          <w:sz w:val="20"/>
          <w:szCs w:val="20"/>
        </w:rPr>
        <w:t xml:space="preserve"> дизельного топлива – 380 778 руб. </w:t>
      </w:r>
      <w:r w:rsidR="000B15E4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(увеличение </w:t>
      </w:r>
      <w:r w:rsidR="005838D2" w:rsidRPr="00DA14B5">
        <w:rPr>
          <w:sz w:val="20"/>
          <w:szCs w:val="20"/>
        </w:rPr>
        <w:t xml:space="preserve">затрат на потребление дизельного топлива </w:t>
      </w:r>
      <w:r w:rsidRPr="00DA14B5">
        <w:rPr>
          <w:sz w:val="20"/>
          <w:szCs w:val="20"/>
        </w:rPr>
        <w:t xml:space="preserve">связано с </w:t>
      </w:r>
      <w:r w:rsidR="000B15E4" w:rsidRPr="00DA14B5">
        <w:rPr>
          <w:sz w:val="20"/>
          <w:szCs w:val="20"/>
        </w:rPr>
        <w:t xml:space="preserve">использованием техники для </w:t>
      </w:r>
      <w:r w:rsidRPr="00DA14B5">
        <w:rPr>
          <w:sz w:val="20"/>
          <w:szCs w:val="20"/>
        </w:rPr>
        <w:t>уборк</w:t>
      </w:r>
      <w:r w:rsidR="000B15E4" w:rsidRPr="00DA14B5">
        <w:rPr>
          <w:sz w:val="20"/>
          <w:szCs w:val="20"/>
        </w:rPr>
        <w:t>и</w:t>
      </w:r>
      <w:r w:rsidRPr="00DA14B5">
        <w:rPr>
          <w:sz w:val="20"/>
          <w:szCs w:val="20"/>
        </w:rPr>
        <w:t xml:space="preserve"> </w:t>
      </w:r>
      <w:r w:rsidR="000B15E4" w:rsidRPr="00DA14B5">
        <w:rPr>
          <w:sz w:val="20"/>
          <w:szCs w:val="20"/>
        </w:rPr>
        <w:t xml:space="preserve"> и переработки </w:t>
      </w:r>
      <w:r w:rsidRPr="00DA14B5">
        <w:rPr>
          <w:sz w:val="20"/>
          <w:szCs w:val="20"/>
        </w:rPr>
        <w:t>снега</w:t>
      </w:r>
      <w:r w:rsidR="000B15E4" w:rsidRPr="00DA14B5">
        <w:rPr>
          <w:sz w:val="20"/>
          <w:szCs w:val="20"/>
        </w:rPr>
        <w:t xml:space="preserve">, </w:t>
      </w:r>
      <w:r w:rsidRPr="00DA14B5">
        <w:rPr>
          <w:sz w:val="20"/>
          <w:szCs w:val="20"/>
        </w:rPr>
        <w:t xml:space="preserve">при этом Общество </w:t>
      </w:r>
      <w:r w:rsidR="000B15E4" w:rsidRPr="00DA14B5">
        <w:rPr>
          <w:sz w:val="20"/>
          <w:szCs w:val="20"/>
        </w:rPr>
        <w:t>не несет затрат на вывоз снега)</w:t>
      </w:r>
      <w:r w:rsidRPr="00DA14B5">
        <w:rPr>
          <w:sz w:val="20"/>
          <w:szCs w:val="20"/>
        </w:rPr>
        <w:t>.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В 2016 году снизились расходы  на оплату труда  и отчисления на социальн</w:t>
      </w:r>
      <w:r w:rsidR="006122E4" w:rsidRPr="00DA14B5">
        <w:rPr>
          <w:sz w:val="20"/>
          <w:szCs w:val="20"/>
        </w:rPr>
        <w:t xml:space="preserve">ое страхование </w:t>
      </w:r>
      <w:r w:rsidRPr="00DA14B5">
        <w:rPr>
          <w:sz w:val="20"/>
          <w:szCs w:val="20"/>
        </w:rPr>
        <w:t xml:space="preserve">  - на 4,6 </w:t>
      </w:r>
      <w:proofErr w:type="spellStart"/>
      <w:r w:rsidRPr="00DA14B5">
        <w:rPr>
          <w:sz w:val="20"/>
          <w:szCs w:val="20"/>
        </w:rPr>
        <w:t>млн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 xml:space="preserve">., в </w:t>
      </w:r>
      <w:proofErr w:type="spellStart"/>
      <w:r w:rsidRPr="00DA14B5">
        <w:rPr>
          <w:sz w:val="20"/>
          <w:szCs w:val="20"/>
        </w:rPr>
        <w:t>т.ч</w:t>
      </w:r>
      <w:proofErr w:type="spellEnd"/>
      <w:r w:rsidRPr="00DA14B5">
        <w:rPr>
          <w:sz w:val="20"/>
          <w:szCs w:val="20"/>
        </w:rPr>
        <w:t xml:space="preserve">. за счет  оптимизации численности персонала.   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lastRenderedPageBreak/>
        <w:t>Среднемесячная заработная плата продавца за 2016 г.  увеличилась на    1,4% и составила 21855 руб. Заработная плата продавца  напрямую зависит от результатов личных продаж и выполнения установленного задания.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За 2016 год снизились расходы: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на 36,4 </w:t>
      </w:r>
      <w:proofErr w:type="spellStart"/>
      <w:r w:rsidRPr="00DA14B5">
        <w:rPr>
          <w:sz w:val="20"/>
          <w:szCs w:val="20"/>
        </w:rPr>
        <w:t>млн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 на проведение текущего ремонта;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на  консультационно-информационные услуги – 2,1 </w:t>
      </w:r>
      <w:proofErr w:type="spellStart"/>
      <w:r w:rsidRPr="00DA14B5">
        <w:rPr>
          <w:sz w:val="20"/>
          <w:szCs w:val="20"/>
        </w:rPr>
        <w:t>млн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Прибыль от продаж   составила 95 млн.70 </w:t>
      </w:r>
      <w:proofErr w:type="spellStart"/>
      <w:r w:rsidRPr="00DA14B5">
        <w:rPr>
          <w:sz w:val="20"/>
          <w:szCs w:val="20"/>
        </w:rPr>
        <w:t>тыс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., что на 25% выше показателя 2015 г.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Однако в 2016 г. возросли  расходы, связанные с финансовой деятельностью: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увеличение доли продаж  по </w:t>
      </w:r>
      <w:r w:rsidR="002720F4" w:rsidRPr="00DA14B5">
        <w:rPr>
          <w:sz w:val="20"/>
          <w:szCs w:val="20"/>
        </w:rPr>
        <w:t>банковским карточкам покупателей</w:t>
      </w:r>
      <w:r w:rsidRPr="00DA14B5">
        <w:rPr>
          <w:sz w:val="20"/>
          <w:szCs w:val="20"/>
        </w:rPr>
        <w:t xml:space="preserve"> привело к росту расходов  по </w:t>
      </w:r>
      <w:proofErr w:type="spellStart"/>
      <w:r w:rsidRPr="00DA14B5">
        <w:rPr>
          <w:sz w:val="20"/>
          <w:szCs w:val="20"/>
        </w:rPr>
        <w:t>эквайринговым</w:t>
      </w:r>
      <w:proofErr w:type="spellEnd"/>
      <w:r w:rsidRPr="00DA14B5">
        <w:rPr>
          <w:sz w:val="20"/>
          <w:szCs w:val="20"/>
        </w:rPr>
        <w:t xml:space="preserve"> операциям на 2,08 </w:t>
      </w:r>
      <w:proofErr w:type="spellStart"/>
      <w:r w:rsidRPr="00DA14B5">
        <w:rPr>
          <w:sz w:val="20"/>
          <w:szCs w:val="20"/>
        </w:rPr>
        <w:t>млн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 или 19,7%;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колебания обменного курса доллара США  и Евро привели к сокращению на 30,6 </w:t>
      </w:r>
      <w:proofErr w:type="spellStart"/>
      <w:r w:rsidRPr="00DA14B5">
        <w:rPr>
          <w:sz w:val="20"/>
          <w:szCs w:val="20"/>
        </w:rPr>
        <w:t>млн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 по сравнению с 2015 г. совокупного  дохода от курсовых разниц по в</w:t>
      </w:r>
      <w:r w:rsidR="002720F4" w:rsidRPr="00DA14B5">
        <w:rPr>
          <w:sz w:val="20"/>
          <w:szCs w:val="20"/>
        </w:rPr>
        <w:t>алюте, размещенной на депозитах;</w:t>
      </w:r>
    </w:p>
    <w:p w:rsidR="00E964C0" w:rsidRPr="00DA14B5" w:rsidRDefault="00E964C0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 </w:t>
      </w:r>
      <w:r w:rsidR="002720F4" w:rsidRPr="00DA14B5">
        <w:rPr>
          <w:sz w:val="20"/>
          <w:szCs w:val="20"/>
        </w:rPr>
        <w:t>П</w:t>
      </w:r>
      <w:r w:rsidRPr="00DA14B5">
        <w:rPr>
          <w:sz w:val="20"/>
          <w:szCs w:val="20"/>
        </w:rPr>
        <w:t>ри этом доходы от  размещения временных свободных денежных  средств на рублевых депозитах в банках увеличилис</w:t>
      </w:r>
      <w:r w:rsidR="002720F4" w:rsidRPr="00DA14B5">
        <w:rPr>
          <w:sz w:val="20"/>
          <w:szCs w:val="20"/>
        </w:rPr>
        <w:t xml:space="preserve">ь на 1 млн.697 тыс. руб. (57,8%) </w:t>
      </w:r>
      <w:r w:rsidRPr="00DA14B5">
        <w:rPr>
          <w:sz w:val="20"/>
          <w:szCs w:val="20"/>
        </w:rPr>
        <w:t xml:space="preserve"> и составили 4 млн.631 </w:t>
      </w:r>
      <w:proofErr w:type="spellStart"/>
      <w:r w:rsidRPr="00DA14B5">
        <w:rPr>
          <w:sz w:val="20"/>
          <w:szCs w:val="20"/>
        </w:rPr>
        <w:t>тыс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</w:t>
      </w:r>
    </w:p>
    <w:p w:rsidR="00E964C0" w:rsidRPr="00DA14B5" w:rsidRDefault="00E964C0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Прибыль до налогообложения составила 64 млн.545 </w:t>
      </w:r>
      <w:proofErr w:type="spellStart"/>
      <w:r w:rsidRPr="00DA14B5">
        <w:rPr>
          <w:sz w:val="20"/>
          <w:szCs w:val="20"/>
        </w:rPr>
        <w:t>тыс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 xml:space="preserve">.,  чистая прибыль </w:t>
      </w:r>
      <w:r w:rsidR="00AF5A2A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50 млн. 261 </w:t>
      </w:r>
      <w:proofErr w:type="spellStart"/>
      <w:r w:rsidRPr="00DA14B5">
        <w:rPr>
          <w:sz w:val="20"/>
          <w:szCs w:val="20"/>
        </w:rPr>
        <w:t>тыс.руб</w:t>
      </w:r>
      <w:proofErr w:type="spellEnd"/>
      <w:r w:rsidRPr="00DA14B5">
        <w:rPr>
          <w:sz w:val="20"/>
          <w:szCs w:val="20"/>
        </w:rPr>
        <w:t>.</w:t>
      </w:r>
    </w:p>
    <w:p w:rsidR="00E964C0" w:rsidRPr="00DA14B5" w:rsidRDefault="00E964C0" w:rsidP="00E964C0">
      <w:pPr>
        <w:spacing w:line="360" w:lineRule="auto"/>
        <w:ind w:firstLine="567"/>
        <w:rPr>
          <w:sz w:val="20"/>
          <w:szCs w:val="20"/>
        </w:rPr>
      </w:pPr>
    </w:p>
    <w:p w:rsidR="00990116" w:rsidRPr="00DA14B5" w:rsidRDefault="00990116" w:rsidP="003E3F37">
      <w:pPr>
        <w:pStyle w:val="ae"/>
        <w:ind w:left="0"/>
        <w:jc w:val="both"/>
        <w:rPr>
          <w:b/>
          <w:sz w:val="20"/>
          <w:szCs w:val="20"/>
        </w:rPr>
      </w:pPr>
      <w:r w:rsidRPr="00DA14B5">
        <w:rPr>
          <w:b/>
          <w:sz w:val="20"/>
          <w:szCs w:val="20"/>
        </w:rPr>
        <w:t xml:space="preserve">                        </w:t>
      </w:r>
      <w:r w:rsidR="00DA14B5" w:rsidRPr="00DB3186">
        <w:rPr>
          <w:b/>
          <w:sz w:val="20"/>
          <w:szCs w:val="20"/>
        </w:rPr>
        <w:t xml:space="preserve">              </w:t>
      </w:r>
      <w:r w:rsidRPr="00DA14B5">
        <w:rPr>
          <w:b/>
          <w:sz w:val="20"/>
          <w:szCs w:val="20"/>
        </w:rPr>
        <w:t xml:space="preserve">  </w:t>
      </w:r>
      <w:r w:rsidR="00DA14B5">
        <w:rPr>
          <w:b/>
          <w:sz w:val="20"/>
          <w:szCs w:val="20"/>
        </w:rPr>
        <w:t xml:space="preserve">      </w:t>
      </w:r>
      <w:r w:rsidRPr="00DA14B5">
        <w:rPr>
          <w:b/>
          <w:sz w:val="20"/>
          <w:szCs w:val="20"/>
        </w:rPr>
        <w:t xml:space="preserve"> Анализ  финансового положения Общества</w:t>
      </w:r>
    </w:p>
    <w:p w:rsidR="00990116" w:rsidRPr="00DA14B5" w:rsidRDefault="00990116" w:rsidP="003E3F37">
      <w:pPr>
        <w:pStyle w:val="ae"/>
        <w:ind w:left="0"/>
        <w:jc w:val="both"/>
        <w:rPr>
          <w:sz w:val="20"/>
          <w:szCs w:val="20"/>
        </w:rPr>
      </w:pP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Финансовое состояние  хозяйственного субъекта - это  характеристика  его  </w:t>
      </w:r>
      <w:proofErr w:type="gramStart"/>
      <w:r w:rsidRPr="00DA14B5">
        <w:rPr>
          <w:sz w:val="20"/>
          <w:szCs w:val="20"/>
        </w:rPr>
        <w:t>финансовой</w:t>
      </w:r>
      <w:proofErr w:type="gramEnd"/>
      <w:r w:rsidRPr="00DA14B5">
        <w:rPr>
          <w:sz w:val="20"/>
          <w:szCs w:val="20"/>
        </w:rPr>
        <w:t xml:space="preserve"> </w:t>
      </w:r>
      <w:r w:rsidR="00FB79F1" w:rsidRPr="00DA14B5">
        <w:rPr>
          <w:sz w:val="20"/>
          <w:szCs w:val="20"/>
        </w:rPr>
        <w:t xml:space="preserve"> </w:t>
      </w:r>
      <w:proofErr w:type="spellStart"/>
      <w:r w:rsidRPr="00DA14B5">
        <w:rPr>
          <w:sz w:val="20"/>
          <w:szCs w:val="20"/>
        </w:rPr>
        <w:t>конкурентности</w:t>
      </w:r>
      <w:proofErr w:type="spellEnd"/>
      <w:r w:rsidRPr="00DA14B5">
        <w:rPr>
          <w:sz w:val="20"/>
          <w:szCs w:val="20"/>
        </w:rPr>
        <w:t>, использования  финансовых ресурсов и капитала,  выполнения обязательств перед государством и   хозяйствующими  субъектами.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Активы Общества  по состоянию на 31.12.2016 г.  характеризуются значительной (92,6%) долей  текущих активов.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Активы Общества  за год  увеличились на 61 млн. 840 тыс. руб. или 6% и составляют 1 млрд.100 млн.13</w:t>
      </w:r>
      <w:r w:rsidR="00B453D8" w:rsidRPr="00DA14B5">
        <w:rPr>
          <w:sz w:val="20"/>
          <w:szCs w:val="20"/>
        </w:rPr>
        <w:t>7</w:t>
      </w:r>
      <w:r w:rsidRPr="00DA14B5">
        <w:rPr>
          <w:sz w:val="20"/>
          <w:szCs w:val="20"/>
        </w:rPr>
        <w:t xml:space="preserve"> </w:t>
      </w:r>
      <w:proofErr w:type="spellStart"/>
      <w:r w:rsidRPr="00DA14B5">
        <w:rPr>
          <w:sz w:val="20"/>
          <w:szCs w:val="20"/>
        </w:rPr>
        <w:t>тыс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Собственный</w:t>
      </w:r>
      <w:r w:rsidR="00B453D8" w:rsidRPr="00DA14B5">
        <w:rPr>
          <w:sz w:val="20"/>
          <w:szCs w:val="20"/>
        </w:rPr>
        <w:t xml:space="preserve"> капитал  составляет 777 млн.473</w:t>
      </w:r>
      <w:r w:rsidR="00687C23" w:rsidRPr="00DA14B5">
        <w:rPr>
          <w:sz w:val="20"/>
          <w:szCs w:val="20"/>
        </w:rPr>
        <w:t xml:space="preserve"> тыс. руб. и</w:t>
      </w:r>
      <w:r w:rsidRPr="00DA14B5">
        <w:rPr>
          <w:sz w:val="20"/>
          <w:szCs w:val="20"/>
        </w:rPr>
        <w:t xml:space="preserve"> также увеличился за год  на 34,5 млн. или 5%.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Чистые активы по состоянию  на 31.12.2016 года  более чем в 1200 раз  превышают уставной капитал и составляют 777</w:t>
      </w:r>
      <w:r w:rsidR="00C14BF2" w:rsidRPr="00DA14B5">
        <w:rPr>
          <w:sz w:val="20"/>
          <w:szCs w:val="20"/>
        </w:rPr>
        <w:t> </w:t>
      </w:r>
      <w:r w:rsidRPr="00DA14B5">
        <w:rPr>
          <w:sz w:val="20"/>
          <w:szCs w:val="20"/>
        </w:rPr>
        <w:t>473</w:t>
      </w:r>
      <w:r w:rsidR="00C14BF2" w:rsidRPr="00DA14B5">
        <w:rPr>
          <w:sz w:val="20"/>
          <w:szCs w:val="20"/>
        </w:rPr>
        <w:t xml:space="preserve">,0 </w:t>
      </w:r>
      <w:r w:rsidRPr="00DA14B5">
        <w:rPr>
          <w:sz w:val="20"/>
          <w:szCs w:val="20"/>
        </w:rPr>
        <w:t xml:space="preserve"> тыс.</w:t>
      </w:r>
      <w:r w:rsidR="00C14BF2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>руб.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Анализ финансовой устойчивости показывает, что  собственные средства Общества покрывают  имеющиеся запасы по всем показателям, которые  улучшили свои значения  за 2016 год.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Собственные оборотные средства за отчетный период  возросли на 26 млн.370 </w:t>
      </w:r>
      <w:proofErr w:type="spellStart"/>
      <w:r w:rsidRPr="00DA14B5">
        <w:rPr>
          <w:sz w:val="20"/>
          <w:szCs w:val="20"/>
        </w:rPr>
        <w:t>тыс</w:t>
      </w:r>
      <w:proofErr w:type="gramStart"/>
      <w:r w:rsidRPr="00DA14B5">
        <w:rPr>
          <w:sz w:val="20"/>
          <w:szCs w:val="20"/>
        </w:rPr>
        <w:t>.р</w:t>
      </w:r>
      <w:proofErr w:type="gramEnd"/>
      <w:r w:rsidRPr="00DA14B5">
        <w:rPr>
          <w:sz w:val="20"/>
          <w:szCs w:val="20"/>
        </w:rPr>
        <w:t>уб</w:t>
      </w:r>
      <w:proofErr w:type="spellEnd"/>
      <w:r w:rsidRPr="00DA14B5">
        <w:rPr>
          <w:sz w:val="20"/>
          <w:szCs w:val="20"/>
        </w:rPr>
        <w:t>. или на 4%.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Доля  собственных оборотных сре</w:t>
      </w:r>
      <w:proofErr w:type="gramStart"/>
      <w:r w:rsidRPr="00DA14B5">
        <w:rPr>
          <w:sz w:val="20"/>
          <w:szCs w:val="20"/>
        </w:rPr>
        <w:t>дств в з</w:t>
      </w:r>
      <w:proofErr w:type="gramEnd"/>
      <w:r w:rsidRPr="00DA14B5">
        <w:rPr>
          <w:sz w:val="20"/>
          <w:szCs w:val="20"/>
        </w:rPr>
        <w:t>апасах за 2016 год  составила 152,5%  при нормативном значении  этого показателя  не менее  50%. Это означает, что запасы полностью   приобретены за счет собственных  оборотных средств.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Высокий уровень собственного капитала  отражает стабильность  финансовой структуры  капитала,  его  финансовую независимость  и отсутствие значительного риска  финансовых  затруднений в будущих периодах.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За </w:t>
      </w:r>
      <w:r w:rsidR="00C14BF2" w:rsidRPr="00DA14B5">
        <w:rPr>
          <w:sz w:val="20"/>
          <w:szCs w:val="20"/>
        </w:rPr>
        <w:t xml:space="preserve">отчетный </w:t>
      </w:r>
      <w:r w:rsidRPr="00DA14B5">
        <w:rPr>
          <w:sz w:val="20"/>
          <w:szCs w:val="20"/>
        </w:rPr>
        <w:t xml:space="preserve">год  Общество получило </w:t>
      </w:r>
      <w:proofErr w:type="gramStart"/>
      <w:r w:rsidRPr="00DA14B5">
        <w:rPr>
          <w:sz w:val="20"/>
          <w:szCs w:val="20"/>
        </w:rPr>
        <w:t>прибыль</w:t>
      </w:r>
      <w:proofErr w:type="gramEnd"/>
      <w:r w:rsidRPr="00DA14B5">
        <w:rPr>
          <w:sz w:val="20"/>
          <w:szCs w:val="20"/>
        </w:rPr>
        <w:t xml:space="preserve">  как от  продаж, так и в целом от финансово-хозяйственной деятельности, что  обусловило положительные значения всех показателей рентабельности.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Рентабельность продаж  за год составила 7,7%. При этом имеет место  положительная динамика рентабельности  обычных видов деятельности по сравнению с данным показателем  за аналогичный период прошлого года (+1,6%).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Рентабельность, рассчитанная как  отношение прибыли до налогообложения и  процентных расходов к выручке  организации, за анализируемый период составила 5,2%. 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На основании  качественной  оценки  значений показателей на конец анализируемого периода, а также их динамики в течение </w:t>
      </w:r>
      <w:r w:rsidR="008A45DB" w:rsidRPr="00DA14B5">
        <w:rPr>
          <w:sz w:val="20"/>
          <w:szCs w:val="20"/>
        </w:rPr>
        <w:t xml:space="preserve">всего </w:t>
      </w:r>
      <w:r w:rsidRPr="00DA14B5">
        <w:rPr>
          <w:sz w:val="20"/>
          <w:szCs w:val="20"/>
        </w:rPr>
        <w:t>периода и прогноза на ближайший год, получены следующие выводы: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финансовое положение характеризуется как  отличное;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финансовые результаты за 2016 год как удовлетворительные.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На основе этих  двух оценок получена итоговая рейтинговая  оценка финансового состояния предприятия, которая составила </w:t>
      </w:r>
      <w:proofErr w:type="gramStart"/>
      <w:r w:rsidRPr="00DA14B5">
        <w:rPr>
          <w:b/>
          <w:sz w:val="20"/>
          <w:szCs w:val="20"/>
        </w:rPr>
        <w:t>А-хорошее</w:t>
      </w:r>
      <w:proofErr w:type="gramEnd"/>
      <w:r w:rsidRPr="00DA14B5">
        <w:rPr>
          <w:sz w:val="20"/>
          <w:szCs w:val="20"/>
        </w:rPr>
        <w:t xml:space="preserve"> состояние.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Рейтинг «А»  свидетельствует о хорошем финансовом  состоянии  организации, ее способности отвечать  по своим обязательствам в краткосрочной  (исходя из принципа осмотрительности) перспективе.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Финансовое состояние ОАО «Большой Гостиный Двор» в 2016 году является  устойчивым, с высоким уровнем платежеспособности.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Основная деятельность,  ради осуществления  которой было создано ОАО «Большой Гостиный Двор»</w:t>
      </w:r>
      <w:r w:rsidR="00613080" w:rsidRPr="00DA14B5">
        <w:rPr>
          <w:sz w:val="20"/>
          <w:szCs w:val="20"/>
        </w:rPr>
        <w:t>,</w:t>
      </w:r>
      <w:r w:rsidRPr="00DA14B5">
        <w:rPr>
          <w:sz w:val="20"/>
          <w:szCs w:val="20"/>
        </w:rPr>
        <w:t xml:space="preserve"> за 2016 год была прибыльной.</w:t>
      </w:r>
    </w:p>
    <w:p w:rsidR="00990116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Собственный капитал за 2016 год  увеличился, что способствовало росту финансовой устойчивости  </w:t>
      </w:r>
      <w:r w:rsidR="00613080" w:rsidRPr="00DA14B5">
        <w:rPr>
          <w:sz w:val="20"/>
          <w:szCs w:val="20"/>
        </w:rPr>
        <w:t>п</w:t>
      </w:r>
      <w:r w:rsidRPr="00DA14B5">
        <w:rPr>
          <w:sz w:val="20"/>
          <w:szCs w:val="20"/>
        </w:rPr>
        <w:t>редприятия.</w:t>
      </w:r>
    </w:p>
    <w:p w:rsidR="007B4B4C" w:rsidRPr="00DA14B5" w:rsidRDefault="00990116" w:rsidP="003E3F37">
      <w:pPr>
        <w:pStyle w:val="ae"/>
        <w:ind w:left="0"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Эффективность использования имущества в целом была высокой.</w:t>
      </w:r>
    </w:p>
    <w:p w:rsidR="00A034E9" w:rsidRPr="00DA14B5" w:rsidRDefault="00A034E9" w:rsidP="003E3F37">
      <w:pPr>
        <w:pStyle w:val="a7"/>
        <w:ind w:left="142" w:firstLine="566"/>
        <w:jc w:val="both"/>
        <w:rPr>
          <w:sz w:val="20"/>
          <w:szCs w:val="20"/>
          <w:lang w:eastAsia="ru-RU"/>
        </w:rPr>
      </w:pPr>
      <w:r w:rsidRPr="00DA14B5">
        <w:rPr>
          <w:sz w:val="20"/>
          <w:szCs w:val="20"/>
          <w:lang w:eastAsia="ru-RU"/>
        </w:rPr>
        <w:t xml:space="preserve">По решению  годового общего собрания  </w:t>
      </w:r>
      <w:r w:rsidR="00613080" w:rsidRPr="00DA14B5">
        <w:rPr>
          <w:sz w:val="20"/>
          <w:szCs w:val="20"/>
          <w:lang w:eastAsia="ru-RU"/>
        </w:rPr>
        <w:t xml:space="preserve">акционеров </w:t>
      </w:r>
      <w:r w:rsidRPr="00DA14B5">
        <w:rPr>
          <w:sz w:val="20"/>
          <w:szCs w:val="20"/>
          <w:lang w:eastAsia="ru-RU"/>
        </w:rPr>
        <w:t xml:space="preserve">были  начислены  дивиденды </w:t>
      </w:r>
      <w:r w:rsidR="00613080" w:rsidRPr="00DA14B5">
        <w:rPr>
          <w:sz w:val="20"/>
          <w:szCs w:val="20"/>
          <w:lang w:eastAsia="ru-RU"/>
        </w:rPr>
        <w:t xml:space="preserve">за  2015 год </w:t>
      </w:r>
      <w:r w:rsidRPr="00DA14B5">
        <w:rPr>
          <w:sz w:val="20"/>
          <w:szCs w:val="20"/>
          <w:lang w:eastAsia="ru-RU"/>
        </w:rPr>
        <w:t>по акциям Общества в размере 6 руб.20 коп</w:t>
      </w:r>
      <w:proofErr w:type="gramStart"/>
      <w:r w:rsidRPr="00DA14B5">
        <w:rPr>
          <w:sz w:val="20"/>
          <w:szCs w:val="20"/>
          <w:lang w:eastAsia="ru-RU"/>
        </w:rPr>
        <w:t>.</w:t>
      </w:r>
      <w:proofErr w:type="gramEnd"/>
      <w:r w:rsidRPr="00DA14B5">
        <w:rPr>
          <w:sz w:val="20"/>
          <w:szCs w:val="20"/>
          <w:lang w:eastAsia="ru-RU"/>
        </w:rPr>
        <w:t xml:space="preserve">  </w:t>
      </w:r>
      <w:r w:rsidR="00966C61" w:rsidRPr="00DA14B5">
        <w:rPr>
          <w:sz w:val="20"/>
          <w:szCs w:val="20"/>
          <w:lang w:eastAsia="ru-RU"/>
        </w:rPr>
        <w:t xml:space="preserve"> </w:t>
      </w:r>
      <w:proofErr w:type="gramStart"/>
      <w:r w:rsidRPr="00DA14B5">
        <w:rPr>
          <w:sz w:val="20"/>
          <w:szCs w:val="20"/>
          <w:lang w:eastAsia="ru-RU"/>
        </w:rPr>
        <w:t>н</w:t>
      </w:r>
      <w:proofErr w:type="gramEnd"/>
      <w:r w:rsidRPr="00DA14B5">
        <w:rPr>
          <w:sz w:val="20"/>
          <w:szCs w:val="20"/>
          <w:lang w:eastAsia="ru-RU"/>
        </w:rPr>
        <w:t>а одну обыкновенную акцию, что в общей сумме составило  - 15 млн. 99 тыс. 244 руб. 40 коп.</w:t>
      </w:r>
    </w:p>
    <w:p w:rsidR="00A034E9" w:rsidRPr="00DA14B5" w:rsidRDefault="00A034E9" w:rsidP="003E3F37">
      <w:pPr>
        <w:pStyle w:val="a7"/>
        <w:ind w:left="142" w:firstLine="425"/>
        <w:jc w:val="both"/>
        <w:rPr>
          <w:sz w:val="20"/>
          <w:szCs w:val="20"/>
          <w:lang w:eastAsia="ru-RU"/>
        </w:rPr>
      </w:pPr>
      <w:r w:rsidRPr="00DA14B5">
        <w:rPr>
          <w:sz w:val="20"/>
          <w:szCs w:val="20"/>
          <w:lang w:eastAsia="ru-RU"/>
        </w:rPr>
        <w:lastRenderedPageBreak/>
        <w:t xml:space="preserve">В соответствии  с  требованиями  </w:t>
      </w:r>
      <w:r w:rsidR="00613080" w:rsidRPr="00DA14B5">
        <w:rPr>
          <w:sz w:val="20"/>
          <w:szCs w:val="20"/>
          <w:lang w:eastAsia="ru-RU"/>
        </w:rPr>
        <w:t xml:space="preserve"> законодательства </w:t>
      </w:r>
      <w:r w:rsidR="006C301E" w:rsidRPr="00DA14B5">
        <w:rPr>
          <w:sz w:val="20"/>
          <w:szCs w:val="20"/>
          <w:lang w:eastAsia="ru-RU"/>
        </w:rPr>
        <w:t xml:space="preserve">все  начисленные </w:t>
      </w:r>
      <w:r w:rsidRPr="00DA14B5">
        <w:rPr>
          <w:sz w:val="20"/>
          <w:szCs w:val="20"/>
          <w:lang w:eastAsia="ru-RU"/>
        </w:rPr>
        <w:t xml:space="preserve"> дивиденды были перечислены </w:t>
      </w:r>
      <w:r w:rsidR="006C301E" w:rsidRPr="00DA14B5">
        <w:rPr>
          <w:sz w:val="20"/>
          <w:szCs w:val="20"/>
          <w:lang w:eastAsia="ru-RU"/>
        </w:rPr>
        <w:t xml:space="preserve">акционерам в безналичном порядке  почтовыми переводами  через почту России по адресу, указанному в реестре акционеров,  или </w:t>
      </w:r>
      <w:r w:rsidRPr="00DA14B5">
        <w:rPr>
          <w:sz w:val="20"/>
          <w:szCs w:val="20"/>
          <w:lang w:eastAsia="ru-RU"/>
        </w:rPr>
        <w:t xml:space="preserve"> на расчетные счета </w:t>
      </w:r>
      <w:r w:rsidR="006C301E" w:rsidRPr="00DA14B5">
        <w:rPr>
          <w:sz w:val="20"/>
          <w:szCs w:val="20"/>
          <w:lang w:eastAsia="ru-RU"/>
        </w:rPr>
        <w:t xml:space="preserve">акционеров </w:t>
      </w:r>
      <w:r w:rsidRPr="00DA14B5">
        <w:rPr>
          <w:sz w:val="20"/>
          <w:szCs w:val="20"/>
          <w:lang w:eastAsia="ru-RU"/>
        </w:rPr>
        <w:t>в банках</w:t>
      </w:r>
      <w:r w:rsidR="006C301E" w:rsidRPr="00DA14B5">
        <w:rPr>
          <w:sz w:val="20"/>
          <w:szCs w:val="20"/>
          <w:lang w:eastAsia="ru-RU"/>
        </w:rPr>
        <w:t>.</w:t>
      </w:r>
    </w:p>
    <w:p w:rsidR="00A034E9" w:rsidRPr="00DA14B5" w:rsidRDefault="00A034E9" w:rsidP="003E3F37">
      <w:pPr>
        <w:pStyle w:val="a7"/>
        <w:ind w:firstLine="567"/>
        <w:jc w:val="both"/>
        <w:rPr>
          <w:sz w:val="20"/>
          <w:szCs w:val="20"/>
          <w:lang w:eastAsia="ru-RU"/>
        </w:rPr>
      </w:pPr>
      <w:r w:rsidRPr="00DA14B5">
        <w:rPr>
          <w:sz w:val="20"/>
          <w:szCs w:val="20"/>
          <w:lang w:eastAsia="ru-RU"/>
        </w:rPr>
        <w:t xml:space="preserve">Часть дивидендов  </w:t>
      </w:r>
      <w:r w:rsidR="002F6ECA" w:rsidRPr="00DA14B5">
        <w:rPr>
          <w:sz w:val="20"/>
          <w:szCs w:val="20"/>
          <w:lang w:eastAsia="ru-RU"/>
        </w:rPr>
        <w:t xml:space="preserve">вернулась </w:t>
      </w:r>
      <w:r w:rsidRPr="00DA14B5">
        <w:rPr>
          <w:sz w:val="20"/>
          <w:szCs w:val="20"/>
          <w:lang w:eastAsia="ru-RU"/>
        </w:rPr>
        <w:t xml:space="preserve">  в Общество в связи с их  неполучением акционерами. По состоянию на 01.01.2017 г. сальдо по неполученным дивидендам </w:t>
      </w:r>
      <w:r w:rsidR="00DA2494" w:rsidRPr="00DA14B5">
        <w:rPr>
          <w:sz w:val="20"/>
          <w:szCs w:val="20"/>
          <w:lang w:eastAsia="ru-RU"/>
        </w:rPr>
        <w:t xml:space="preserve">за 2013-2015 </w:t>
      </w:r>
      <w:proofErr w:type="spellStart"/>
      <w:r w:rsidR="00DA2494" w:rsidRPr="00DA14B5">
        <w:rPr>
          <w:sz w:val="20"/>
          <w:szCs w:val="20"/>
          <w:lang w:eastAsia="ru-RU"/>
        </w:rPr>
        <w:t>г.г</w:t>
      </w:r>
      <w:proofErr w:type="spellEnd"/>
      <w:r w:rsidR="00DA2494" w:rsidRPr="00DA14B5">
        <w:rPr>
          <w:sz w:val="20"/>
          <w:szCs w:val="20"/>
          <w:lang w:eastAsia="ru-RU"/>
        </w:rPr>
        <w:t xml:space="preserve">. </w:t>
      </w:r>
      <w:r w:rsidRPr="00DA14B5">
        <w:rPr>
          <w:sz w:val="20"/>
          <w:szCs w:val="20"/>
          <w:lang w:eastAsia="ru-RU"/>
        </w:rPr>
        <w:t>состав</w:t>
      </w:r>
      <w:r w:rsidR="00966C61" w:rsidRPr="00DA14B5">
        <w:rPr>
          <w:sz w:val="20"/>
          <w:szCs w:val="20"/>
          <w:lang w:eastAsia="ru-RU"/>
        </w:rPr>
        <w:t>ило</w:t>
      </w:r>
      <w:r w:rsidRPr="00DA14B5">
        <w:rPr>
          <w:sz w:val="20"/>
          <w:szCs w:val="20"/>
          <w:lang w:eastAsia="ru-RU"/>
        </w:rPr>
        <w:t xml:space="preserve"> 1 млн.133 тыс.756 руб.56 коп.</w:t>
      </w:r>
    </w:p>
    <w:p w:rsidR="00A034E9" w:rsidRPr="00DA14B5" w:rsidRDefault="00A034E9" w:rsidP="00A034E9">
      <w:pPr>
        <w:ind w:firstLine="540"/>
        <w:jc w:val="center"/>
        <w:rPr>
          <w:sz w:val="20"/>
          <w:szCs w:val="20"/>
        </w:rPr>
      </w:pPr>
    </w:p>
    <w:p w:rsidR="00A034E9" w:rsidRPr="00DA14B5" w:rsidRDefault="00A034E9" w:rsidP="00A034E9">
      <w:pPr>
        <w:ind w:firstLine="540"/>
        <w:jc w:val="center"/>
        <w:rPr>
          <w:sz w:val="20"/>
          <w:szCs w:val="20"/>
        </w:rPr>
      </w:pPr>
      <w:r w:rsidRPr="00DA14B5">
        <w:rPr>
          <w:sz w:val="20"/>
          <w:szCs w:val="20"/>
        </w:rPr>
        <w:t>Уважаемые акционеры!</w:t>
      </w:r>
    </w:p>
    <w:p w:rsidR="00A034E9" w:rsidRPr="00DA14B5" w:rsidRDefault="00A034E9" w:rsidP="00A034E9">
      <w:pPr>
        <w:tabs>
          <w:tab w:val="left" w:pos="5670"/>
        </w:tabs>
        <w:rPr>
          <w:sz w:val="20"/>
          <w:szCs w:val="20"/>
        </w:rPr>
      </w:pPr>
    </w:p>
    <w:p w:rsidR="00A034E9" w:rsidRPr="00DA14B5" w:rsidRDefault="00A034E9" w:rsidP="003E3F37">
      <w:pPr>
        <w:tabs>
          <w:tab w:val="left" w:pos="5670"/>
        </w:tabs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             В отчетном году Обществом было заключено 10 сделок, в совершении которых имелась заинтересованность членов Совета Директоров. Предлагаю вашему вниманию  Отчет о заключении  в 2016 году договоров, в совершении   которых имелась заинтересованность, который был утвержден на заседании Совета Директоров 28 апреля 2017 г. после подтверждения Ревизионной комиссией  достоверности содержащихся  в  нем  данных. </w:t>
      </w:r>
    </w:p>
    <w:p w:rsidR="00A034E9" w:rsidRPr="00DA14B5" w:rsidRDefault="00A034E9" w:rsidP="00A034E9">
      <w:pPr>
        <w:jc w:val="center"/>
        <w:rPr>
          <w:b/>
          <w:sz w:val="20"/>
          <w:szCs w:val="20"/>
        </w:rPr>
      </w:pPr>
      <w:r w:rsidRPr="00DA14B5">
        <w:rPr>
          <w:b/>
          <w:sz w:val="20"/>
          <w:szCs w:val="20"/>
        </w:rPr>
        <w:t xml:space="preserve">О Т Ч Е Т </w:t>
      </w:r>
    </w:p>
    <w:p w:rsidR="00A034E9" w:rsidRPr="00DA14B5" w:rsidRDefault="00A034E9" w:rsidP="00A034E9">
      <w:pPr>
        <w:jc w:val="center"/>
        <w:rPr>
          <w:b/>
          <w:sz w:val="20"/>
          <w:szCs w:val="20"/>
        </w:rPr>
      </w:pPr>
      <w:r w:rsidRPr="00DA14B5">
        <w:rPr>
          <w:b/>
          <w:sz w:val="20"/>
          <w:szCs w:val="20"/>
        </w:rPr>
        <w:t xml:space="preserve">о заключенных в 2016 году сделках,  признаваемых в соответствии с Федеральным законом «Об акционерных обществах»  сделками, </w:t>
      </w:r>
    </w:p>
    <w:p w:rsidR="00A034E9" w:rsidRPr="00DA14B5" w:rsidRDefault="00A034E9" w:rsidP="00A034E9">
      <w:pPr>
        <w:jc w:val="center"/>
        <w:rPr>
          <w:b/>
          <w:sz w:val="20"/>
          <w:szCs w:val="20"/>
        </w:rPr>
      </w:pPr>
      <w:r w:rsidRPr="00DA14B5">
        <w:rPr>
          <w:b/>
          <w:sz w:val="20"/>
          <w:szCs w:val="20"/>
        </w:rPr>
        <w:t xml:space="preserve">в  </w:t>
      </w:r>
      <w:proofErr w:type="gramStart"/>
      <w:r w:rsidRPr="00DA14B5">
        <w:rPr>
          <w:b/>
          <w:sz w:val="20"/>
          <w:szCs w:val="20"/>
        </w:rPr>
        <w:t>совершении</w:t>
      </w:r>
      <w:proofErr w:type="gramEnd"/>
      <w:r w:rsidRPr="00DA14B5">
        <w:rPr>
          <w:b/>
          <w:sz w:val="20"/>
          <w:szCs w:val="20"/>
        </w:rPr>
        <w:t xml:space="preserve"> которых имелась заинтересованность.</w:t>
      </w:r>
    </w:p>
    <w:p w:rsidR="00A034E9" w:rsidRPr="00DA14B5" w:rsidRDefault="00A034E9" w:rsidP="00A034E9">
      <w:pPr>
        <w:rPr>
          <w:b/>
          <w:sz w:val="20"/>
          <w:szCs w:val="20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417"/>
        <w:gridCol w:w="2127"/>
        <w:gridCol w:w="1559"/>
        <w:gridCol w:w="2126"/>
      </w:tblGrid>
      <w:tr w:rsidR="00A034E9" w:rsidRPr="00DA14B5" w:rsidTr="00A034E9">
        <w:tc>
          <w:tcPr>
            <w:tcW w:w="425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№</w:t>
            </w:r>
          </w:p>
          <w:p w:rsidR="00A034E9" w:rsidRPr="00DA14B5" w:rsidRDefault="00A034E9" w:rsidP="009B3254">
            <w:pPr>
              <w:rPr>
                <w:sz w:val="20"/>
                <w:szCs w:val="20"/>
              </w:rPr>
            </w:pPr>
            <w:proofErr w:type="gramStart"/>
            <w:r w:rsidRPr="00DA14B5">
              <w:rPr>
                <w:sz w:val="20"/>
                <w:szCs w:val="20"/>
              </w:rPr>
              <w:t>п</w:t>
            </w:r>
            <w:proofErr w:type="gramEnd"/>
            <w:r w:rsidRPr="00DA14B5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 xml:space="preserve">Предмет, дата и  номер договора 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141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212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Сведения о  членах Совета Директоров, заинтересованных в совершении сделки</w:t>
            </w:r>
          </w:p>
        </w:tc>
        <w:tc>
          <w:tcPr>
            <w:tcW w:w="1559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  <w:lang w:val="en-US"/>
              </w:rPr>
            </w:pPr>
            <w:r w:rsidRPr="00DA14B5">
              <w:rPr>
                <w:sz w:val="20"/>
                <w:szCs w:val="20"/>
              </w:rPr>
              <w:t xml:space="preserve">Цена 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договора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 xml:space="preserve">Дата проведения  заседания Совета Директоров, 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  <w:lang w:val="en-US"/>
              </w:rPr>
            </w:pPr>
            <w:r w:rsidRPr="00DA14B5">
              <w:rPr>
                <w:sz w:val="20"/>
                <w:szCs w:val="20"/>
              </w:rPr>
              <w:t xml:space="preserve">на котором 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одобрена сделка</w:t>
            </w:r>
          </w:p>
        </w:tc>
      </w:tr>
      <w:tr w:rsidR="00A034E9" w:rsidRPr="00DA14B5" w:rsidTr="00A034E9">
        <w:tc>
          <w:tcPr>
            <w:tcW w:w="425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6</w:t>
            </w:r>
          </w:p>
        </w:tc>
      </w:tr>
      <w:tr w:rsidR="00A034E9" w:rsidRPr="00DA14B5" w:rsidTr="00A034E9">
        <w:tc>
          <w:tcPr>
            <w:tcW w:w="425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Договор субаренды №5/1952  от 26.04.2016 с АО «Коммерческий акционерный банк «Викинг»  (Субарендатор)</w:t>
            </w:r>
          </w:p>
          <w:p w:rsidR="0060302C" w:rsidRPr="00DA14B5" w:rsidRDefault="0060302C" w:rsidP="009B32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 01.05.2016  сроком на 11 месяцев</w:t>
            </w:r>
          </w:p>
        </w:tc>
        <w:tc>
          <w:tcPr>
            <w:tcW w:w="212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Заозерский А.А., Пронин И.А.</w:t>
            </w:r>
          </w:p>
        </w:tc>
        <w:tc>
          <w:tcPr>
            <w:tcW w:w="1559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  <w:lang w:val="en-US"/>
              </w:rPr>
            </w:pPr>
            <w:r w:rsidRPr="00DA14B5">
              <w:rPr>
                <w:sz w:val="20"/>
                <w:szCs w:val="20"/>
              </w:rPr>
              <w:t>31352,6 руб.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 месяц</w:t>
            </w:r>
          </w:p>
        </w:tc>
        <w:tc>
          <w:tcPr>
            <w:tcW w:w="2126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21.04.2016</w:t>
            </w:r>
          </w:p>
        </w:tc>
      </w:tr>
      <w:tr w:rsidR="00A034E9" w:rsidRPr="00DA14B5" w:rsidTr="00A034E9">
        <w:tc>
          <w:tcPr>
            <w:tcW w:w="425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 xml:space="preserve">Договор субаренды  №5/1953 </w:t>
            </w:r>
          </w:p>
          <w:p w:rsidR="00A034E9" w:rsidRPr="00DA14B5" w:rsidRDefault="00A034E9" w:rsidP="009B3254">
            <w:pPr>
              <w:rPr>
                <w:sz w:val="20"/>
                <w:szCs w:val="20"/>
              </w:rPr>
            </w:pPr>
            <w:proofErr w:type="gramStart"/>
            <w:r w:rsidRPr="00DA14B5">
              <w:rPr>
                <w:sz w:val="20"/>
                <w:szCs w:val="20"/>
              </w:rPr>
              <w:t>от 26.04.2016 с  ООО «Центр косметологии на Перинной «Миллениум»  (Субарендатор)</w:t>
            </w:r>
            <w:proofErr w:type="gramEnd"/>
          </w:p>
          <w:p w:rsidR="0060302C" w:rsidRPr="00DA14B5" w:rsidRDefault="0060302C" w:rsidP="009B32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 01.05.2016  сроком на 11 месяцев</w:t>
            </w:r>
          </w:p>
        </w:tc>
        <w:tc>
          <w:tcPr>
            <w:tcW w:w="212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Пронин И.А.</w:t>
            </w:r>
          </w:p>
        </w:tc>
        <w:tc>
          <w:tcPr>
            <w:tcW w:w="1559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  <w:lang w:val="en-US"/>
              </w:rPr>
            </w:pPr>
            <w:r w:rsidRPr="00DA14B5">
              <w:rPr>
                <w:sz w:val="20"/>
                <w:szCs w:val="20"/>
              </w:rPr>
              <w:t>24780,0 руб.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 месяц</w:t>
            </w:r>
          </w:p>
        </w:tc>
        <w:tc>
          <w:tcPr>
            <w:tcW w:w="2126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21.04.2016</w:t>
            </w:r>
          </w:p>
        </w:tc>
      </w:tr>
      <w:tr w:rsidR="00A034E9" w:rsidRPr="00DA14B5" w:rsidTr="00A034E9">
        <w:tc>
          <w:tcPr>
            <w:tcW w:w="425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Договор субаренды №5/2019  от 01.09.2016 с Санкт-Петербургской Городской Коллегией адвокатов (Субарендатор)</w:t>
            </w:r>
          </w:p>
          <w:p w:rsidR="0060302C" w:rsidRPr="00DA14B5" w:rsidRDefault="0060302C" w:rsidP="009B32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 01.09.2016  сроком на 11 месяцев</w:t>
            </w:r>
          </w:p>
        </w:tc>
        <w:tc>
          <w:tcPr>
            <w:tcW w:w="212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proofErr w:type="spellStart"/>
            <w:r w:rsidRPr="00DA14B5">
              <w:rPr>
                <w:sz w:val="20"/>
                <w:szCs w:val="20"/>
              </w:rPr>
              <w:t>Шайхайдаров</w:t>
            </w:r>
            <w:proofErr w:type="spellEnd"/>
            <w:r w:rsidRPr="00DA14B5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559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  <w:lang w:val="en-US"/>
              </w:rPr>
            </w:pPr>
            <w:r w:rsidRPr="00DA14B5">
              <w:rPr>
                <w:sz w:val="20"/>
                <w:szCs w:val="20"/>
              </w:rPr>
              <w:t>12980,0 руб.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 месяц</w:t>
            </w:r>
          </w:p>
        </w:tc>
        <w:tc>
          <w:tcPr>
            <w:tcW w:w="2126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30.08.2016</w:t>
            </w:r>
          </w:p>
        </w:tc>
      </w:tr>
      <w:tr w:rsidR="00A034E9" w:rsidRPr="00DA14B5" w:rsidTr="00A034E9">
        <w:tc>
          <w:tcPr>
            <w:tcW w:w="425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Договор субаренды №5/2020 от 01.09.2016  с ЗАО «Гостиный Двор» (Субарендатор)</w:t>
            </w:r>
          </w:p>
        </w:tc>
        <w:tc>
          <w:tcPr>
            <w:tcW w:w="141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 01.09. 2016  сроком на 11 месяцев</w:t>
            </w:r>
          </w:p>
        </w:tc>
        <w:tc>
          <w:tcPr>
            <w:tcW w:w="212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proofErr w:type="spellStart"/>
            <w:r w:rsidRPr="00DA14B5">
              <w:rPr>
                <w:sz w:val="20"/>
                <w:szCs w:val="20"/>
              </w:rPr>
              <w:t>Тушакова</w:t>
            </w:r>
            <w:proofErr w:type="spellEnd"/>
            <w:r w:rsidRPr="00DA14B5">
              <w:rPr>
                <w:sz w:val="20"/>
                <w:szCs w:val="20"/>
              </w:rPr>
              <w:t xml:space="preserve"> Н.П., </w:t>
            </w:r>
            <w:proofErr w:type="spellStart"/>
            <w:r w:rsidRPr="00DA14B5">
              <w:rPr>
                <w:sz w:val="20"/>
                <w:szCs w:val="20"/>
              </w:rPr>
              <w:t>Шайхайдаров</w:t>
            </w:r>
            <w:proofErr w:type="spellEnd"/>
            <w:r w:rsidRPr="00DA14B5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559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  <w:lang w:val="en-US"/>
              </w:rPr>
            </w:pPr>
            <w:r w:rsidRPr="00DA14B5">
              <w:rPr>
                <w:sz w:val="20"/>
                <w:szCs w:val="20"/>
              </w:rPr>
              <w:t xml:space="preserve">379 960 руб. 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в месяц</w:t>
            </w:r>
          </w:p>
        </w:tc>
        <w:tc>
          <w:tcPr>
            <w:tcW w:w="2126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30.08.2016</w:t>
            </w:r>
          </w:p>
        </w:tc>
      </w:tr>
      <w:tr w:rsidR="00A034E9" w:rsidRPr="00DA14B5" w:rsidTr="00A034E9">
        <w:tc>
          <w:tcPr>
            <w:tcW w:w="425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Договор субаренды №5/2057 от 03.11.2016 с ООО «ОП «КВО» (Субарендатор)</w:t>
            </w:r>
          </w:p>
          <w:p w:rsidR="0060302C" w:rsidRPr="00DA14B5" w:rsidRDefault="0060302C" w:rsidP="009B32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 03.11.2016  по 30.09.2017</w:t>
            </w:r>
          </w:p>
        </w:tc>
        <w:tc>
          <w:tcPr>
            <w:tcW w:w="212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Пронин И.А.</w:t>
            </w:r>
          </w:p>
        </w:tc>
        <w:tc>
          <w:tcPr>
            <w:tcW w:w="1559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  <w:lang w:val="en-US"/>
              </w:rPr>
            </w:pPr>
            <w:r w:rsidRPr="00DA14B5">
              <w:rPr>
                <w:sz w:val="20"/>
                <w:szCs w:val="20"/>
              </w:rPr>
              <w:t>9086,0 руб.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 xml:space="preserve"> в месяц</w:t>
            </w:r>
          </w:p>
        </w:tc>
        <w:tc>
          <w:tcPr>
            <w:tcW w:w="2126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03.11.2016</w:t>
            </w:r>
          </w:p>
        </w:tc>
      </w:tr>
      <w:tr w:rsidR="00A034E9" w:rsidRPr="00DA14B5" w:rsidTr="00A034E9">
        <w:tc>
          <w:tcPr>
            <w:tcW w:w="425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proofErr w:type="spellStart"/>
            <w:r w:rsidRPr="00DA14B5">
              <w:rPr>
                <w:sz w:val="20"/>
                <w:szCs w:val="20"/>
              </w:rPr>
              <w:t>Допсоглашение</w:t>
            </w:r>
            <w:proofErr w:type="spellEnd"/>
            <w:r w:rsidRPr="00DA14B5">
              <w:rPr>
                <w:sz w:val="20"/>
                <w:szCs w:val="20"/>
              </w:rPr>
              <w:t xml:space="preserve">  от 14.11.2016 к  Договору поставки №2127 с ЗАО «Гостиный Двор» (Покупатель) о продлении срока действия договора поставки</w:t>
            </w:r>
          </w:p>
          <w:p w:rsidR="0060302C" w:rsidRPr="00DA14B5" w:rsidRDefault="0060302C" w:rsidP="009B32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По 31.12. 2017</w:t>
            </w:r>
          </w:p>
        </w:tc>
        <w:tc>
          <w:tcPr>
            <w:tcW w:w="212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proofErr w:type="spellStart"/>
            <w:r w:rsidRPr="00DA14B5">
              <w:rPr>
                <w:sz w:val="20"/>
                <w:szCs w:val="20"/>
              </w:rPr>
              <w:t>Тушакова</w:t>
            </w:r>
            <w:proofErr w:type="spellEnd"/>
            <w:r w:rsidRPr="00DA14B5">
              <w:rPr>
                <w:sz w:val="20"/>
                <w:szCs w:val="20"/>
              </w:rPr>
              <w:t xml:space="preserve"> Н.П.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proofErr w:type="spellStart"/>
            <w:r w:rsidRPr="00DA14B5">
              <w:rPr>
                <w:sz w:val="20"/>
                <w:szCs w:val="20"/>
              </w:rPr>
              <w:t>Шайхайдаров</w:t>
            </w:r>
            <w:proofErr w:type="spellEnd"/>
            <w:r w:rsidRPr="00DA14B5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559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2 400 000  руб.</w:t>
            </w:r>
          </w:p>
        </w:tc>
        <w:tc>
          <w:tcPr>
            <w:tcW w:w="2126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03.11.2016</w:t>
            </w:r>
          </w:p>
        </w:tc>
      </w:tr>
      <w:tr w:rsidR="00A034E9" w:rsidRPr="00DA14B5" w:rsidTr="00A034E9">
        <w:tc>
          <w:tcPr>
            <w:tcW w:w="425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proofErr w:type="spellStart"/>
            <w:r w:rsidRPr="00DA14B5">
              <w:rPr>
                <w:sz w:val="20"/>
                <w:szCs w:val="20"/>
              </w:rPr>
              <w:t>Допсоглашение</w:t>
            </w:r>
            <w:proofErr w:type="spellEnd"/>
            <w:r w:rsidRPr="00DA14B5">
              <w:rPr>
                <w:sz w:val="20"/>
                <w:szCs w:val="20"/>
              </w:rPr>
              <w:t xml:space="preserve">  от 14.11.2016 г.  к Договору поставки №14820 с ЗАО «Гостиный Двор» (Поставщик) о продлении срока действия договора поставки </w:t>
            </w:r>
          </w:p>
          <w:p w:rsidR="00A034E9" w:rsidRPr="00DA14B5" w:rsidRDefault="00A034E9" w:rsidP="009B32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По 31.12. 2017</w:t>
            </w:r>
          </w:p>
        </w:tc>
        <w:tc>
          <w:tcPr>
            <w:tcW w:w="212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proofErr w:type="spellStart"/>
            <w:r w:rsidRPr="00DA14B5">
              <w:rPr>
                <w:sz w:val="20"/>
                <w:szCs w:val="20"/>
              </w:rPr>
              <w:t>Тушакова</w:t>
            </w:r>
            <w:proofErr w:type="spellEnd"/>
            <w:r w:rsidRPr="00DA14B5">
              <w:rPr>
                <w:sz w:val="20"/>
                <w:szCs w:val="20"/>
              </w:rPr>
              <w:t xml:space="preserve"> Н.П.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proofErr w:type="spellStart"/>
            <w:r w:rsidRPr="00DA14B5">
              <w:rPr>
                <w:sz w:val="20"/>
                <w:szCs w:val="20"/>
              </w:rPr>
              <w:t>Шайхайдаров</w:t>
            </w:r>
            <w:proofErr w:type="spellEnd"/>
            <w:r w:rsidRPr="00DA14B5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559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2 400 000  руб.</w:t>
            </w:r>
          </w:p>
        </w:tc>
        <w:tc>
          <w:tcPr>
            <w:tcW w:w="2126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03.11.2016</w:t>
            </w:r>
          </w:p>
        </w:tc>
      </w:tr>
      <w:tr w:rsidR="00A034E9" w:rsidRPr="00DA14B5" w:rsidTr="00A034E9">
        <w:tc>
          <w:tcPr>
            <w:tcW w:w="425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Договор оказания юридических услуг №04-2017  от  23.12.2016 с  Санкт-Петербургской Городской Коллегией адвокатов</w:t>
            </w:r>
          </w:p>
        </w:tc>
        <w:tc>
          <w:tcPr>
            <w:tcW w:w="141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 01.01.2017 по 31.12.2018</w:t>
            </w:r>
          </w:p>
        </w:tc>
        <w:tc>
          <w:tcPr>
            <w:tcW w:w="212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proofErr w:type="spellStart"/>
            <w:r w:rsidRPr="00DA14B5">
              <w:rPr>
                <w:sz w:val="20"/>
                <w:szCs w:val="20"/>
              </w:rPr>
              <w:t>Шайхайдаров</w:t>
            </w:r>
            <w:proofErr w:type="spellEnd"/>
            <w:r w:rsidRPr="00DA14B5"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559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450 000 руб.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 xml:space="preserve">в месяц, за ведение дел  в судах  оплата </w:t>
            </w:r>
            <w:r w:rsidRPr="00DA14B5">
              <w:rPr>
                <w:sz w:val="20"/>
                <w:szCs w:val="20"/>
              </w:rPr>
              <w:lastRenderedPageBreak/>
              <w:t xml:space="preserve">производится </w:t>
            </w:r>
            <w:proofErr w:type="gramStart"/>
            <w:r w:rsidRPr="00DA14B5">
              <w:rPr>
                <w:sz w:val="20"/>
                <w:szCs w:val="20"/>
              </w:rPr>
              <w:t>дополни-</w:t>
            </w:r>
            <w:proofErr w:type="spellStart"/>
            <w:r w:rsidRPr="00DA14B5">
              <w:rPr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2126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lastRenderedPageBreak/>
              <w:t>21.12.2016</w:t>
            </w:r>
          </w:p>
        </w:tc>
      </w:tr>
      <w:tr w:rsidR="00A034E9" w:rsidRPr="00DA14B5" w:rsidTr="00A034E9">
        <w:tc>
          <w:tcPr>
            <w:tcW w:w="425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261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Договор оказания охранных услуг №18  от  22.12.2016  с  ООО «ОП «КВО»</w:t>
            </w:r>
          </w:p>
          <w:p w:rsidR="0060302C" w:rsidRPr="00DA14B5" w:rsidRDefault="0060302C" w:rsidP="009B32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 01.01.2017 до 01.10.2017</w:t>
            </w:r>
          </w:p>
        </w:tc>
        <w:tc>
          <w:tcPr>
            <w:tcW w:w="212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Пронин И.А.</w:t>
            </w:r>
          </w:p>
        </w:tc>
        <w:tc>
          <w:tcPr>
            <w:tcW w:w="1559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4165548  руб. в месяц</w:t>
            </w:r>
          </w:p>
        </w:tc>
        <w:tc>
          <w:tcPr>
            <w:tcW w:w="2126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21.12.2016</w:t>
            </w:r>
          </w:p>
        </w:tc>
      </w:tr>
      <w:tr w:rsidR="00A034E9" w:rsidRPr="00DA14B5" w:rsidTr="00A034E9">
        <w:tc>
          <w:tcPr>
            <w:tcW w:w="425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A034E9" w:rsidRPr="00DA14B5" w:rsidRDefault="00A034E9" w:rsidP="009B3254">
            <w:pPr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 xml:space="preserve">Договор оказания охранных </w:t>
            </w:r>
            <w:proofErr w:type="gramStart"/>
            <w:r w:rsidRPr="00DA14B5">
              <w:rPr>
                <w:sz w:val="20"/>
                <w:szCs w:val="20"/>
              </w:rPr>
              <w:t>услуг  б</w:t>
            </w:r>
            <w:proofErr w:type="gramEnd"/>
            <w:r w:rsidRPr="00DA14B5">
              <w:rPr>
                <w:sz w:val="20"/>
                <w:szCs w:val="20"/>
              </w:rPr>
              <w:t>/н  от 22.12.2016  с  ООО «ОП «КБР»</w:t>
            </w:r>
          </w:p>
          <w:p w:rsidR="0060302C" w:rsidRPr="00DA14B5" w:rsidRDefault="0060302C" w:rsidP="009B32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С 01.01.2017 по 31.12.2018</w:t>
            </w:r>
          </w:p>
        </w:tc>
        <w:tc>
          <w:tcPr>
            <w:tcW w:w="2127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Пронин И.А.</w:t>
            </w:r>
          </w:p>
        </w:tc>
        <w:tc>
          <w:tcPr>
            <w:tcW w:w="1559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  <w:lang w:val="en-US"/>
              </w:rPr>
            </w:pPr>
            <w:r w:rsidRPr="00DA14B5">
              <w:rPr>
                <w:sz w:val="20"/>
                <w:szCs w:val="20"/>
              </w:rPr>
              <w:t>787000  руб.</w:t>
            </w:r>
          </w:p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 xml:space="preserve"> в месяц</w:t>
            </w:r>
          </w:p>
        </w:tc>
        <w:tc>
          <w:tcPr>
            <w:tcW w:w="2126" w:type="dxa"/>
          </w:tcPr>
          <w:p w:rsidR="00A034E9" w:rsidRPr="00DA14B5" w:rsidRDefault="00A034E9" w:rsidP="009B3254">
            <w:pPr>
              <w:jc w:val="center"/>
              <w:rPr>
                <w:sz w:val="20"/>
                <w:szCs w:val="20"/>
              </w:rPr>
            </w:pPr>
            <w:r w:rsidRPr="00DA14B5">
              <w:rPr>
                <w:sz w:val="20"/>
                <w:szCs w:val="20"/>
              </w:rPr>
              <w:t>21.12.2016</w:t>
            </w:r>
          </w:p>
        </w:tc>
      </w:tr>
    </w:tbl>
    <w:p w:rsidR="00A034E9" w:rsidRPr="00DA14B5" w:rsidRDefault="00A034E9" w:rsidP="00A034E9">
      <w:pPr>
        <w:tabs>
          <w:tab w:val="left" w:pos="5670"/>
        </w:tabs>
        <w:rPr>
          <w:sz w:val="20"/>
          <w:szCs w:val="20"/>
        </w:rPr>
      </w:pPr>
    </w:p>
    <w:p w:rsidR="00A034E9" w:rsidRPr="00DA14B5" w:rsidRDefault="00A034E9" w:rsidP="003E3F37">
      <w:pPr>
        <w:pStyle w:val="ae"/>
        <w:numPr>
          <w:ilvl w:val="0"/>
          <w:numId w:val="11"/>
        </w:numPr>
        <w:tabs>
          <w:tab w:val="left" w:pos="-567"/>
        </w:tabs>
        <w:ind w:left="-567" w:firstLine="36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Предметом каждой сделки  является имущество, стоимость которого по данным бухгалтерского учета  составляет менее 2 %  балансовой стоимости активов общества по данным его бухгалтерской (финансовой) отчетности на последнюю отчетную дату, предшествующую заключению сделки. </w:t>
      </w:r>
    </w:p>
    <w:p w:rsidR="00A034E9" w:rsidRPr="00DA14B5" w:rsidRDefault="00A034E9" w:rsidP="003E3F37">
      <w:pPr>
        <w:pStyle w:val="ae"/>
        <w:numPr>
          <w:ilvl w:val="0"/>
          <w:numId w:val="11"/>
        </w:numPr>
        <w:ind w:left="-567" w:firstLine="283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Информация  о сделках,  в совершении которых имелась заинтересованность, раскрыта  в 2016 году в сети Интернет по адресу:  </w:t>
      </w:r>
      <w:r w:rsidRPr="00DA14B5">
        <w:rPr>
          <w:sz w:val="20"/>
          <w:szCs w:val="20"/>
          <w:lang w:val="en-US"/>
        </w:rPr>
        <w:t>http</w:t>
      </w:r>
      <w:r w:rsidRPr="00DA14B5">
        <w:rPr>
          <w:sz w:val="20"/>
          <w:szCs w:val="20"/>
        </w:rPr>
        <w:t>://</w:t>
      </w:r>
      <w:r w:rsidRPr="00DA14B5">
        <w:rPr>
          <w:sz w:val="20"/>
          <w:szCs w:val="20"/>
          <w:lang w:val="en-US"/>
        </w:rPr>
        <w:t>disclosure</w:t>
      </w:r>
      <w:r w:rsidRPr="00DA14B5">
        <w:rPr>
          <w:sz w:val="20"/>
          <w:szCs w:val="20"/>
        </w:rPr>
        <w:t>.1</w:t>
      </w:r>
      <w:r w:rsidRPr="00DA14B5">
        <w:rPr>
          <w:sz w:val="20"/>
          <w:szCs w:val="20"/>
          <w:lang w:val="en-US"/>
        </w:rPr>
        <w:t>prime</w:t>
      </w:r>
      <w:r w:rsidRPr="00DA14B5">
        <w:rPr>
          <w:sz w:val="20"/>
          <w:szCs w:val="20"/>
        </w:rPr>
        <w:t>.</w:t>
      </w:r>
      <w:proofErr w:type="spellStart"/>
      <w:r w:rsidRPr="00DA14B5">
        <w:rPr>
          <w:sz w:val="20"/>
          <w:szCs w:val="20"/>
          <w:lang w:val="en-US"/>
        </w:rPr>
        <w:t>ru</w:t>
      </w:r>
      <w:proofErr w:type="spellEnd"/>
      <w:r w:rsidRPr="00DA14B5">
        <w:rPr>
          <w:sz w:val="20"/>
          <w:szCs w:val="20"/>
        </w:rPr>
        <w:t>/</w:t>
      </w:r>
      <w:r w:rsidRPr="00DA14B5">
        <w:rPr>
          <w:sz w:val="20"/>
          <w:szCs w:val="20"/>
          <w:lang w:val="en-US"/>
        </w:rPr>
        <w:t>Portal</w:t>
      </w:r>
      <w:r w:rsidRPr="00DA14B5">
        <w:rPr>
          <w:sz w:val="20"/>
          <w:szCs w:val="20"/>
        </w:rPr>
        <w:t xml:space="preserve">/ </w:t>
      </w:r>
      <w:r w:rsidRPr="00DA14B5">
        <w:rPr>
          <w:sz w:val="20"/>
          <w:szCs w:val="20"/>
          <w:lang w:val="en-US"/>
        </w:rPr>
        <w:t>Default</w:t>
      </w:r>
      <w:r w:rsidRPr="00DA14B5">
        <w:rPr>
          <w:sz w:val="20"/>
          <w:szCs w:val="20"/>
        </w:rPr>
        <w:t>.</w:t>
      </w:r>
      <w:proofErr w:type="spellStart"/>
      <w:r w:rsidRPr="00DA14B5">
        <w:rPr>
          <w:sz w:val="20"/>
          <w:szCs w:val="20"/>
          <w:lang w:val="en-US"/>
        </w:rPr>
        <w:t>aspx</w:t>
      </w:r>
      <w:proofErr w:type="spellEnd"/>
      <w:r w:rsidRPr="00DA14B5">
        <w:rPr>
          <w:sz w:val="20"/>
          <w:szCs w:val="20"/>
        </w:rPr>
        <w:t>?</w:t>
      </w:r>
      <w:proofErr w:type="spellStart"/>
      <w:r w:rsidRPr="00DA14B5">
        <w:rPr>
          <w:sz w:val="20"/>
          <w:szCs w:val="20"/>
          <w:lang w:val="en-US"/>
        </w:rPr>
        <w:t>emId</w:t>
      </w:r>
      <w:proofErr w:type="spellEnd"/>
      <w:r w:rsidRPr="00DA14B5">
        <w:rPr>
          <w:sz w:val="20"/>
          <w:szCs w:val="20"/>
        </w:rPr>
        <w:t>=7830001892</w:t>
      </w:r>
    </w:p>
    <w:p w:rsidR="0060302C" w:rsidRPr="00DA14B5" w:rsidRDefault="0060302C" w:rsidP="00342527">
      <w:pPr>
        <w:pStyle w:val="ae"/>
        <w:spacing w:line="360" w:lineRule="auto"/>
        <w:ind w:left="-284"/>
        <w:rPr>
          <w:sz w:val="20"/>
          <w:szCs w:val="20"/>
        </w:rPr>
      </w:pPr>
    </w:p>
    <w:p w:rsidR="00A034E9" w:rsidRPr="00DA14B5" w:rsidRDefault="00342527" w:rsidP="003E3F37">
      <w:pPr>
        <w:pStyle w:val="ae"/>
        <w:tabs>
          <w:tab w:val="left" w:pos="5670"/>
        </w:tabs>
        <w:ind w:left="-567" w:firstLine="283"/>
        <w:rPr>
          <w:sz w:val="20"/>
          <w:szCs w:val="20"/>
        </w:rPr>
      </w:pPr>
      <w:r w:rsidRPr="00DA14B5">
        <w:rPr>
          <w:sz w:val="20"/>
          <w:szCs w:val="20"/>
        </w:rPr>
        <w:t xml:space="preserve">        </w:t>
      </w:r>
      <w:r w:rsidR="00DA14B5" w:rsidRPr="00DA14B5">
        <w:rPr>
          <w:sz w:val="20"/>
          <w:szCs w:val="20"/>
        </w:rPr>
        <w:t xml:space="preserve">   </w:t>
      </w:r>
      <w:r w:rsidRPr="00DA14B5">
        <w:rPr>
          <w:sz w:val="20"/>
          <w:szCs w:val="20"/>
        </w:rPr>
        <w:t xml:space="preserve"> </w:t>
      </w:r>
      <w:r w:rsidR="00A034E9" w:rsidRPr="00DA14B5">
        <w:rPr>
          <w:sz w:val="20"/>
          <w:szCs w:val="20"/>
        </w:rPr>
        <w:t>Крупных сделок за отчетный период  Общество не заключало.</w:t>
      </w:r>
    </w:p>
    <w:p w:rsidR="00342527" w:rsidRPr="00DA14B5" w:rsidRDefault="00114E7A" w:rsidP="003E3F37">
      <w:pPr>
        <w:pStyle w:val="ae"/>
        <w:ind w:left="0"/>
        <w:jc w:val="both"/>
        <w:rPr>
          <w:sz w:val="20"/>
          <w:szCs w:val="20"/>
        </w:rPr>
      </w:pPr>
      <w:r w:rsidRPr="00DA14B5">
        <w:rPr>
          <w:color w:val="000000"/>
          <w:sz w:val="20"/>
          <w:szCs w:val="20"/>
          <w:shd w:val="clear" w:color="auto" w:fill="FFFFFF"/>
        </w:rPr>
        <w:t xml:space="preserve">     </w:t>
      </w:r>
      <w:r w:rsidR="003E3F37" w:rsidRPr="00DA14B5">
        <w:rPr>
          <w:color w:val="000000"/>
          <w:sz w:val="20"/>
          <w:szCs w:val="20"/>
          <w:shd w:val="clear" w:color="auto" w:fill="FFFFFF"/>
        </w:rPr>
        <w:t xml:space="preserve"> </w:t>
      </w:r>
      <w:r w:rsidR="00A5114D" w:rsidRPr="00DA14B5">
        <w:rPr>
          <w:color w:val="000000"/>
          <w:sz w:val="20"/>
          <w:szCs w:val="20"/>
          <w:shd w:val="clear" w:color="auto" w:fill="FFFFFF"/>
        </w:rPr>
        <w:t>Акции</w:t>
      </w:r>
      <w:r w:rsidR="00A17AD3" w:rsidRPr="00DA14B5">
        <w:rPr>
          <w:color w:val="000000"/>
          <w:sz w:val="20"/>
          <w:szCs w:val="20"/>
          <w:shd w:val="clear" w:color="auto" w:fill="FFFFFF"/>
        </w:rPr>
        <w:t xml:space="preserve"> Общества не допущены к организованным торгам, но рекомендованный Банком России к применению акционерными обществами, ценные бумаги которых допущены к организованным торгам,  Кодекс корпоративного управления</w:t>
      </w:r>
      <w:r w:rsidR="00AE3852" w:rsidRPr="00DA14B5">
        <w:rPr>
          <w:sz w:val="20"/>
          <w:szCs w:val="20"/>
        </w:rPr>
        <w:t xml:space="preserve">  в основных положениях </w:t>
      </w:r>
      <w:r w:rsidR="00342527" w:rsidRPr="00DA14B5">
        <w:rPr>
          <w:sz w:val="20"/>
          <w:szCs w:val="20"/>
        </w:rPr>
        <w:t xml:space="preserve"> Обществом  соблюдается.</w:t>
      </w:r>
    </w:p>
    <w:p w:rsidR="0060302C" w:rsidRPr="00DA14B5" w:rsidRDefault="0060302C" w:rsidP="003E3F37">
      <w:pPr>
        <w:pStyle w:val="ae"/>
        <w:tabs>
          <w:tab w:val="left" w:pos="5670"/>
        </w:tabs>
        <w:ind w:left="-567" w:firstLine="283"/>
        <w:rPr>
          <w:sz w:val="20"/>
          <w:szCs w:val="20"/>
        </w:rPr>
      </w:pPr>
    </w:p>
    <w:p w:rsidR="00BE05A3" w:rsidRPr="00DA14B5" w:rsidRDefault="00BE05A3" w:rsidP="003E3F37">
      <w:p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                                            </w:t>
      </w:r>
      <w:r w:rsidR="00DA14B5" w:rsidRPr="00DB3186">
        <w:rPr>
          <w:sz w:val="20"/>
          <w:szCs w:val="20"/>
        </w:rPr>
        <w:t xml:space="preserve">                        </w:t>
      </w:r>
      <w:r w:rsidRPr="00DA14B5">
        <w:rPr>
          <w:sz w:val="20"/>
          <w:szCs w:val="20"/>
        </w:rPr>
        <w:t>Уважаемые акционеры!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Бережное  отношение к  объекту  культурного наследия федерального значения </w:t>
      </w:r>
      <w:r w:rsidR="00114E7A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«Большой Гостиный </w:t>
      </w:r>
      <w:r w:rsidR="00114E7A" w:rsidRPr="00DA14B5">
        <w:rPr>
          <w:sz w:val="20"/>
          <w:szCs w:val="20"/>
        </w:rPr>
        <w:t>д</w:t>
      </w:r>
      <w:r w:rsidRPr="00DA14B5">
        <w:rPr>
          <w:sz w:val="20"/>
          <w:szCs w:val="20"/>
        </w:rPr>
        <w:t>вор», сохранение его первозданного облика  – од</w:t>
      </w:r>
      <w:r w:rsidR="001162E1" w:rsidRPr="00DA14B5">
        <w:rPr>
          <w:sz w:val="20"/>
          <w:szCs w:val="20"/>
        </w:rPr>
        <w:t xml:space="preserve">на из </w:t>
      </w:r>
      <w:r w:rsidR="00114E7A" w:rsidRPr="00DA14B5">
        <w:rPr>
          <w:sz w:val="20"/>
          <w:szCs w:val="20"/>
        </w:rPr>
        <w:t xml:space="preserve"> приоритетных</w:t>
      </w:r>
      <w:r w:rsidRPr="00DA14B5">
        <w:rPr>
          <w:sz w:val="20"/>
          <w:szCs w:val="20"/>
        </w:rPr>
        <w:t xml:space="preserve"> задач Общества.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соответствии с договором аренды Общество ежегодно по утвержденному </w:t>
      </w:r>
      <w:proofErr w:type="spellStart"/>
      <w:r w:rsidRPr="00DA14B5">
        <w:rPr>
          <w:sz w:val="20"/>
          <w:szCs w:val="20"/>
        </w:rPr>
        <w:t>КГиОП</w:t>
      </w:r>
      <w:proofErr w:type="spellEnd"/>
      <w:r w:rsidRPr="00DA14B5">
        <w:rPr>
          <w:sz w:val="20"/>
          <w:szCs w:val="20"/>
        </w:rPr>
        <w:t xml:space="preserve"> и КИО плану-графику проводит  капитальный ремонт</w:t>
      </w:r>
      <w:r w:rsidR="00412CF1" w:rsidRPr="00DA14B5">
        <w:rPr>
          <w:sz w:val="20"/>
          <w:szCs w:val="20"/>
        </w:rPr>
        <w:t xml:space="preserve">  </w:t>
      </w:r>
      <w:r w:rsidRPr="00DA14B5">
        <w:rPr>
          <w:sz w:val="20"/>
          <w:szCs w:val="20"/>
        </w:rPr>
        <w:t xml:space="preserve">  и предоставляет документы для зачета потраченных сре</w:t>
      </w:r>
      <w:proofErr w:type="gramStart"/>
      <w:r w:rsidRPr="00DA14B5">
        <w:rPr>
          <w:sz w:val="20"/>
          <w:szCs w:val="20"/>
        </w:rPr>
        <w:t>дств в сч</w:t>
      </w:r>
      <w:proofErr w:type="gramEnd"/>
      <w:r w:rsidRPr="00DA14B5">
        <w:rPr>
          <w:sz w:val="20"/>
          <w:szCs w:val="20"/>
        </w:rPr>
        <w:t>ет арендной платы.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В отчетном 2016 году  30 мая с КИО  были  подписаны документы о зачете всех  израсходованных на капиталь</w:t>
      </w:r>
      <w:r w:rsidR="00412CF1" w:rsidRPr="00DA14B5">
        <w:rPr>
          <w:sz w:val="20"/>
          <w:szCs w:val="20"/>
        </w:rPr>
        <w:t>ный ремонт в 2015 году  сре</w:t>
      </w:r>
      <w:proofErr w:type="gramStart"/>
      <w:r w:rsidR="00412CF1" w:rsidRPr="00DA14B5">
        <w:rPr>
          <w:sz w:val="20"/>
          <w:szCs w:val="20"/>
        </w:rPr>
        <w:t xml:space="preserve">дств </w:t>
      </w:r>
      <w:r w:rsidRPr="00DA14B5">
        <w:rPr>
          <w:sz w:val="20"/>
          <w:szCs w:val="20"/>
        </w:rPr>
        <w:t xml:space="preserve"> в с</w:t>
      </w:r>
      <w:proofErr w:type="gramEnd"/>
      <w:r w:rsidRPr="00DA14B5">
        <w:rPr>
          <w:sz w:val="20"/>
          <w:szCs w:val="20"/>
        </w:rPr>
        <w:t>умме  эквивален</w:t>
      </w:r>
      <w:r w:rsidR="00412CF1" w:rsidRPr="00DA14B5">
        <w:rPr>
          <w:sz w:val="20"/>
          <w:szCs w:val="20"/>
        </w:rPr>
        <w:t xml:space="preserve">тной 1 202 631, 35 доллару США </w:t>
      </w:r>
      <w:r w:rsidRPr="00DA14B5">
        <w:rPr>
          <w:sz w:val="20"/>
          <w:szCs w:val="20"/>
        </w:rPr>
        <w:t xml:space="preserve"> в счет арендной платы.</w:t>
      </w:r>
    </w:p>
    <w:p w:rsidR="00BE05A3" w:rsidRPr="00DA14B5" w:rsidRDefault="00BE05A3" w:rsidP="00BE05A3">
      <w:pPr>
        <w:spacing w:line="360" w:lineRule="auto"/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В 2016 году  п</w:t>
      </w:r>
      <w:r w:rsidR="002B0EB2" w:rsidRPr="00DA14B5">
        <w:rPr>
          <w:sz w:val="20"/>
          <w:szCs w:val="20"/>
        </w:rPr>
        <w:t>о капитальному ремонту выполнены</w:t>
      </w:r>
      <w:r w:rsidRPr="00DA14B5">
        <w:rPr>
          <w:sz w:val="20"/>
          <w:szCs w:val="20"/>
        </w:rPr>
        <w:t xml:space="preserve"> следующие работы: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в 1 квартале закончены работы по облицовке цоколя  здания литер</w:t>
      </w:r>
      <w:r w:rsidR="002B0EB2" w:rsidRPr="00DA14B5">
        <w:rPr>
          <w:sz w:val="20"/>
          <w:szCs w:val="20"/>
        </w:rPr>
        <w:t>а «В»  камнем  и благоустройству</w:t>
      </w:r>
      <w:r w:rsidRPr="00DA14B5">
        <w:rPr>
          <w:sz w:val="20"/>
          <w:szCs w:val="20"/>
        </w:rPr>
        <w:t xml:space="preserve">  прилегающей к зданию территории;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закончены работы по устройству  металлических лестничных ограждений;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проведен капитальный ремонт водопровода  в здании  наружного кольца Невской линии;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начаты  проектные работы по ремонту и реставрации  дворовых фасадов наружного кольца Перинной, Ломоносовской и части Садовой линии, заключен договор на </w:t>
      </w:r>
      <w:r w:rsidR="000103B5" w:rsidRPr="00DA14B5">
        <w:rPr>
          <w:sz w:val="20"/>
          <w:szCs w:val="20"/>
        </w:rPr>
        <w:t xml:space="preserve">выполнение </w:t>
      </w:r>
      <w:r w:rsidRPr="00DA14B5">
        <w:rPr>
          <w:sz w:val="20"/>
          <w:szCs w:val="20"/>
        </w:rPr>
        <w:t>историко-культурн</w:t>
      </w:r>
      <w:r w:rsidR="000103B5" w:rsidRPr="00DA14B5">
        <w:rPr>
          <w:sz w:val="20"/>
          <w:szCs w:val="20"/>
        </w:rPr>
        <w:t>ой</w:t>
      </w:r>
      <w:r w:rsidRPr="00DA14B5">
        <w:rPr>
          <w:sz w:val="20"/>
          <w:szCs w:val="20"/>
        </w:rPr>
        <w:t xml:space="preserve"> экспертиз</w:t>
      </w:r>
      <w:r w:rsidR="000103B5" w:rsidRPr="00DA14B5">
        <w:rPr>
          <w:sz w:val="20"/>
          <w:szCs w:val="20"/>
        </w:rPr>
        <w:t>ы</w:t>
      </w:r>
      <w:r w:rsidRPr="00DA14B5">
        <w:rPr>
          <w:sz w:val="20"/>
          <w:szCs w:val="20"/>
        </w:rPr>
        <w:t xml:space="preserve">  проекта.  Проект предусматривает  полную реставрацию и восстановление дворовых фасадов  наружного кольца с частичной  заменой оконных рам. В 2017 году  необходимо  решить вопрос с  местами размещения  наружных блоков  кондиционеров, расп</w:t>
      </w:r>
      <w:r w:rsidR="008319F8" w:rsidRPr="00DA14B5">
        <w:rPr>
          <w:sz w:val="20"/>
          <w:szCs w:val="20"/>
        </w:rPr>
        <w:t>о</w:t>
      </w:r>
      <w:r w:rsidRPr="00DA14B5">
        <w:rPr>
          <w:sz w:val="20"/>
          <w:szCs w:val="20"/>
        </w:rPr>
        <w:t xml:space="preserve">ложенных на  дворовых фасадах.  Работы предположительно будут начаты в </w:t>
      </w:r>
      <w:r w:rsidRPr="00DA14B5">
        <w:rPr>
          <w:sz w:val="20"/>
          <w:szCs w:val="20"/>
          <w:lang w:val="en-US"/>
        </w:rPr>
        <w:t>III</w:t>
      </w:r>
      <w:r w:rsidRPr="00DA14B5">
        <w:rPr>
          <w:sz w:val="20"/>
          <w:szCs w:val="20"/>
        </w:rPr>
        <w:t xml:space="preserve"> квартале 2017 года.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Основной стратегической задачей  Общества по-прежнему  является поэтапная  реализация  «Архитектурной  концепции развития, реставрации  и приспособления </w:t>
      </w:r>
      <w:r w:rsidR="00D2351F" w:rsidRPr="00DA14B5">
        <w:rPr>
          <w:sz w:val="20"/>
          <w:szCs w:val="20"/>
        </w:rPr>
        <w:t xml:space="preserve">для современного использования </w:t>
      </w:r>
      <w:r w:rsidRPr="00DA14B5">
        <w:rPr>
          <w:sz w:val="20"/>
          <w:szCs w:val="20"/>
        </w:rPr>
        <w:t>здани</w:t>
      </w:r>
      <w:r w:rsidR="00D2351F" w:rsidRPr="00DA14B5">
        <w:rPr>
          <w:sz w:val="20"/>
          <w:szCs w:val="20"/>
        </w:rPr>
        <w:t>й</w:t>
      </w:r>
      <w:r w:rsidRPr="00DA14B5">
        <w:rPr>
          <w:sz w:val="20"/>
          <w:szCs w:val="20"/>
        </w:rPr>
        <w:t xml:space="preserve"> Большого Гостиного Двора», которая дважды  была рассмотрена и единогласно одобрена Советом  по сохранению культурного наследия  при Правительстве Санкт-Петербурга. 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В 2016 году в продолжение реал</w:t>
      </w:r>
      <w:r w:rsidR="00D2351F" w:rsidRPr="00DA14B5">
        <w:rPr>
          <w:sz w:val="20"/>
          <w:szCs w:val="20"/>
        </w:rPr>
        <w:t>изации  утвержденной  концепции и</w:t>
      </w:r>
      <w:r w:rsidRPr="00DA14B5">
        <w:rPr>
          <w:sz w:val="20"/>
          <w:szCs w:val="20"/>
        </w:rPr>
        <w:t xml:space="preserve">  в соответствии с Планом-графиком работ по  капитальному ремонту</w:t>
      </w:r>
      <w:r w:rsidR="00D2351F" w:rsidRPr="00DA14B5">
        <w:rPr>
          <w:sz w:val="20"/>
          <w:szCs w:val="20"/>
        </w:rPr>
        <w:t>,</w:t>
      </w:r>
      <w:r w:rsidRPr="00DA14B5">
        <w:rPr>
          <w:sz w:val="20"/>
          <w:szCs w:val="20"/>
        </w:rPr>
        <w:t xml:space="preserve"> </w:t>
      </w:r>
      <w:r w:rsidR="00D2351F" w:rsidRPr="00DA14B5">
        <w:rPr>
          <w:sz w:val="20"/>
          <w:szCs w:val="20"/>
        </w:rPr>
        <w:t xml:space="preserve"> под контролем   КГИОП  </w:t>
      </w:r>
      <w:r w:rsidRPr="00DA14B5">
        <w:rPr>
          <w:sz w:val="20"/>
          <w:szCs w:val="20"/>
        </w:rPr>
        <w:t>Общество приступило к  разработке  документации  по капитальному ремонту и реставрации  внутреннего кольца  Перинной линии: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проведены  изыскания и комплексные  обмеры  здания;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подготовлены </w:t>
      </w:r>
      <w:proofErr w:type="spellStart"/>
      <w:r w:rsidRPr="00DA14B5">
        <w:rPr>
          <w:sz w:val="20"/>
          <w:szCs w:val="20"/>
        </w:rPr>
        <w:t>предпроектные</w:t>
      </w:r>
      <w:proofErr w:type="spellEnd"/>
      <w:r w:rsidRPr="00DA14B5">
        <w:rPr>
          <w:sz w:val="20"/>
          <w:szCs w:val="20"/>
        </w:rPr>
        <w:t xml:space="preserve">  проработки  «приспособление  для  современного использования с реставрацией  объекта  культурного наследия Большого Гостиного Двора</w:t>
      </w:r>
      <w:r w:rsidR="00D2351F" w:rsidRPr="00DA14B5">
        <w:rPr>
          <w:sz w:val="20"/>
          <w:szCs w:val="20"/>
        </w:rPr>
        <w:t xml:space="preserve">, </w:t>
      </w:r>
      <w:r w:rsidRPr="00DA14B5">
        <w:rPr>
          <w:sz w:val="20"/>
          <w:szCs w:val="20"/>
        </w:rPr>
        <w:t xml:space="preserve"> Перинная линия, внутреннее кольцо, секция 149-95», которые   14 ноября 2016 г. рассмотрены и единогласно утверждены Советом по сохранению  культурного  наследия при </w:t>
      </w:r>
      <w:r w:rsidR="00D2351F" w:rsidRPr="00DA14B5">
        <w:rPr>
          <w:sz w:val="20"/>
          <w:szCs w:val="20"/>
        </w:rPr>
        <w:t>П</w:t>
      </w:r>
      <w:r w:rsidRPr="00DA14B5">
        <w:rPr>
          <w:sz w:val="20"/>
          <w:szCs w:val="20"/>
        </w:rPr>
        <w:t>равительстве Санкт-Петербурга.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феврале  2017 г.   в  Комитет </w:t>
      </w:r>
      <w:r w:rsidR="00D2351F" w:rsidRPr="00DA14B5">
        <w:rPr>
          <w:sz w:val="20"/>
          <w:szCs w:val="20"/>
        </w:rPr>
        <w:t>и</w:t>
      </w:r>
      <w:r w:rsidRPr="00DA14B5">
        <w:rPr>
          <w:sz w:val="20"/>
          <w:szCs w:val="20"/>
        </w:rPr>
        <w:t xml:space="preserve">мущественных </w:t>
      </w:r>
      <w:r w:rsidR="00D2351F" w:rsidRPr="00DA14B5">
        <w:rPr>
          <w:sz w:val="20"/>
          <w:szCs w:val="20"/>
        </w:rPr>
        <w:t>о</w:t>
      </w:r>
      <w:r w:rsidRPr="00DA14B5">
        <w:rPr>
          <w:sz w:val="20"/>
          <w:szCs w:val="20"/>
        </w:rPr>
        <w:t>тношений    был направлен   отчет о выполненных</w:t>
      </w:r>
      <w:r w:rsidR="003150F7" w:rsidRPr="00DA14B5">
        <w:rPr>
          <w:sz w:val="20"/>
          <w:szCs w:val="20"/>
        </w:rPr>
        <w:t xml:space="preserve"> </w:t>
      </w:r>
      <w:r w:rsidR="00D2351F" w:rsidRPr="00DA14B5">
        <w:rPr>
          <w:sz w:val="20"/>
          <w:szCs w:val="20"/>
        </w:rPr>
        <w:t xml:space="preserve"> в </w:t>
      </w:r>
      <w:r w:rsidR="003150F7" w:rsidRPr="00DA14B5">
        <w:rPr>
          <w:sz w:val="20"/>
          <w:szCs w:val="20"/>
        </w:rPr>
        <w:t xml:space="preserve"> </w:t>
      </w:r>
      <w:r w:rsidR="00D2351F" w:rsidRPr="00DA14B5">
        <w:rPr>
          <w:sz w:val="20"/>
          <w:szCs w:val="20"/>
        </w:rPr>
        <w:t xml:space="preserve">2016 г. </w:t>
      </w:r>
      <w:r w:rsidRPr="00DA14B5">
        <w:rPr>
          <w:sz w:val="20"/>
          <w:szCs w:val="20"/>
        </w:rPr>
        <w:t xml:space="preserve"> работах по капитальному ремонту    в сумме</w:t>
      </w:r>
      <w:r w:rsidR="00D2351F" w:rsidRPr="00DA14B5">
        <w:rPr>
          <w:sz w:val="20"/>
          <w:szCs w:val="20"/>
        </w:rPr>
        <w:t>,</w:t>
      </w:r>
      <w:r w:rsidRPr="00DA14B5">
        <w:rPr>
          <w:sz w:val="20"/>
          <w:szCs w:val="20"/>
        </w:rPr>
        <w:t xml:space="preserve"> эквивалентной  442 036,73  доллар</w:t>
      </w:r>
      <w:r w:rsidR="00D2351F" w:rsidRPr="00DA14B5">
        <w:rPr>
          <w:sz w:val="20"/>
          <w:szCs w:val="20"/>
        </w:rPr>
        <w:t xml:space="preserve">ам </w:t>
      </w:r>
      <w:r w:rsidRPr="00DA14B5">
        <w:rPr>
          <w:sz w:val="20"/>
          <w:szCs w:val="20"/>
        </w:rPr>
        <w:t xml:space="preserve">  США (без учета НДС). 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КИО </w:t>
      </w:r>
      <w:r w:rsidR="00DE4734" w:rsidRPr="00DA14B5">
        <w:rPr>
          <w:sz w:val="20"/>
          <w:szCs w:val="20"/>
        </w:rPr>
        <w:t xml:space="preserve"> в марте 2017 г. </w:t>
      </w:r>
      <w:r w:rsidRPr="00DA14B5">
        <w:rPr>
          <w:sz w:val="20"/>
          <w:szCs w:val="20"/>
        </w:rPr>
        <w:t xml:space="preserve"> уведомил Общество о согласовании  </w:t>
      </w:r>
      <w:r w:rsidR="00D104ED" w:rsidRPr="00DA14B5">
        <w:rPr>
          <w:sz w:val="20"/>
          <w:szCs w:val="20"/>
        </w:rPr>
        <w:t xml:space="preserve">всех </w:t>
      </w:r>
      <w:r w:rsidRPr="00DA14B5">
        <w:rPr>
          <w:sz w:val="20"/>
          <w:szCs w:val="20"/>
        </w:rPr>
        <w:t xml:space="preserve">представленных затрат </w:t>
      </w:r>
      <w:r w:rsidR="00821881" w:rsidRPr="00DA14B5">
        <w:rPr>
          <w:sz w:val="20"/>
          <w:szCs w:val="20"/>
        </w:rPr>
        <w:t xml:space="preserve"> и принял их в</w:t>
      </w:r>
      <w:r w:rsidRPr="00DA14B5">
        <w:rPr>
          <w:sz w:val="20"/>
          <w:szCs w:val="20"/>
        </w:rPr>
        <w:t xml:space="preserve"> зачет в счет арендной платы  2016 г</w:t>
      </w:r>
      <w:r w:rsidR="00821881" w:rsidRPr="00DA14B5">
        <w:rPr>
          <w:sz w:val="20"/>
          <w:szCs w:val="20"/>
        </w:rPr>
        <w:t>ода</w:t>
      </w:r>
      <w:r w:rsidRPr="00DA14B5">
        <w:rPr>
          <w:sz w:val="20"/>
          <w:szCs w:val="20"/>
        </w:rPr>
        <w:t xml:space="preserve">. </w:t>
      </w:r>
    </w:p>
    <w:p w:rsidR="00BE05A3" w:rsidRPr="00DA14B5" w:rsidRDefault="003150F7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lastRenderedPageBreak/>
        <w:t xml:space="preserve"> </w:t>
      </w:r>
      <w:r w:rsidR="00BE05A3" w:rsidRPr="00DA14B5">
        <w:rPr>
          <w:sz w:val="20"/>
          <w:szCs w:val="20"/>
        </w:rPr>
        <w:t xml:space="preserve">В соответствии с утвержденными концептуальными проработками Архитектурная мастерская «Студия-44» приступила к разработке проектно-сметной документации.  Работы должны быть закончены в </w:t>
      </w:r>
      <w:r w:rsidR="00BE05A3" w:rsidRPr="00DA14B5">
        <w:rPr>
          <w:sz w:val="20"/>
          <w:szCs w:val="20"/>
          <w:lang w:val="en-US"/>
        </w:rPr>
        <w:t>III</w:t>
      </w:r>
      <w:r w:rsidRPr="00DA14B5">
        <w:rPr>
          <w:sz w:val="20"/>
          <w:szCs w:val="20"/>
        </w:rPr>
        <w:t xml:space="preserve"> квартале  2017 года и</w:t>
      </w:r>
      <w:r w:rsidR="00BE05A3" w:rsidRPr="00DA14B5">
        <w:rPr>
          <w:sz w:val="20"/>
          <w:szCs w:val="20"/>
        </w:rPr>
        <w:t xml:space="preserve"> пройти историко-культурную  и государственную экспертизу.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Во </w:t>
      </w:r>
      <w:r w:rsidRPr="00DA14B5">
        <w:rPr>
          <w:sz w:val="20"/>
          <w:szCs w:val="20"/>
          <w:lang w:val="en-US"/>
        </w:rPr>
        <w:t>II</w:t>
      </w:r>
      <w:r w:rsidRPr="00DA14B5">
        <w:rPr>
          <w:sz w:val="20"/>
          <w:szCs w:val="20"/>
        </w:rPr>
        <w:t xml:space="preserve"> квартале 2017 года </w:t>
      </w:r>
      <w:r w:rsidR="003150F7" w:rsidRPr="00DA14B5">
        <w:rPr>
          <w:sz w:val="20"/>
          <w:szCs w:val="20"/>
        </w:rPr>
        <w:t xml:space="preserve">часть </w:t>
      </w:r>
      <w:r w:rsidRPr="00DA14B5">
        <w:rPr>
          <w:sz w:val="20"/>
          <w:szCs w:val="20"/>
        </w:rPr>
        <w:t>Перинн</w:t>
      </w:r>
      <w:r w:rsidR="003150F7" w:rsidRPr="00DA14B5">
        <w:rPr>
          <w:sz w:val="20"/>
          <w:szCs w:val="20"/>
        </w:rPr>
        <w:t>ой</w:t>
      </w:r>
      <w:r w:rsidRPr="00DA14B5">
        <w:rPr>
          <w:sz w:val="20"/>
          <w:szCs w:val="20"/>
        </w:rPr>
        <w:t xml:space="preserve"> лини</w:t>
      </w:r>
      <w:r w:rsidR="003150F7" w:rsidRPr="00DA14B5">
        <w:rPr>
          <w:sz w:val="20"/>
          <w:szCs w:val="20"/>
        </w:rPr>
        <w:t>и</w:t>
      </w:r>
      <w:r w:rsidRPr="00DA14B5">
        <w:rPr>
          <w:sz w:val="20"/>
          <w:szCs w:val="20"/>
        </w:rPr>
        <w:t xml:space="preserve">  </w:t>
      </w:r>
      <w:r w:rsidR="003150F7" w:rsidRPr="00DA14B5">
        <w:rPr>
          <w:sz w:val="20"/>
          <w:szCs w:val="20"/>
        </w:rPr>
        <w:t>должна быть</w:t>
      </w:r>
      <w:r w:rsidRPr="00DA14B5">
        <w:rPr>
          <w:sz w:val="20"/>
          <w:szCs w:val="20"/>
        </w:rPr>
        <w:t xml:space="preserve"> выведена  из эксплуатации, будут начаты подготовительные работы во внутреннем кольце Перинной линии,  проведены  дополнительные  углубленные обследования для выявления и фиксирования уточненных  объемов реставрационных работ. 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Кроме того, в 2017 году будет </w:t>
      </w:r>
      <w:r w:rsidR="008A2C7E" w:rsidRPr="00DA14B5">
        <w:rPr>
          <w:sz w:val="20"/>
          <w:szCs w:val="20"/>
        </w:rPr>
        <w:t xml:space="preserve">выполнен </w:t>
      </w:r>
      <w:r w:rsidRPr="00DA14B5">
        <w:rPr>
          <w:sz w:val="20"/>
          <w:szCs w:val="20"/>
        </w:rPr>
        <w:t xml:space="preserve">  значительный объем работ по подготовке  наружных сетей  к будущему подключению здания внутреннего кольца Перинной линии</w:t>
      </w:r>
    </w:p>
    <w:p w:rsidR="00BE05A3" w:rsidRPr="00DA14B5" w:rsidRDefault="00BE05A3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В соответствии с охранными обязательствами и договором аренды, Общество обязано также  осуществлять  текущий ремонт зданий и помещений, обеспечивать  их надлежащее санитарное, противопожарное состояние, обеспечивать  сохранность и работоспособность инженерных сетей, коммуникаций и оборудования.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рамках текущего ремонта в 2016 г. Обществом </w:t>
      </w:r>
      <w:r w:rsidR="00B00719" w:rsidRPr="00DA14B5">
        <w:rPr>
          <w:sz w:val="20"/>
          <w:szCs w:val="20"/>
        </w:rPr>
        <w:t xml:space="preserve">были </w:t>
      </w:r>
      <w:r w:rsidRPr="00DA14B5">
        <w:rPr>
          <w:sz w:val="20"/>
          <w:szCs w:val="20"/>
        </w:rPr>
        <w:t>выполнены следующие общестроительные, отделочные  и инженерные работы: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косметическое обслуживание  части  дворовых и лицевых  фасадов  зданий наружного и  внутреннего кольца Садовой, Невской и Перинной  линий; 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ремонт мягкой кровли над помещением внутреннего кольца  Садовой линии;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proofErr w:type="gramStart"/>
      <w:r w:rsidRPr="00DA14B5">
        <w:rPr>
          <w:sz w:val="20"/>
          <w:szCs w:val="20"/>
        </w:rPr>
        <w:t xml:space="preserve">- отделочные работы </w:t>
      </w:r>
      <w:r w:rsidR="00A179F7" w:rsidRPr="00DA14B5">
        <w:rPr>
          <w:sz w:val="20"/>
          <w:szCs w:val="20"/>
        </w:rPr>
        <w:t xml:space="preserve">в </w:t>
      </w:r>
      <w:r w:rsidRPr="00DA14B5">
        <w:rPr>
          <w:sz w:val="20"/>
          <w:szCs w:val="20"/>
        </w:rPr>
        <w:t>торговых зал</w:t>
      </w:r>
      <w:r w:rsidR="00A179F7" w:rsidRPr="00DA14B5">
        <w:rPr>
          <w:sz w:val="20"/>
          <w:szCs w:val="20"/>
        </w:rPr>
        <w:t>ах</w:t>
      </w:r>
      <w:r w:rsidRPr="00DA14B5">
        <w:rPr>
          <w:sz w:val="20"/>
          <w:szCs w:val="20"/>
        </w:rPr>
        <w:t xml:space="preserve"> 1-го этажа  Перинной и Садовой линий; </w:t>
      </w:r>
      <w:proofErr w:type="gramEnd"/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ремонт напольного  покрытия в торговых залах;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ремонт существующих, изготовление и установка новых   противопожарных дверей; 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- ремонт наружного </w:t>
      </w:r>
      <w:proofErr w:type="spellStart"/>
      <w:r w:rsidRPr="00DA14B5">
        <w:rPr>
          <w:sz w:val="20"/>
          <w:szCs w:val="20"/>
        </w:rPr>
        <w:t>закарнизного</w:t>
      </w:r>
      <w:proofErr w:type="spellEnd"/>
      <w:r w:rsidRPr="00DA14B5">
        <w:rPr>
          <w:sz w:val="20"/>
          <w:szCs w:val="20"/>
        </w:rPr>
        <w:t xml:space="preserve"> освещения  зданий Невской и Садовой линий  наружного  кольца;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замена светильников в торговых залах Садовой, Перинной линий;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замена автоматической установки пожарной сигнализации зданий наружного кольца;</w:t>
      </w:r>
    </w:p>
    <w:p w:rsidR="00BE05A3" w:rsidRPr="00DA14B5" w:rsidRDefault="00BE05A3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- также выполнены  другие работы текущего характера.</w:t>
      </w:r>
    </w:p>
    <w:p w:rsidR="00BE05A3" w:rsidRPr="00DA14B5" w:rsidRDefault="00BE05A3" w:rsidP="003E3F37">
      <w:pPr>
        <w:ind w:firstLine="540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2017 году Обществом планируется выполнить следующие работы  по текущему ремонту зданий и помещений, </w:t>
      </w:r>
      <w:r w:rsidR="001707B1" w:rsidRPr="00DA14B5">
        <w:rPr>
          <w:sz w:val="20"/>
          <w:szCs w:val="20"/>
        </w:rPr>
        <w:t xml:space="preserve">а также работы по </w:t>
      </w:r>
      <w:r w:rsidRPr="00DA14B5">
        <w:rPr>
          <w:sz w:val="20"/>
          <w:szCs w:val="20"/>
        </w:rPr>
        <w:t>обеспечени</w:t>
      </w:r>
      <w:r w:rsidR="001707B1" w:rsidRPr="00DA14B5">
        <w:rPr>
          <w:sz w:val="20"/>
          <w:szCs w:val="20"/>
        </w:rPr>
        <w:t>ю</w:t>
      </w:r>
      <w:r w:rsidRPr="00DA14B5">
        <w:rPr>
          <w:sz w:val="20"/>
          <w:szCs w:val="20"/>
        </w:rPr>
        <w:t xml:space="preserve">   работоспособности инженерных сетей и оборудования:</w:t>
      </w:r>
    </w:p>
    <w:p w:rsidR="00BE05A3" w:rsidRPr="00DA14B5" w:rsidRDefault="00BE05A3" w:rsidP="003E3F37">
      <w:pPr>
        <w:pStyle w:val="ae"/>
        <w:numPr>
          <w:ilvl w:val="0"/>
          <w:numId w:val="13"/>
        </w:numPr>
        <w:jc w:val="both"/>
        <w:rPr>
          <w:sz w:val="20"/>
          <w:szCs w:val="20"/>
        </w:rPr>
      </w:pPr>
      <w:r w:rsidRPr="00DA14B5">
        <w:rPr>
          <w:sz w:val="20"/>
          <w:szCs w:val="20"/>
        </w:rPr>
        <w:t>косметический ремонт лицевых фасадов зданий наружного кольца;</w:t>
      </w:r>
    </w:p>
    <w:p w:rsidR="00BE05A3" w:rsidRPr="00DA14B5" w:rsidRDefault="00BE05A3" w:rsidP="003E3F37">
      <w:pPr>
        <w:pStyle w:val="ae"/>
        <w:numPr>
          <w:ilvl w:val="0"/>
          <w:numId w:val="13"/>
        </w:num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косметический ремонт помещений торговых залов, складских и административных помещений; </w:t>
      </w:r>
    </w:p>
    <w:p w:rsidR="00BE05A3" w:rsidRPr="00DA14B5" w:rsidRDefault="00BE05A3" w:rsidP="003E3F37">
      <w:pPr>
        <w:pStyle w:val="ae"/>
        <w:numPr>
          <w:ilvl w:val="0"/>
          <w:numId w:val="13"/>
        </w:num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полная замена кассового оборудования в соответствии с </w:t>
      </w:r>
      <w:r w:rsidR="001707B1" w:rsidRPr="00DA14B5">
        <w:rPr>
          <w:sz w:val="20"/>
          <w:szCs w:val="20"/>
        </w:rPr>
        <w:t xml:space="preserve">новыми </w:t>
      </w:r>
      <w:r w:rsidRPr="00DA14B5">
        <w:rPr>
          <w:sz w:val="20"/>
          <w:szCs w:val="20"/>
        </w:rPr>
        <w:t xml:space="preserve">требованиями Федерального  закона </w:t>
      </w:r>
      <w:r w:rsidR="001707B1" w:rsidRPr="00DA14B5">
        <w:rPr>
          <w:sz w:val="20"/>
          <w:szCs w:val="20"/>
        </w:rPr>
        <w:t xml:space="preserve"> № </w:t>
      </w:r>
      <w:r w:rsidRPr="00DA14B5">
        <w:rPr>
          <w:sz w:val="20"/>
          <w:szCs w:val="20"/>
        </w:rPr>
        <w:t xml:space="preserve">54-ФЗ, а также  разработка и внедрение </w:t>
      </w:r>
      <w:r w:rsidR="00C13ADA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>ново</w:t>
      </w:r>
      <w:r w:rsidR="001707B1" w:rsidRPr="00DA14B5">
        <w:rPr>
          <w:sz w:val="20"/>
          <w:szCs w:val="20"/>
        </w:rPr>
        <w:t>го</w:t>
      </w:r>
      <w:r w:rsidRPr="00DA14B5">
        <w:rPr>
          <w:sz w:val="20"/>
          <w:szCs w:val="20"/>
        </w:rPr>
        <w:t xml:space="preserve"> </w:t>
      </w:r>
      <w:r w:rsidR="001707B1" w:rsidRPr="00DA14B5">
        <w:rPr>
          <w:sz w:val="20"/>
          <w:szCs w:val="20"/>
        </w:rPr>
        <w:t xml:space="preserve"> программного обеспечения </w:t>
      </w:r>
      <w:r w:rsidRPr="00DA14B5">
        <w:rPr>
          <w:sz w:val="20"/>
          <w:szCs w:val="20"/>
        </w:rPr>
        <w:t>системы лояльности при обслуживании покупателей</w:t>
      </w:r>
      <w:r w:rsidR="001707B1" w:rsidRPr="00DA14B5">
        <w:rPr>
          <w:sz w:val="20"/>
          <w:szCs w:val="20"/>
        </w:rPr>
        <w:t>;</w:t>
      </w:r>
    </w:p>
    <w:p w:rsidR="00BE05A3" w:rsidRPr="00DA14B5" w:rsidRDefault="00A179F7" w:rsidP="003E3F37">
      <w:pPr>
        <w:pStyle w:val="ae"/>
        <w:numPr>
          <w:ilvl w:val="0"/>
          <w:numId w:val="13"/>
        </w:num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проектные работы </w:t>
      </w:r>
      <w:r w:rsidR="00BE05A3" w:rsidRPr="00DA14B5">
        <w:rPr>
          <w:sz w:val="20"/>
          <w:szCs w:val="20"/>
        </w:rPr>
        <w:t xml:space="preserve"> с последующей реализацией   работ по прокладке  структурированной кабельной сети (компьютерные сети) </w:t>
      </w:r>
      <w:r w:rsidRPr="00DA14B5">
        <w:rPr>
          <w:sz w:val="20"/>
          <w:szCs w:val="20"/>
        </w:rPr>
        <w:t>и</w:t>
      </w:r>
      <w:r w:rsidR="00BE05A3" w:rsidRPr="00DA14B5">
        <w:rPr>
          <w:sz w:val="20"/>
          <w:szCs w:val="20"/>
        </w:rPr>
        <w:t xml:space="preserve"> организацией новой серверной;</w:t>
      </w:r>
    </w:p>
    <w:p w:rsidR="00BE05A3" w:rsidRPr="00DA14B5" w:rsidRDefault="00BE05A3" w:rsidP="003E3F37">
      <w:pPr>
        <w:pStyle w:val="ae"/>
        <w:numPr>
          <w:ilvl w:val="0"/>
          <w:numId w:val="13"/>
        </w:numPr>
        <w:rPr>
          <w:sz w:val="20"/>
          <w:szCs w:val="20"/>
        </w:rPr>
      </w:pPr>
      <w:r w:rsidRPr="00DA14B5">
        <w:rPr>
          <w:sz w:val="20"/>
          <w:szCs w:val="20"/>
        </w:rPr>
        <w:t>обслуживание подземных участков  наружной трассы теплоснабжения;</w:t>
      </w:r>
    </w:p>
    <w:p w:rsidR="00BE05A3" w:rsidRPr="00DA14B5" w:rsidRDefault="00BE05A3" w:rsidP="003E3F37">
      <w:pPr>
        <w:jc w:val="both"/>
        <w:rPr>
          <w:sz w:val="20"/>
          <w:szCs w:val="20"/>
        </w:rPr>
      </w:pPr>
    </w:p>
    <w:p w:rsidR="00BE05A3" w:rsidRPr="00DA14B5" w:rsidRDefault="00BE05A3" w:rsidP="003E3F37">
      <w:pPr>
        <w:pStyle w:val="ae"/>
        <w:numPr>
          <w:ilvl w:val="0"/>
          <w:numId w:val="12"/>
        </w:numPr>
        <w:jc w:val="both"/>
        <w:rPr>
          <w:sz w:val="20"/>
          <w:szCs w:val="20"/>
        </w:rPr>
      </w:pPr>
      <w:r w:rsidRPr="00DA14B5">
        <w:rPr>
          <w:sz w:val="20"/>
          <w:szCs w:val="20"/>
        </w:rPr>
        <w:t>разработка проектных решений по переносу трансформаторных подстанций в подвальные помещения с целью  увеличения  полезной площади  здания;</w:t>
      </w:r>
    </w:p>
    <w:p w:rsidR="00BE05A3" w:rsidRPr="00DA14B5" w:rsidRDefault="00BE05A3" w:rsidP="003E3F37">
      <w:pPr>
        <w:pStyle w:val="ae"/>
        <w:numPr>
          <w:ilvl w:val="0"/>
          <w:numId w:val="12"/>
        </w:num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разработка  проектной документации по замене наружных сетей теплоснабжения, узла учета тепловой энергии, индивидуальных тепловых пунктов, и согласование ее с теплоснабжающими организациями. </w:t>
      </w:r>
    </w:p>
    <w:p w:rsidR="00BE05A3" w:rsidRPr="00DA14B5" w:rsidRDefault="00BE05A3" w:rsidP="003E3F37">
      <w:pPr>
        <w:pStyle w:val="ae"/>
        <w:ind w:left="851" w:firstLine="49"/>
        <w:rPr>
          <w:sz w:val="20"/>
          <w:szCs w:val="20"/>
        </w:rPr>
      </w:pPr>
      <w:r w:rsidRPr="00DA14B5">
        <w:rPr>
          <w:sz w:val="20"/>
          <w:szCs w:val="20"/>
        </w:rPr>
        <w:t xml:space="preserve">- продолжение работ по выполнению предписаний </w:t>
      </w:r>
      <w:r w:rsidR="001707B1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>ГПН Центрального района и другие работы.</w:t>
      </w:r>
    </w:p>
    <w:p w:rsidR="00DA14B5" w:rsidRPr="00DB3186" w:rsidRDefault="00DA14B5" w:rsidP="00BE05A3">
      <w:pPr>
        <w:spacing w:line="360" w:lineRule="auto"/>
        <w:jc w:val="center"/>
        <w:rPr>
          <w:sz w:val="20"/>
          <w:szCs w:val="20"/>
        </w:rPr>
      </w:pPr>
    </w:p>
    <w:p w:rsidR="00BE05A3" w:rsidRPr="00DA14B5" w:rsidRDefault="00BE05A3" w:rsidP="00BE05A3">
      <w:pPr>
        <w:spacing w:line="360" w:lineRule="auto"/>
        <w:jc w:val="center"/>
        <w:rPr>
          <w:sz w:val="20"/>
          <w:szCs w:val="20"/>
        </w:rPr>
      </w:pPr>
      <w:r w:rsidRPr="00DA14B5">
        <w:rPr>
          <w:sz w:val="20"/>
          <w:szCs w:val="20"/>
        </w:rPr>
        <w:t>Уважаемые акционеры</w:t>
      </w:r>
      <w:r w:rsidR="00C97509" w:rsidRPr="00DA14B5">
        <w:rPr>
          <w:sz w:val="20"/>
          <w:szCs w:val="20"/>
        </w:rPr>
        <w:t>!</w:t>
      </w:r>
    </w:p>
    <w:p w:rsidR="00BE05A3" w:rsidRPr="00DA14B5" w:rsidRDefault="00BE05A3" w:rsidP="003E3F37">
      <w:pPr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     Обществом в 2016 году использованы следующие виды и объемы энергетических   ресурсов:</w:t>
      </w:r>
    </w:p>
    <w:p w:rsidR="00BE05A3" w:rsidRPr="00DA14B5" w:rsidRDefault="00BE05A3" w:rsidP="003E3F37">
      <w:pPr>
        <w:rPr>
          <w:sz w:val="20"/>
          <w:szCs w:val="20"/>
        </w:rPr>
      </w:pPr>
      <w:r w:rsidRPr="00DA14B5">
        <w:rPr>
          <w:sz w:val="20"/>
          <w:szCs w:val="20"/>
        </w:rPr>
        <w:t xml:space="preserve">- </w:t>
      </w:r>
      <w:r w:rsidRPr="00DA14B5">
        <w:rPr>
          <w:b/>
          <w:sz w:val="20"/>
          <w:szCs w:val="20"/>
        </w:rPr>
        <w:t>тепловая энергия</w:t>
      </w:r>
      <w:r w:rsidRPr="00DA14B5">
        <w:rPr>
          <w:sz w:val="20"/>
          <w:szCs w:val="20"/>
        </w:rPr>
        <w:t xml:space="preserve">            - </w:t>
      </w:r>
      <w:r w:rsidRPr="00DA14B5">
        <w:rPr>
          <w:color w:val="FF0000"/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6 373  Гкал  - </w:t>
      </w:r>
    </w:p>
    <w:p w:rsidR="00BE05A3" w:rsidRPr="00DA14B5" w:rsidRDefault="00BE05A3" w:rsidP="003E3F37">
      <w:pPr>
        <w:rPr>
          <w:sz w:val="20"/>
          <w:szCs w:val="20"/>
        </w:rPr>
      </w:pPr>
      <w:r w:rsidRPr="00DA14B5">
        <w:rPr>
          <w:sz w:val="20"/>
          <w:szCs w:val="20"/>
        </w:rPr>
        <w:t xml:space="preserve">                                                 на сумму 10 млн.073 тыс. 624 руб.</w:t>
      </w:r>
    </w:p>
    <w:p w:rsidR="00BE05A3" w:rsidRPr="00DA14B5" w:rsidRDefault="00BE05A3" w:rsidP="003E3F37">
      <w:pPr>
        <w:rPr>
          <w:sz w:val="20"/>
          <w:szCs w:val="20"/>
        </w:rPr>
      </w:pPr>
    </w:p>
    <w:p w:rsidR="00BE05A3" w:rsidRPr="00DA14B5" w:rsidRDefault="00BE05A3" w:rsidP="003E3F37">
      <w:pPr>
        <w:rPr>
          <w:sz w:val="20"/>
          <w:szCs w:val="20"/>
        </w:rPr>
      </w:pPr>
      <w:r w:rsidRPr="00DA14B5">
        <w:rPr>
          <w:sz w:val="20"/>
          <w:szCs w:val="20"/>
        </w:rPr>
        <w:t xml:space="preserve">- </w:t>
      </w:r>
      <w:r w:rsidRPr="00DA14B5">
        <w:rPr>
          <w:b/>
          <w:sz w:val="20"/>
          <w:szCs w:val="20"/>
        </w:rPr>
        <w:t>электрическая энергия</w:t>
      </w:r>
      <w:r w:rsidRPr="00DA14B5">
        <w:rPr>
          <w:sz w:val="20"/>
          <w:szCs w:val="20"/>
        </w:rPr>
        <w:t xml:space="preserve">   - 8 154 883 Квт </w:t>
      </w:r>
    </w:p>
    <w:p w:rsidR="00BE05A3" w:rsidRPr="00DA14B5" w:rsidRDefault="00BE05A3" w:rsidP="003E3F37">
      <w:pPr>
        <w:rPr>
          <w:sz w:val="20"/>
          <w:szCs w:val="20"/>
        </w:rPr>
      </w:pPr>
      <w:r w:rsidRPr="00DA14B5">
        <w:rPr>
          <w:sz w:val="20"/>
          <w:szCs w:val="20"/>
        </w:rPr>
        <w:t xml:space="preserve">                                                на сумму 48 млн.425 тыс.603 руб.14 коп.</w:t>
      </w:r>
    </w:p>
    <w:p w:rsidR="00BE05A3" w:rsidRPr="00DA14B5" w:rsidRDefault="00BE05A3" w:rsidP="003E3F37">
      <w:pPr>
        <w:rPr>
          <w:sz w:val="20"/>
          <w:szCs w:val="20"/>
        </w:rPr>
      </w:pPr>
      <w:r w:rsidRPr="00DA14B5">
        <w:rPr>
          <w:color w:val="0D0D0D" w:themeColor="text1" w:themeTint="F2"/>
          <w:sz w:val="20"/>
          <w:szCs w:val="20"/>
        </w:rPr>
        <w:t xml:space="preserve">- </w:t>
      </w:r>
      <w:r w:rsidRPr="00DA14B5">
        <w:rPr>
          <w:b/>
          <w:color w:val="0D0D0D" w:themeColor="text1" w:themeTint="F2"/>
          <w:sz w:val="20"/>
          <w:szCs w:val="20"/>
        </w:rPr>
        <w:t>газ природный</w:t>
      </w:r>
      <w:r w:rsidRPr="00DA14B5">
        <w:rPr>
          <w:color w:val="0D0D0D" w:themeColor="text1" w:themeTint="F2"/>
          <w:sz w:val="20"/>
          <w:szCs w:val="20"/>
        </w:rPr>
        <w:t xml:space="preserve">             - </w:t>
      </w:r>
      <w:r w:rsidRPr="00DA14B5">
        <w:rPr>
          <w:sz w:val="20"/>
          <w:szCs w:val="20"/>
        </w:rPr>
        <w:t>4995 куб. м – на сумму 27 тыс. 219 руб.30 коп.</w:t>
      </w:r>
    </w:p>
    <w:p w:rsidR="00BE05A3" w:rsidRPr="00DA14B5" w:rsidRDefault="00BE05A3" w:rsidP="003E3F37">
      <w:pPr>
        <w:rPr>
          <w:sz w:val="20"/>
          <w:szCs w:val="20"/>
        </w:rPr>
      </w:pPr>
      <w:r w:rsidRPr="00DA14B5">
        <w:rPr>
          <w:b/>
          <w:sz w:val="20"/>
          <w:szCs w:val="20"/>
        </w:rPr>
        <w:t xml:space="preserve">- бензин автомобильный </w:t>
      </w:r>
      <w:r w:rsidRPr="00DA14B5">
        <w:rPr>
          <w:sz w:val="20"/>
          <w:szCs w:val="20"/>
        </w:rPr>
        <w:t xml:space="preserve">   -   40 </w:t>
      </w:r>
      <w:r w:rsidR="00B80078" w:rsidRPr="00DA14B5">
        <w:rPr>
          <w:sz w:val="20"/>
          <w:szCs w:val="20"/>
        </w:rPr>
        <w:t>11</w:t>
      </w:r>
      <w:r w:rsidRPr="00DA14B5">
        <w:rPr>
          <w:sz w:val="20"/>
          <w:szCs w:val="20"/>
        </w:rPr>
        <w:t xml:space="preserve">1 литра </w:t>
      </w:r>
    </w:p>
    <w:p w:rsidR="00BE05A3" w:rsidRPr="00DA14B5" w:rsidRDefault="00BE05A3" w:rsidP="003E3F37">
      <w:pPr>
        <w:rPr>
          <w:sz w:val="20"/>
          <w:szCs w:val="20"/>
        </w:rPr>
      </w:pPr>
      <w:r w:rsidRPr="00DA14B5">
        <w:rPr>
          <w:sz w:val="20"/>
          <w:szCs w:val="20"/>
        </w:rPr>
        <w:t xml:space="preserve">                                                      на сумму  1 млн. 15</w:t>
      </w:r>
      <w:r w:rsidR="00B80078" w:rsidRPr="00DA14B5">
        <w:rPr>
          <w:sz w:val="20"/>
          <w:szCs w:val="20"/>
        </w:rPr>
        <w:t>2</w:t>
      </w:r>
      <w:r w:rsidRPr="00DA14B5">
        <w:rPr>
          <w:sz w:val="20"/>
          <w:szCs w:val="20"/>
        </w:rPr>
        <w:t xml:space="preserve"> тыс. </w:t>
      </w:r>
      <w:r w:rsidR="00B80078" w:rsidRPr="00DA14B5">
        <w:rPr>
          <w:sz w:val="20"/>
          <w:szCs w:val="20"/>
        </w:rPr>
        <w:t>808</w:t>
      </w:r>
      <w:r w:rsidRPr="00DA14B5">
        <w:rPr>
          <w:sz w:val="20"/>
          <w:szCs w:val="20"/>
        </w:rPr>
        <w:t xml:space="preserve"> руб.</w:t>
      </w:r>
    </w:p>
    <w:p w:rsidR="00BE05A3" w:rsidRPr="00DA14B5" w:rsidRDefault="00BE05A3" w:rsidP="003E3F37">
      <w:pPr>
        <w:rPr>
          <w:sz w:val="20"/>
          <w:szCs w:val="20"/>
        </w:rPr>
      </w:pPr>
      <w:r w:rsidRPr="00DA14B5">
        <w:rPr>
          <w:sz w:val="20"/>
          <w:szCs w:val="20"/>
        </w:rPr>
        <w:t xml:space="preserve">- </w:t>
      </w:r>
      <w:r w:rsidRPr="00DA14B5">
        <w:rPr>
          <w:b/>
          <w:sz w:val="20"/>
          <w:szCs w:val="20"/>
        </w:rPr>
        <w:t xml:space="preserve">дизельное топливо   </w:t>
      </w:r>
      <w:r w:rsidRPr="00DA14B5">
        <w:rPr>
          <w:sz w:val="20"/>
          <w:szCs w:val="20"/>
        </w:rPr>
        <w:t xml:space="preserve"> –   13 7</w:t>
      </w:r>
      <w:r w:rsidR="00B80078" w:rsidRPr="00DA14B5">
        <w:rPr>
          <w:sz w:val="20"/>
          <w:szCs w:val="20"/>
        </w:rPr>
        <w:t>6</w:t>
      </w:r>
      <w:r w:rsidRPr="00DA14B5">
        <w:rPr>
          <w:sz w:val="20"/>
          <w:szCs w:val="20"/>
        </w:rPr>
        <w:t>0  литр</w:t>
      </w:r>
      <w:r w:rsidR="00B21AD6" w:rsidRPr="00DA14B5">
        <w:rPr>
          <w:sz w:val="20"/>
          <w:szCs w:val="20"/>
        </w:rPr>
        <w:t>ов</w:t>
      </w:r>
      <w:r w:rsidRPr="00DA14B5">
        <w:rPr>
          <w:sz w:val="20"/>
          <w:szCs w:val="20"/>
        </w:rPr>
        <w:t xml:space="preserve">  на сумму 38</w:t>
      </w:r>
      <w:r w:rsidR="00B21AD6" w:rsidRPr="00DA14B5">
        <w:rPr>
          <w:sz w:val="20"/>
          <w:szCs w:val="20"/>
        </w:rPr>
        <w:t>0</w:t>
      </w:r>
      <w:r w:rsidRPr="00DA14B5">
        <w:rPr>
          <w:sz w:val="20"/>
          <w:szCs w:val="20"/>
        </w:rPr>
        <w:t xml:space="preserve"> тыс. </w:t>
      </w:r>
      <w:r w:rsidR="00B21AD6" w:rsidRPr="00DA14B5">
        <w:rPr>
          <w:sz w:val="20"/>
          <w:szCs w:val="20"/>
        </w:rPr>
        <w:t>778</w:t>
      </w:r>
      <w:r w:rsidRPr="00DA14B5">
        <w:rPr>
          <w:sz w:val="20"/>
          <w:szCs w:val="20"/>
        </w:rPr>
        <w:t xml:space="preserve"> руб. </w:t>
      </w:r>
    </w:p>
    <w:p w:rsidR="00BE05A3" w:rsidRPr="00DA14B5" w:rsidRDefault="00BE05A3" w:rsidP="003E3F37">
      <w:pPr>
        <w:rPr>
          <w:sz w:val="20"/>
          <w:szCs w:val="20"/>
        </w:rPr>
      </w:pPr>
      <w:r w:rsidRPr="00DA14B5">
        <w:rPr>
          <w:sz w:val="20"/>
          <w:szCs w:val="20"/>
        </w:rPr>
        <w:t xml:space="preserve">  </w:t>
      </w:r>
      <w:r w:rsidR="00565D40" w:rsidRPr="00DA14B5">
        <w:rPr>
          <w:sz w:val="20"/>
          <w:szCs w:val="20"/>
        </w:rPr>
        <w:t>-</w:t>
      </w:r>
      <w:r w:rsidR="00565D40" w:rsidRPr="00DA14B5">
        <w:rPr>
          <w:b/>
          <w:sz w:val="20"/>
          <w:szCs w:val="20"/>
        </w:rPr>
        <w:t>в</w:t>
      </w:r>
      <w:r w:rsidRPr="00DA14B5">
        <w:rPr>
          <w:b/>
          <w:sz w:val="20"/>
          <w:szCs w:val="20"/>
        </w:rPr>
        <w:t>одопотребление</w:t>
      </w:r>
      <w:r w:rsidRPr="00DA14B5">
        <w:rPr>
          <w:sz w:val="20"/>
          <w:szCs w:val="20"/>
        </w:rPr>
        <w:t xml:space="preserve">      - 51 747 </w:t>
      </w:r>
      <w:proofErr w:type="spellStart"/>
      <w:r w:rsidRPr="00DA14B5">
        <w:rPr>
          <w:sz w:val="20"/>
          <w:szCs w:val="20"/>
        </w:rPr>
        <w:t>куб</w:t>
      </w:r>
      <w:proofErr w:type="gramStart"/>
      <w:r w:rsidRPr="00DA14B5">
        <w:rPr>
          <w:sz w:val="20"/>
          <w:szCs w:val="20"/>
        </w:rPr>
        <w:t>.м</w:t>
      </w:r>
      <w:proofErr w:type="spellEnd"/>
      <w:proofErr w:type="gramEnd"/>
      <w:r w:rsidRPr="00DA14B5">
        <w:rPr>
          <w:sz w:val="20"/>
          <w:szCs w:val="20"/>
        </w:rPr>
        <w:t xml:space="preserve">  на сумму  1 млн. 598 тыс. 389 руб.</w:t>
      </w:r>
    </w:p>
    <w:p w:rsidR="00BE05A3" w:rsidRPr="00DA14B5" w:rsidRDefault="00BE05A3" w:rsidP="003E3F37">
      <w:pPr>
        <w:rPr>
          <w:sz w:val="20"/>
          <w:szCs w:val="20"/>
        </w:rPr>
      </w:pPr>
      <w:r w:rsidRPr="00DA14B5">
        <w:rPr>
          <w:sz w:val="20"/>
          <w:szCs w:val="20"/>
        </w:rPr>
        <w:t xml:space="preserve"> </w:t>
      </w:r>
      <w:r w:rsidR="00565D40" w:rsidRPr="00DA14B5">
        <w:rPr>
          <w:sz w:val="20"/>
          <w:szCs w:val="20"/>
        </w:rPr>
        <w:t>-</w:t>
      </w:r>
      <w:r w:rsidRPr="00DA14B5">
        <w:rPr>
          <w:sz w:val="20"/>
          <w:szCs w:val="20"/>
        </w:rPr>
        <w:t xml:space="preserve"> </w:t>
      </w:r>
      <w:r w:rsidR="00565D40" w:rsidRPr="00DA14B5">
        <w:rPr>
          <w:b/>
          <w:sz w:val="20"/>
          <w:szCs w:val="20"/>
        </w:rPr>
        <w:t>в</w:t>
      </w:r>
      <w:r w:rsidRPr="00DA14B5">
        <w:rPr>
          <w:b/>
          <w:sz w:val="20"/>
          <w:szCs w:val="20"/>
        </w:rPr>
        <w:t xml:space="preserve">одоотведение          -  </w:t>
      </w:r>
      <w:r w:rsidRPr="00DA14B5">
        <w:rPr>
          <w:sz w:val="20"/>
          <w:szCs w:val="20"/>
        </w:rPr>
        <w:t xml:space="preserve"> 80 836 </w:t>
      </w:r>
      <w:proofErr w:type="spellStart"/>
      <w:r w:rsidRPr="00DA14B5">
        <w:rPr>
          <w:sz w:val="20"/>
          <w:szCs w:val="20"/>
        </w:rPr>
        <w:t>куб</w:t>
      </w:r>
      <w:proofErr w:type="gramStart"/>
      <w:r w:rsidRPr="00DA14B5">
        <w:rPr>
          <w:sz w:val="20"/>
          <w:szCs w:val="20"/>
        </w:rPr>
        <w:t>.м</w:t>
      </w:r>
      <w:proofErr w:type="spellEnd"/>
      <w:proofErr w:type="gramEnd"/>
      <w:r w:rsidRPr="00DA14B5">
        <w:rPr>
          <w:sz w:val="20"/>
          <w:szCs w:val="20"/>
        </w:rPr>
        <w:t xml:space="preserve"> </w:t>
      </w:r>
      <w:r w:rsidR="00565D40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>на сумму  2 млн. 901 тыс. 603 руб.</w:t>
      </w:r>
    </w:p>
    <w:p w:rsidR="00BE05A3" w:rsidRPr="00DA14B5" w:rsidRDefault="00BE05A3" w:rsidP="003E3F37">
      <w:pPr>
        <w:rPr>
          <w:sz w:val="20"/>
          <w:szCs w:val="20"/>
        </w:rPr>
      </w:pPr>
    </w:p>
    <w:p w:rsidR="008B45A4" w:rsidRPr="00DA14B5" w:rsidRDefault="008B45A4" w:rsidP="008B45A4">
      <w:pPr>
        <w:spacing w:line="360" w:lineRule="auto"/>
        <w:jc w:val="center"/>
        <w:rPr>
          <w:sz w:val="20"/>
          <w:szCs w:val="20"/>
        </w:rPr>
      </w:pPr>
      <w:r w:rsidRPr="00DA14B5">
        <w:rPr>
          <w:sz w:val="20"/>
          <w:szCs w:val="20"/>
        </w:rPr>
        <w:t>Уважаемые акционеры</w:t>
      </w:r>
      <w:r w:rsidR="00211517" w:rsidRPr="00DA14B5">
        <w:rPr>
          <w:sz w:val="20"/>
          <w:szCs w:val="20"/>
        </w:rPr>
        <w:t>!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Развитие потребительского рынка</w:t>
      </w:r>
      <w:r w:rsidR="00565D40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и, прежде всего, розничной торговли является одним из индикаторов состояния экономики. Потребительский рынок выполняет важные экономические и социальные функции, в том числе по поддержанию достойного уровня жизни населения, занятости, развитию малого </w:t>
      </w:r>
      <w:r w:rsidR="00565D40" w:rsidRPr="00DA14B5">
        <w:rPr>
          <w:sz w:val="20"/>
          <w:szCs w:val="20"/>
        </w:rPr>
        <w:t>бизнеса и ряду</w:t>
      </w:r>
      <w:r w:rsidRPr="00DA14B5">
        <w:rPr>
          <w:sz w:val="20"/>
          <w:szCs w:val="20"/>
        </w:rPr>
        <w:t xml:space="preserve"> других задач по обеспечению экономической ст</w:t>
      </w:r>
      <w:r w:rsidR="00565D40" w:rsidRPr="00DA14B5">
        <w:rPr>
          <w:sz w:val="20"/>
          <w:szCs w:val="20"/>
        </w:rPr>
        <w:t>абильности страны. Вместе с тем</w:t>
      </w:r>
      <w:r w:rsidRPr="00DA14B5">
        <w:rPr>
          <w:sz w:val="20"/>
          <w:szCs w:val="20"/>
        </w:rPr>
        <w:t xml:space="preserve"> рынок </w:t>
      </w:r>
      <w:r w:rsidRPr="00DA14B5">
        <w:rPr>
          <w:sz w:val="20"/>
          <w:szCs w:val="20"/>
        </w:rPr>
        <w:lastRenderedPageBreak/>
        <w:t>розничной торговли подвержен макроэкономическим рискам, влияние которых отразилось и на деятельности ОАО «Большой Гостиный Двор».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К отраслевым рискам, в первую очередь, относится изменение объема платежеспособного потребительского спроса. Снижение роста реальных располагаемых денежных доходов населения при достаточно высоком уровне цен (по данным Министерства </w:t>
      </w:r>
      <w:r w:rsidR="00565D40" w:rsidRPr="00DA14B5">
        <w:rPr>
          <w:sz w:val="20"/>
          <w:szCs w:val="20"/>
        </w:rPr>
        <w:t>э</w:t>
      </w:r>
      <w:r w:rsidRPr="00DA14B5">
        <w:rPr>
          <w:sz w:val="20"/>
          <w:szCs w:val="20"/>
        </w:rPr>
        <w:t>кономического развития</w:t>
      </w:r>
      <w:r w:rsidR="00565D40" w:rsidRPr="00DA14B5">
        <w:rPr>
          <w:sz w:val="20"/>
          <w:szCs w:val="20"/>
        </w:rPr>
        <w:t xml:space="preserve"> России </w:t>
      </w:r>
      <w:r w:rsidRPr="00DA14B5">
        <w:rPr>
          <w:sz w:val="20"/>
          <w:szCs w:val="20"/>
        </w:rPr>
        <w:t xml:space="preserve"> рост цен составил 7,5%) усугубляется ростом прожиточного минимума и потребительской корзины. Население все еще не стремится отходить от сберегательной модели поведения, что приводит к продолжающемуся сокращению розничного товарооборота, кроме того, продолжает сокращаться потребительское кредитование, негативная динамика которого сдерживает потребительский спрос. В целях минимизации последствий этого явления </w:t>
      </w:r>
      <w:r w:rsidR="00565D40" w:rsidRPr="00DA14B5">
        <w:rPr>
          <w:sz w:val="20"/>
          <w:szCs w:val="20"/>
        </w:rPr>
        <w:t xml:space="preserve">Общество </w:t>
      </w:r>
      <w:r w:rsidRPr="00DA14B5">
        <w:rPr>
          <w:sz w:val="20"/>
          <w:szCs w:val="20"/>
        </w:rPr>
        <w:t xml:space="preserve">придерживается дифференцированной ценовой политики и обеспечивает удовлетворение потребительского спроса различных ценовых предпочтений. Экономические санкции внесли коррективы и в закупочную политику, сместив предпочтения в сторону </w:t>
      </w:r>
      <w:proofErr w:type="spellStart"/>
      <w:r w:rsidRPr="00DA14B5">
        <w:rPr>
          <w:sz w:val="20"/>
          <w:szCs w:val="20"/>
        </w:rPr>
        <w:t>импортозамещения</w:t>
      </w:r>
      <w:proofErr w:type="spellEnd"/>
      <w:r w:rsidRPr="00DA14B5">
        <w:rPr>
          <w:sz w:val="20"/>
          <w:szCs w:val="20"/>
        </w:rPr>
        <w:t>. Таким образом, у покупателей осталась возможность выбора товаров различных ценовых категорий, а российские производители товаров получили мощную поддержку по сбыту своей продукции.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При описании влияния финансовых рисков на деятельность Общества, следует остановиться на отдельных его составляющих, таких, как инфляция, риск операций с иностранной валютой и банковскими процентными ставками. 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Инфляция, которая по-прежнему остается</w:t>
      </w:r>
      <w:r w:rsidR="00EB3A58" w:rsidRPr="00DA14B5">
        <w:rPr>
          <w:sz w:val="20"/>
          <w:szCs w:val="20"/>
        </w:rPr>
        <w:t xml:space="preserve"> высокой (по официальным данным - </w:t>
      </w:r>
      <w:r w:rsidRPr="00DA14B5">
        <w:rPr>
          <w:sz w:val="20"/>
          <w:szCs w:val="20"/>
        </w:rPr>
        <w:t xml:space="preserve"> 5,4%, но реальная инфляция минимум 7,5</w:t>
      </w:r>
      <w:r w:rsidR="00EB3A58" w:rsidRPr="00DA14B5">
        <w:rPr>
          <w:sz w:val="20"/>
          <w:szCs w:val="20"/>
        </w:rPr>
        <w:t>%</w:t>
      </w:r>
      <w:r w:rsidRPr="00DA14B5">
        <w:rPr>
          <w:sz w:val="20"/>
          <w:szCs w:val="20"/>
        </w:rPr>
        <w:t>-8%) негативно сказывается на финансовых результатах, поскольку рост цен приводит к росту затрат, замедлению оборачиваемости товарных запасов, что в конечном итоге приводит к снижению прибыли.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Риск, связанный с процентными ставками, связан только с финансовыми вложениями, поскольку Общество придерживается консервативной</w:t>
      </w:r>
      <w:r w:rsidR="00EB3A58" w:rsidRPr="00DA14B5">
        <w:rPr>
          <w:sz w:val="20"/>
          <w:szCs w:val="20"/>
        </w:rPr>
        <w:t xml:space="preserve"> политики финансирования и осуществляет</w:t>
      </w:r>
      <w:r w:rsidRPr="00DA14B5">
        <w:rPr>
          <w:sz w:val="20"/>
          <w:szCs w:val="20"/>
        </w:rPr>
        <w:t xml:space="preserve"> деятельность исключительно за счет собственных</w:t>
      </w:r>
      <w:r w:rsidR="0010070F" w:rsidRPr="00DA14B5">
        <w:rPr>
          <w:sz w:val="20"/>
          <w:szCs w:val="20"/>
        </w:rPr>
        <w:t>, а не заемных</w:t>
      </w:r>
      <w:r w:rsidRPr="00DA14B5">
        <w:rPr>
          <w:sz w:val="20"/>
          <w:szCs w:val="20"/>
        </w:rPr>
        <w:t xml:space="preserve"> средств. Временно свободные денежные средства размещены на депозитах в трех валютах (</w:t>
      </w:r>
      <w:r w:rsidR="001601A5" w:rsidRPr="00DA14B5">
        <w:rPr>
          <w:sz w:val="20"/>
          <w:szCs w:val="20"/>
        </w:rPr>
        <w:t>р</w:t>
      </w:r>
      <w:r w:rsidRPr="00DA14B5">
        <w:rPr>
          <w:sz w:val="20"/>
          <w:szCs w:val="20"/>
        </w:rPr>
        <w:t xml:space="preserve">оссийский рубль, </w:t>
      </w:r>
      <w:r w:rsidR="001601A5" w:rsidRPr="00DA14B5">
        <w:rPr>
          <w:sz w:val="20"/>
          <w:szCs w:val="20"/>
        </w:rPr>
        <w:t>д</w:t>
      </w:r>
      <w:r w:rsidRPr="00DA14B5">
        <w:rPr>
          <w:sz w:val="20"/>
          <w:szCs w:val="20"/>
        </w:rPr>
        <w:t xml:space="preserve">оллар США и Евро) в крупнейших банках, имеющих долю государственного участия. Таким образом, риск изменения процентных ставок диверсифицирован и его значение для финансовой устойчивости минимально. В отчетный период </w:t>
      </w:r>
      <w:r w:rsidR="001601A5" w:rsidRPr="00DA14B5">
        <w:rPr>
          <w:sz w:val="20"/>
          <w:szCs w:val="20"/>
        </w:rPr>
        <w:t>Общество  обладало</w:t>
      </w:r>
      <w:r w:rsidRPr="00DA14B5">
        <w:rPr>
          <w:sz w:val="20"/>
          <w:szCs w:val="20"/>
        </w:rPr>
        <w:t xml:space="preserve"> большим запасом автономии</w:t>
      </w:r>
      <w:r w:rsidR="001601A5" w:rsidRPr="00DA14B5">
        <w:rPr>
          <w:sz w:val="20"/>
          <w:szCs w:val="20"/>
        </w:rPr>
        <w:t xml:space="preserve"> и ликвидности, не испытывая</w:t>
      </w:r>
      <w:r w:rsidRPr="00DA14B5">
        <w:rPr>
          <w:sz w:val="20"/>
          <w:szCs w:val="20"/>
        </w:rPr>
        <w:t xml:space="preserve"> потребности в заемных денежных средствах.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Влияние валютного риска на деятельность ОАО «Большой Гостиный Двор» разнонаправленно: с одной стороны</w:t>
      </w:r>
      <w:r w:rsidR="00FF04B0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колебания валютных курсов влияют на себестоимость товара, с другой стороны – на показатели финансово-хозяйственной деятельности в части курсовой разницы от размещенных валютных депозитов. Влияние на себестоимость корректируется закупочной политикой, ориентацией в сторону </w:t>
      </w:r>
      <w:proofErr w:type="spellStart"/>
      <w:r w:rsidRPr="00DA14B5">
        <w:rPr>
          <w:sz w:val="20"/>
          <w:szCs w:val="20"/>
        </w:rPr>
        <w:t>импортозамещения</w:t>
      </w:r>
      <w:proofErr w:type="spellEnd"/>
      <w:r w:rsidRPr="00DA14B5">
        <w:rPr>
          <w:sz w:val="20"/>
          <w:szCs w:val="20"/>
        </w:rPr>
        <w:t xml:space="preserve"> и сотрудничество</w:t>
      </w:r>
      <w:r w:rsidR="00FF04B0" w:rsidRPr="00DA14B5">
        <w:rPr>
          <w:sz w:val="20"/>
          <w:szCs w:val="20"/>
        </w:rPr>
        <w:t>м</w:t>
      </w:r>
      <w:r w:rsidRPr="00DA14B5">
        <w:rPr>
          <w:sz w:val="20"/>
          <w:szCs w:val="20"/>
        </w:rPr>
        <w:t xml:space="preserve"> с российскими производителями. Влияние динамики курсов валют на показатели прибыли более значительны, но размещение денежных средств в иностранной валюте  в долгосрочной  перспективе  исключает  их  обесцен</w:t>
      </w:r>
      <w:r w:rsidR="004A776F" w:rsidRPr="00DA14B5">
        <w:rPr>
          <w:sz w:val="20"/>
          <w:szCs w:val="20"/>
        </w:rPr>
        <w:t>ивание</w:t>
      </w:r>
      <w:r w:rsidRPr="00DA14B5">
        <w:rPr>
          <w:sz w:val="20"/>
          <w:szCs w:val="20"/>
        </w:rPr>
        <w:t>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Российская Федерация, являясь частью мировой экономики, подвержена внешним воздействиям </w:t>
      </w:r>
      <w:proofErr w:type="spellStart"/>
      <w:r w:rsidRPr="00DA14B5">
        <w:rPr>
          <w:sz w:val="20"/>
          <w:szCs w:val="20"/>
        </w:rPr>
        <w:t>странового</w:t>
      </w:r>
      <w:proofErr w:type="spellEnd"/>
      <w:r w:rsidRPr="00DA14B5">
        <w:rPr>
          <w:sz w:val="20"/>
          <w:szCs w:val="20"/>
        </w:rPr>
        <w:t xml:space="preserve"> риска, особенно негативным изменениям в экономиках других государств,</w:t>
      </w:r>
      <w:r w:rsidR="00D456DD" w:rsidRPr="00DA14B5">
        <w:rPr>
          <w:sz w:val="20"/>
          <w:szCs w:val="20"/>
        </w:rPr>
        <w:t xml:space="preserve"> </w:t>
      </w:r>
      <w:r w:rsidR="00590FC0" w:rsidRPr="00DA14B5">
        <w:rPr>
          <w:sz w:val="20"/>
          <w:szCs w:val="20"/>
        </w:rPr>
        <w:t>а</w:t>
      </w:r>
      <w:r w:rsidRPr="00DA14B5">
        <w:rPr>
          <w:sz w:val="20"/>
          <w:szCs w:val="20"/>
        </w:rPr>
        <w:t xml:space="preserve"> колебания мировых цен на энергетические ресурсы в конечном итоге сказываются и на внутреннем потребительском рынке. 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качестве реализации внутреннего </w:t>
      </w:r>
      <w:proofErr w:type="spellStart"/>
      <w:r w:rsidRPr="00DA14B5">
        <w:rPr>
          <w:sz w:val="20"/>
          <w:szCs w:val="20"/>
        </w:rPr>
        <w:t>странового</w:t>
      </w:r>
      <w:proofErr w:type="spellEnd"/>
      <w:r w:rsidRPr="00DA14B5">
        <w:rPr>
          <w:sz w:val="20"/>
          <w:szCs w:val="20"/>
        </w:rPr>
        <w:t xml:space="preserve"> рынка наиболее значимыми являются  </w:t>
      </w:r>
      <w:r w:rsidR="00D456DD" w:rsidRPr="00DA14B5">
        <w:rPr>
          <w:sz w:val="20"/>
          <w:szCs w:val="20"/>
        </w:rPr>
        <w:t>нормативные акты</w:t>
      </w:r>
      <w:r w:rsidRPr="00DA14B5">
        <w:rPr>
          <w:sz w:val="20"/>
          <w:szCs w:val="20"/>
        </w:rPr>
        <w:t>, регламентирующие розничную торговлю</w:t>
      </w:r>
      <w:r w:rsidR="009B3254" w:rsidRPr="00DA14B5">
        <w:rPr>
          <w:sz w:val="20"/>
          <w:szCs w:val="20"/>
        </w:rPr>
        <w:t xml:space="preserve">.  </w:t>
      </w:r>
      <w:proofErr w:type="gramStart"/>
      <w:r w:rsidR="009B3254" w:rsidRPr="00DA14B5">
        <w:rPr>
          <w:sz w:val="20"/>
          <w:szCs w:val="20"/>
        </w:rPr>
        <w:t>В связи  с вступлением в силу Федерального закона Российской Федерации от 29.06.2015 № 182 «О внесении изменений в Федеральный закон  «О государственном регулировании производства и оборота этилового  спирта, алкогольной и спиртосодержащей продукции  и об ограничении потребления  алкогольной продукции»</w:t>
      </w:r>
      <w:r w:rsidR="00D456DD" w:rsidRPr="00DA14B5">
        <w:rPr>
          <w:sz w:val="20"/>
          <w:szCs w:val="20"/>
        </w:rPr>
        <w:t xml:space="preserve"> </w:t>
      </w:r>
      <w:r w:rsidR="009B3254" w:rsidRPr="00DA14B5">
        <w:rPr>
          <w:sz w:val="20"/>
          <w:szCs w:val="20"/>
        </w:rPr>
        <w:t xml:space="preserve"> </w:t>
      </w:r>
      <w:r w:rsidR="008E14FD" w:rsidRPr="00DA14B5">
        <w:rPr>
          <w:sz w:val="20"/>
          <w:szCs w:val="20"/>
        </w:rPr>
        <w:t xml:space="preserve">для исполнения требований закона </w:t>
      </w:r>
      <w:r w:rsidR="009B3254" w:rsidRPr="00DA14B5">
        <w:rPr>
          <w:sz w:val="20"/>
          <w:szCs w:val="20"/>
        </w:rPr>
        <w:t xml:space="preserve">Обществом  было закуплено новое оборудование  для автоматизации  десяти рабочих мест  </w:t>
      </w:r>
      <w:r w:rsidR="008E14FD" w:rsidRPr="00DA14B5">
        <w:rPr>
          <w:sz w:val="20"/>
          <w:szCs w:val="20"/>
        </w:rPr>
        <w:t>для</w:t>
      </w:r>
      <w:r w:rsidR="009B3254" w:rsidRPr="00DA14B5">
        <w:rPr>
          <w:sz w:val="20"/>
          <w:szCs w:val="20"/>
        </w:rPr>
        <w:t xml:space="preserve"> продажи </w:t>
      </w:r>
      <w:r w:rsidR="008E14FD" w:rsidRPr="00DA14B5">
        <w:rPr>
          <w:sz w:val="20"/>
          <w:szCs w:val="20"/>
        </w:rPr>
        <w:t xml:space="preserve"> </w:t>
      </w:r>
      <w:r w:rsidR="009B3254" w:rsidRPr="00DA14B5">
        <w:rPr>
          <w:sz w:val="20"/>
          <w:szCs w:val="20"/>
        </w:rPr>
        <w:t>алкогольной продукции.</w:t>
      </w:r>
      <w:proofErr w:type="gramEnd"/>
      <w:r w:rsidR="009B3254" w:rsidRPr="00DA14B5">
        <w:rPr>
          <w:sz w:val="20"/>
          <w:szCs w:val="20"/>
        </w:rPr>
        <w:t xml:space="preserve"> Также  была проведена доработка кассового программного обеспечения для автоматического учета объема розничных продаж  алкогольной и спиртосодержащей  продукции.</w:t>
      </w:r>
      <w:r w:rsidRPr="00DA14B5">
        <w:rPr>
          <w:sz w:val="20"/>
          <w:szCs w:val="20"/>
        </w:rPr>
        <w:t xml:space="preserve"> </w:t>
      </w:r>
      <w:r w:rsidR="008E14FD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В 2016 г. ощутимым для деятельности </w:t>
      </w:r>
      <w:r w:rsidR="00017EE0" w:rsidRPr="00DA14B5">
        <w:rPr>
          <w:sz w:val="20"/>
          <w:szCs w:val="20"/>
        </w:rPr>
        <w:t xml:space="preserve"> у</w:t>
      </w:r>
      <w:r w:rsidRPr="00DA14B5">
        <w:rPr>
          <w:sz w:val="20"/>
          <w:szCs w:val="20"/>
        </w:rPr>
        <w:t>нивермага стало постановление Правительства РФ №787 от 11.08.2016, которое обяз</w:t>
      </w:r>
      <w:r w:rsidR="00017EE0" w:rsidRPr="00DA14B5">
        <w:rPr>
          <w:sz w:val="20"/>
          <w:szCs w:val="20"/>
        </w:rPr>
        <w:t>ало</w:t>
      </w:r>
      <w:r w:rsidRPr="00DA14B5">
        <w:rPr>
          <w:sz w:val="20"/>
          <w:szCs w:val="20"/>
        </w:rPr>
        <w:t xml:space="preserve"> производителей, продавцов и импортеров маркировать изделия из натурального меха специальными контрольными (идентификационными) знаками — </w:t>
      </w:r>
      <w:proofErr w:type="spellStart"/>
      <w:r w:rsidRPr="00DA14B5">
        <w:rPr>
          <w:sz w:val="20"/>
          <w:szCs w:val="20"/>
        </w:rPr>
        <w:t>КиЗ</w:t>
      </w:r>
      <w:proofErr w:type="spellEnd"/>
      <w:r w:rsidRPr="00DA14B5">
        <w:rPr>
          <w:sz w:val="20"/>
          <w:szCs w:val="20"/>
        </w:rPr>
        <w:t xml:space="preserve">. Поскольку об обязательном характере маркировки изделий стало известно незадолго до вступления его в силу, в  </w:t>
      </w:r>
      <w:r w:rsidR="00017EE0" w:rsidRPr="00DA14B5">
        <w:rPr>
          <w:sz w:val="20"/>
          <w:szCs w:val="20"/>
        </w:rPr>
        <w:t>у</w:t>
      </w:r>
      <w:r w:rsidRPr="00DA14B5">
        <w:rPr>
          <w:sz w:val="20"/>
          <w:szCs w:val="20"/>
        </w:rPr>
        <w:t xml:space="preserve">нивермаге пришлось временно приостановить торговлю меховыми изделиями, что привело к снижению товарооборота. 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2016г. в нашей стране  началась очередная реформа системы </w:t>
      </w:r>
      <w:proofErr w:type="gramStart"/>
      <w:r w:rsidRPr="00DA14B5">
        <w:rPr>
          <w:sz w:val="20"/>
          <w:szCs w:val="20"/>
        </w:rPr>
        <w:t>контроля за</w:t>
      </w:r>
      <w:proofErr w:type="gramEnd"/>
      <w:r w:rsidRPr="00DA14B5">
        <w:rPr>
          <w:sz w:val="20"/>
          <w:szCs w:val="20"/>
        </w:rPr>
        <w:t xml:space="preserve"> осуществлением денежных расчетов и расчетов с использованием платежных карт. 14 июня 2016г. Государственная Дума приняла поправки к Ф</w:t>
      </w:r>
      <w:r w:rsidR="00017EE0" w:rsidRPr="00DA14B5">
        <w:rPr>
          <w:sz w:val="20"/>
          <w:szCs w:val="20"/>
        </w:rPr>
        <w:t xml:space="preserve">едеральному </w:t>
      </w:r>
      <w:r w:rsidRPr="00DA14B5">
        <w:rPr>
          <w:sz w:val="20"/>
          <w:szCs w:val="20"/>
        </w:rPr>
        <w:t>З</w:t>
      </w:r>
      <w:r w:rsidR="00017EE0" w:rsidRPr="00DA14B5">
        <w:rPr>
          <w:sz w:val="20"/>
          <w:szCs w:val="20"/>
        </w:rPr>
        <w:t>акону №</w:t>
      </w:r>
      <w:r w:rsidRPr="00DA14B5">
        <w:rPr>
          <w:sz w:val="20"/>
          <w:szCs w:val="20"/>
        </w:rPr>
        <w:t xml:space="preserve">54, который определяет правила применения контрольно-кассовой техники при расчетах с населением. Согласно этим поправкам все данные о продажах кассовые аппараты в режиме </w:t>
      </w:r>
      <w:r w:rsidRPr="00DA14B5">
        <w:rPr>
          <w:sz w:val="20"/>
          <w:szCs w:val="20"/>
          <w:lang w:val="en-US"/>
        </w:rPr>
        <w:t>on</w:t>
      </w:r>
      <w:r w:rsidRPr="00DA14B5">
        <w:rPr>
          <w:sz w:val="20"/>
          <w:szCs w:val="20"/>
        </w:rPr>
        <w:t>-</w:t>
      </w:r>
      <w:r w:rsidRPr="00DA14B5">
        <w:rPr>
          <w:sz w:val="20"/>
          <w:szCs w:val="20"/>
          <w:lang w:val="en-US"/>
        </w:rPr>
        <w:t>line</w:t>
      </w:r>
      <w:r w:rsidRPr="00DA14B5">
        <w:rPr>
          <w:sz w:val="20"/>
          <w:szCs w:val="20"/>
        </w:rPr>
        <w:t xml:space="preserve"> будут обязаны передавать операторам фискальных данных.</w:t>
      </w:r>
      <w:r w:rsidR="00017EE0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Полный переход все</w:t>
      </w:r>
      <w:r w:rsidR="00B61FAA" w:rsidRPr="00DA14B5">
        <w:rPr>
          <w:sz w:val="20"/>
          <w:szCs w:val="20"/>
        </w:rPr>
        <w:t>й</w:t>
      </w:r>
      <w:r w:rsidRPr="00DA14B5">
        <w:rPr>
          <w:sz w:val="20"/>
          <w:szCs w:val="20"/>
        </w:rPr>
        <w:t xml:space="preserve"> кассовой техники на такую работу должен завершиться к 01.07.2017г. В связи с </w:t>
      </w:r>
      <w:r w:rsidR="00017EE0" w:rsidRPr="00DA14B5">
        <w:rPr>
          <w:sz w:val="20"/>
          <w:szCs w:val="20"/>
        </w:rPr>
        <w:t>новыми требованиями закона</w:t>
      </w:r>
      <w:r w:rsidRPr="00DA14B5">
        <w:rPr>
          <w:sz w:val="20"/>
          <w:szCs w:val="20"/>
        </w:rPr>
        <w:t xml:space="preserve"> на предприятие ложатся издержки, связанные с переоборудованием </w:t>
      </w:r>
      <w:r w:rsidR="00017EE0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>контрольно-кассовых узлов,  обновлением программного обеспечения и обучением персонала. Дополнительные расходы, понесенные универмагом, скажутся на общем финансовом результате первого полугодия 2017г.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lastRenderedPageBreak/>
        <w:t>Общее падение реальных доходов жителей России, составившее в 2016 году 5,9%, продолжилось и в текущем году, за первый квартал 2017 реально располагаемые доходы по предварительным оценкам снизились ещё на 4,1% по сравнению с аналогичным периодом прошлого года.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По мнению экспертов, именно кризис доходов и падение покупательского спроса становятся основной</w:t>
      </w:r>
      <w:r w:rsidR="00BC7C44" w:rsidRPr="00DA14B5">
        <w:rPr>
          <w:sz w:val="20"/>
          <w:szCs w:val="20"/>
        </w:rPr>
        <w:t xml:space="preserve"> проблемой для экономики России</w:t>
      </w:r>
      <w:r w:rsidRPr="00DA14B5">
        <w:rPr>
          <w:sz w:val="20"/>
          <w:szCs w:val="20"/>
        </w:rPr>
        <w:t xml:space="preserve"> и особенно сказываются на положении в отрасли розничной торговли. Такая тенденция может привести к глобальной социальной проблеме, связанной с ростом дифференциации населения по уровню доходов и благосостояния, поляризацией на рынке труда и, главное, увеличением доли населения, не имеющего возможности обеспечить себя и свою семью элементарными социальными стандартами и доступом к здравоохранению, образованию.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На фоне беднеющего населения хуже всего чувствует себя  розни</w:t>
      </w:r>
      <w:r w:rsidR="00BC7C44" w:rsidRPr="00DA14B5">
        <w:rPr>
          <w:sz w:val="20"/>
          <w:szCs w:val="20"/>
        </w:rPr>
        <w:t>чная торговля</w:t>
      </w:r>
      <w:r w:rsidRPr="00DA14B5">
        <w:rPr>
          <w:sz w:val="20"/>
          <w:szCs w:val="20"/>
        </w:rPr>
        <w:t xml:space="preserve">. 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Прогноз аналитиков Центра экономических исследований университета «Синергия» на 1кв.2017г. оправдался, в первом квартале 2017 года розница показала ускорение своего падения. Негативная динамика розничных продаж  сохранится в течение всего года.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Пока темпы роста реальной  заработной платы остаются существенно ниже уровня инфляции, такая тенденция будет </w:t>
      </w:r>
      <w:proofErr w:type="gramStart"/>
      <w:r w:rsidRPr="00DA14B5">
        <w:rPr>
          <w:sz w:val="20"/>
          <w:szCs w:val="20"/>
        </w:rPr>
        <w:t>сохраняться</w:t>
      </w:r>
      <w:proofErr w:type="gramEnd"/>
      <w:r w:rsidR="00F8324B" w:rsidRPr="00DA14B5">
        <w:rPr>
          <w:sz w:val="20"/>
          <w:szCs w:val="20"/>
        </w:rPr>
        <w:t xml:space="preserve"> в</w:t>
      </w:r>
      <w:r w:rsidRPr="00DA14B5">
        <w:rPr>
          <w:sz w:val="20"/>
          <w:szCs w:val="20"/>
        </w:rPr>
        <w:t xml:space="preserve"> том числе и в секторе розничной торговли.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По данным аналитических агент</w:t>
      </w:r>
      <w:r w:rsidR="00211517" w:rsidRPr="00DA14B5">
        <w:rPr>
          <w:sz w:val="20"/>
          <w:szCs w:val="20"/>
        </w:rPr>
        <w:t>ств</w:t>
      </w:r>
      <w:r w:rsidRPr="00DA14B5">
        <w:rPr>
          <w:sz w:val="20"/>
          <w:szCs w:val="20"/>
        </w:rPr>
        <w:t xml:space="preserve"> до конца 2017 года в Санкт-Петербурге не ожидается появлени</w:t>
      </w:r>
      <w:r w:rsidR="00211517" w:rsidRPr="00DA14B5">
        <w:rPr>
          <w:sz w:val="20"/>
          <w:szCs w:val="20"/>
        </w:rPr>
        <w:t>я</w:t>
      </w:r>
      <w:r w:rsidRPr="00DA14B5">
        <w:rPr>
          <w:sz w:val="20"/>
          <w:szCs w:val="20"/>
        </w:rPr>
        <w:t xml:space="preserve"> новых торговых центров. Нулевой ввод площадей</w:t>
      </w:r>
      <w:r w:rsidR="00211517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в </w:t>
      </w:r>
      <w:r w:rsidR="00211517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>2017 году будет отмечен впервые с начала развития с</w:t>
      </w:r>
      <w:r w:rsidR="00211517" w:rsidRPr="00DA14B5">
        <w:rPr>
          <w:sz w:val="20"/>
          <w:szCs w:val="20"/>
        </w:rPr>
        <w:t xml:space="preserve">овременного рынка - </w:t>
      </w:r>
      <w:r w:rsidRPr="00DA14B5">
        <w:rPr>
          <w:sz w:val="20"/>
          <w:szCs w:val="20"/>
        </w:rPr>
        <w:t xml:space="preserve"> с 2003 года. </w:t>
      </w:r>
      <w:r w:rsidR="00211517" w:rsidRPr="00DA14B5">
        <w:rPr>
          <w:sz w:val="20"/>
          <w:szCs w:val="20"/>
        </w:rPr>
        <w:t>Очень</w:t>
      </w:r>
      <w:r w:rsidRPr="00DA14B5">
        <w:rPr>
          <w:sz w:val="20"/>
          <w:szCs w:val="20"/>
        </w:rPr>
        <w:t xml:space="preserve"> высокая обеспеченность </w:t>
      </w:r>
      <w:r w:rsidR="00211517" w:rsidRPr="00DA14B5">
        <w:rPr>
          <w:sz w:val="20"/>
          <w:szCs w:val="20"/>
        </w:rPr>
        <w:t>населения Санкт-Петербурга торговыми площадями</w:t>
      </w:r>
      <w:r w:rsidRPr="00DA14B5">
        <w:rPr>
          <w:sz w:val="20"/>
          <w:szCs w:val="20"/>
        </w:rPr>
        <w:t>, отсутствие роста оборотов розничной торговли и высокая стоимость финансирования приводят к осторожности девелоперов в части запуска новых проектов.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Основной деятельность</w:t>
      </w:r>
      <w:r w:rsidR="009E0A7A" w:rsidRPr="00DA14B5">
        <w:rPr>
          <w:sz w:val="20"/>
          <w:szCs w:val="20"/>
        </w:rPr>
        <w:t>ю</w:t>
      </w:r>
      <w:r w:rsidRPr="00DA14B5">
        <w:rPr>
          <w:sz w:val="20"/>
          <w:szCs w:val="20"/>
        </w:rPr>
        <w:t xml:space="preserve"> ОАО «Большой Гостиный Двор» всегда была и остается торговля. В сочетании с поступлением арендной платы от субарендаторов поддерживается  баланс  источников дохода, что позволило к сегодняшнему дню не только вести деятельность без внешнего финансирования и кредитования, но и иметь</w:t>
      </w:r>
      <w:r w:rsidR="00F427A6" w:rsidRPr="00DA14B5">
        <w:rPr>
          <w:sz w:val="20"/>
          <w:szCs w:val="20"/>
        </w:rPr>
        <w:t xml:space="preserve"> достаточные накопления. Однако </w:t>
      </w:r>
      <w:r w:rsidRPr="00DA14B5">
        <w:rPr>
          <w:sz w:val="20"/>
          <w:szCs w:val="20"/>
        </w:rPr>
        <w:t xml:space="preserve"> на сегодняшний день большая доля собственной торговли делает универмаг очень чувствительным к снижению спроса. Более того, </w:t>
      </w:r>
      <w:proofErr w:type="spellStart"/>
      <w:r w:rsidRPr="00DA14B5">
        <w:rPr>
          <w:sz w:val="20"/>
          <w:szCs w:val="20"/>
        </w:rPr>
        <w:t>общерыночная</w:t>
      </w:r>
      <w:proofErr w:type="spellEnd"/>
      <w:r w:rsidRPr="00DA14B5">
        <w:rPr>
          <w:sz w:val="20"/>
          <w:szCs w:val="20"/>
        </w:rPr>
        <w:t xml:space="preserve"> тенденция </w:t>
      </w:r>
      <w:r w:rsidR="004337FE" w:rsidRPr="00DA14B5">
        <w:rPr>
          <w:sz w:val="20"/>
          <w:szCs w:val="20"/>
        </w:rPr>
        <w:t>о</w:t>
      </w:r>
      <w:r w:rsidRPr="00DA14B5">
        <w:rPr>
          <w:sz w:val="20"/>
          <w:szCs w:val="20"/>
        </w:rPr>
        <w:t>хватила и субарендаторов, осуществляющих свою деятельность на территории Большого Гостиного Двора. Тем не менее, торговые площади в Универмаге никогда не пустуют. При ра</w:t>
      </w:r>
      <w:r w:rsidR="004337FE" w:rsidRPr="00DA14B5">
        <w:rPr>
          <w:sz w:val="20"/>
          <w:szCs w:val="20"/>
        </w:rPr>
        <w:t xml:space="preserve">сторжении договоров субаренды </w:t>
      </w:r>
      <w:r w:rsidRPr="00DA14B5">
        <w:rPr>
          <w:sz w:val="20"/>
          <w:szCs w:val="20"/>
        </w:rPr>
        <w:t xml:space="preserve"> освободившиеся площади мгновенно заполняются собственным товаром и продолжают приносить доход. Происход</w:t>
      </w:r>
      <w:r w:rsidR="004337FE" w:rsidRPr="00DA14B5">
        <w:rPr>
          <w:sz w:val="20"/>
          <w:szCs w:val="20"/>
        </w:rPr>
        <w:t xml:space="preserve">ят и перемещения товарных групп </w:t>
      </w:r>
      <w:r w:rsidRPr="00DA14B5">
        <w:rPr>
          <w:sz w:val="20"/>
          <w:szCs w:val="20"/>
        </w:rPr>
        <w:t xml:space="preserve"> для обеспечения удобства покупателей, расширения ассортимента. 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условиях продолжающегося кризиса предприятие поддерживает торговые залы в должном техническом и санитарном состоянии. Проводятся ремонт в магазинах, устаревших физически и морально, так, в апреле 2017г. был проведен ремонт с заменой торгового оборудования в магазине мужской одежды на Перинной линии. Чистота и комфортный климат в торговом зале поддерживается силами трудового коллектива и подрядных организаций. Осуществляется ежедневная уборка, регулярное мытье витрин и прилавков, своевременное обслуживание климатической техники и </w:t>
      </w:r>
      <w:proofErr w:type="spellStart"/>
      <w:r w:rsidRPr="00DA14B5">
        <w:rPr>
          <w:sz w:val="20"/>
          <w:szCs w:val="20"/>
        </w:rPr>
        <w:t>противокражных</w:t>
      </w:r>
      <w:proofErr w:type="spellEnd"/>
      <w:r w:rsidRPr="00DA14B5">
        <w:rPr>
          <w:sz w:val="20"/>
          <w:szCs w:val="20"/>
        </w:rPr>
        <w:t xml:space="preserve"> систем. Все направлено на то, чтобы сделать пребывание покупателей комфортным.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В первом </w:t>
      </w:r>
      <w:r w:rsidR="00C97509" w:rsidRPr="00DA14B5">
        <w:rPr>
          <w:sz w:val="20"/>
          <w:szCs w:val="20"/>
        </w:rPr>
        <w:t>полугодии</w:t>
      </w:r>
      <w:r w:rsidRPr="00DA14B5">
        <w:rPr>
          <w:sz w:val="20"/>
          <w:szCs w:val="20"/>
        </w:rPr>
        <w:t xml:space="preserve"> </w:t>
      </w:r>
      <w:r w:rsidR="00A40061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>2</w:t>
      </w:r>
      <w:r w:rsidR="00C97509" w:rsidRPr="00DA14B5">
        <w:rPr>
          <w:sz w:val="20"/>
          <w:szCs w:val="20"/>
        </w:rPr>
        <w:t>0</w:t>
      </w:r>
      <w:r w:rsidRPr="00DA14B5">
        <w:rPr>
          <w:sz w:val="20"/>
          <w:szCs w:val="20"/>
        </w:rPr>
        <w:t>17г.</w:t>
      </w:r>
      <w:r w:rsidR="004337FE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продолжается работа по снижению текущих расходов общества. Все заявки на закуп</w:t>
      </w:r>
      <w:r w:rsidR="00AF6E9E" w:rsidRPr="00DA14B5">
        <w:rPr>
          <w:sz w:val="20"/>
          <w:szCs w:val="20"/>
        </w:rPr>
        <w:t xml:space="preserve">ку </w:t>
      </w:r>
      <w:r w:rsidR="00A40061" w:rsidRPr="00DA14B5">
        <w:rPr>
          <w:sz w:val="20"/>
          <w:szCs w:val="20"/>
        </w:rPr>
        <w:t>для собственных нужд универмага тщательно рассматриваются, разрешение на закупку выдается</w:t>
      </w:r>
      <w:r w:rsidRPr="00DA14B5">
        <w:rPr>
          <w:sz w:val="20"/>
          <w:szCs w:val="20"/>
        </w:rPr>
        <w:t xml:space="preserve">  в случае острой необходимости. Пересматриваются условия действующих договоров</w:t>
      </w:r>
      <w:r w:rsidR="00A40061" w:rsidRPr="00DA14B5">
        <w:rPr>
          <w:sz w:val="20"/>
          <w:szCs w:val="20"/>
        </w:rPr>
        <w:t xml:space="preserve"> с точки зрения снижения расходов.</w:t>
      </w:r>
      <w:r w:rsidRPr="00DA14B5">
        <w:rPr>
          <w:sz w:val="20"/>
          <w:szCs w:val="20"/>
        </w:rPr>
        <w:t xml:space="preserve"> Сокращены часы работы отдельных подразделений, отдельные категории работников переведены на сокращенную рабочую неделю. Такие  антикризисные меры предприняты для стабилизации финансового положения предприятия и осуществления проектов, относящихся к долгосрочной перспективе развития, </w:t>
      </w:r>
      <w:r w:rsidR="00A40061" w:rsidRPr="00DA14B5">
        <w:rPr>
          <w:sz w:val="20"/>
          <w:szCs w:val="20"/>
        </w:rPr>
        <w:t xml:space="preserve"> и </w:t>
      </w:r>
      <w:r w:rsidRPr="00DA14B5">
        <w:rPr>
          <w:sz w:val="20"/>
          <w:szCs w:val="20"/>
        </w:rPr>
        <w:t xml:space="preserve">с пониманием   приняты коллективом и профсоюзной организацией. 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Начало 2017 можно охарактеризовать квинтэссенцией негативного влияния рисков, описанных выше. С одной стороны продолжается снижение курса иностранной валюты (Доллар США и ЕВРО), что ведет к обесценению части депозитов</w:t>
      </w:r>
      <w:r w:rsidR="007F0F38" w:rsidRPr="00DA14B5">
        <w:rPr>
          <w:sz w:val="20"/>
          <w:szCs w:val="20"/>
        </w:rPr>
        <w:t xml:space="preserve">, </w:t>
      </w:r>
      <w:r w:rsidR="00EC58A3" w:rsidRPr="00DA14B5">
        <w:rPr>
          <w:sz w:val="20"/>
          <w:szCs w:val="20"/>
        </w:rPr>
        <w:t xml:space="preserve"> снижение</w:t>
      </w:r>
      <w:r w:rsidRPr="00DA14B5">
        <w:rPr>
          <w:sz w:val="20"/>
          <w:szCs w:val="20"/>
        </w:rPr>
        <w:t xml:space="preserve"> уровня платежеспособного потребительского спроса на фоне высокого уровня инфляции, с другой стороны - огромный негативный эффект имеет обострившийся политический риск. На текущей деятельности ОАО «Большой Гостиный Двор» не могло не отразиться трагическое событие, </w:t>
      </w:r>
      <w:r w:rsidR="0095038F" w:rsidRPr="00DA14B5">
        <w:rPr>
          <w:sz w:val="20"/>
          <w:szCs w:val="20"/>
        </w:rPr>
        <w:t xml:space="preserve">которое </w:t>
      </w:r>
      <w:r w:rsidR="007F0F38" w:rsidRPr="00DA14B5">
        <w:rPr>
          <w:sz w:val="20"/>
          <w:szCs w:val="20"/>
        </w:rPr>
        <w:t xml:space="preserve">3 апреля 2017г.  </w:t>
      </w:r>
      <w:r w:rsidR="00D67D11" w:rsidRPr="00DA14B5">
        <w:rPr>
          <w:sz w:val="20"/>
          <w:szCs w:val="20"/>
        </w:rPr>
        <w:t>впервые</w:t>
      </w:r>
      <w:r w:rsidRPr="00DA14B5">
        <w:rPr>
          <w:sz w:val="20"/>
          <w:szCs w:val="20"/>
        </w:rPr>
        <w:t xml:space="preserve"> произош</w:t>
      </w:r>
      <w:r w:rsidR="0095038F" w:rsidRPr="00DA14B5">
        <w:rPr>
          <w:sz w:val="20"/>
          <w:szCs w:val="20"/>
        </w:rPr>
        <w:t>ло</w:t>
      </w:r>
      <w:r w:rsidRPr="00DA14B5">
        <w:rPr>
          <w:sz w:val="20"/>
          <w:szCs w:val="20"/>
        </w:rPr>
        <w:t xml:space="preserve">  в Санкт-Петербурге</w:t>
      </w:r>
      <w:r w:rsidR="007F0F38" w:rsidRPr="00DA14B5">
        <w:rPr>
          <w:sz w:val="20"/>
          <w:szCs w:val="20"/>
        </w:rPr>
        <w:t xml:space="preserve">. </w:t>
      </w:r>
      <w:r w:rsidRPr="00DA14B5">
        <w:rPr>
          <w:sz w:val="20"/>
          <w:szCs w:val="20"/>
        </w:rPr>
        <w:t>Сказыва</w:t>
      </w:r>
      <w:r w:rsidR="001F6B64" w:rsidRPr="00DA14B5">
        <w:rPr>
          <w:sz w:val="20"/>
          <w:szCs w:val="20"/>
        </w:rPr>
        <w:t>ю</w:t>
      </w:r>
      <w:r w:rsidRPr="00DA14B5">
        <w:rPr>
          <w:sz w:val="20"/>
          <w:szCs w:val="20"/>
        </w:rPr>
        <w:t>тся как общая морально-психологическая напряженность, так и потребительские прио</w:t>
      </w:r>
      <w:r w:rsidR="005C1616" w:rsidRPr="00DA14B5">
        <w:rPr>
          <w:sz w:val="20"/>
          <w:szCs w:val="20"/>
        </w:rPr>
        <w:t>ритеты. За последующую после те</w:t>
      </w:r>
      <w:r w:rsidRPr="00DA14B5">
        <w:rPr>
          <w:sz w:val="20"/>
          <w:szCs w:val="20"/>
        </w:rPr>
        <w:t xml:space="preserve">ракта неделю количество посетителей снизилось на 24%, а количество чеков на 35%. Даже </w:t>
      </w:r>
      <w:r w:rsidR="007F0F38" w:rsidRPr="00DA14B5">
        <w:rPr>
          <w:sz w:val="20"/>
          <w:szCs w:val="20"/>
        </w:rPr>
        <w:t>спустя</w:t>
      </w:r>
      <w:r w:rsidR="009E0A7A" w:rsidRPr="00DA14B5">
        <w:rPr>
          <w:sz w:val="20"/>
          <w:szCs w:val="20"/>
        </w:rPr>
        <w:t xml:space="preserve"> </w:t>
      </w:r>
      <w:r w:rsidR="00090960" w:rsidRPr="00DA14B5">
        <w:rPr>
          <w:sz w:val="20"/>
          <w:szCs w:val="20"/>
        </w:rPr>
        <w:t>месяц</w:t>
      </w:r>
      <w:r w:rsidRPr="00DA14B5">
        <w:rPr>
          <w:sz w:val="20"/>
          <w:szCs w:val="20"/>
        </w:rPr>
        <w:t xml:space="preserve"> эти показатели не пришли в норму. Кроме того, событие такого масштаба и последствий может </w:t>
      </w:r>
      <w:r w:rsidR="00090960" w:rsidRPr="00DA14B5">
        <w:rPr>
          <w:sz w:val="20"/>
          <w:szCs w:val="20"/>
        </w:rPr>
        <w:t xml:space="preserve">привести и к </w:t>
      </w:r>
      <w:r w:rsidRPr="00DA14B5">
        <w:rPr>
          <w:sz w:val="20"/>
          <w:szCs w:val="20"/>
        </w:rPr>
        <w:t xml:space="preserve"> снижени</w:t>
      </w:r>
      <w:r w:rsidR="00090960" w:rsidRPr="00DA14B5">
        <w:rPr>
          <w:sz w:val="20"/>
          <w:szCs w:val="20"/>
        </w:rPr>
        <w:t>ю</w:t>
      </w:r>
      <w:r w:rsidRPr="00DA14B5">
        <w:rPr>
          <w:sz w:val="20"/>
          <w:szCs w:val="20"/>
        </w:rPr>
        <w:t xml:space="preserve"> туристического потока, который</w:t>
      </w:r>
      <w:r w:rsidR="00090960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ожидается</w:t>
      </w:r>
      <w:r w:rsidR="001F6B64" w:rsidRPr="00DA14B5">
        <w:rPr>
          <w:sz w:val="20"/>
          <w:szCs w:val="20"/>
        </w:rPr>
        <w:t>,</w:t>
      </w:r>
      <w:r w:rsidRPr="00DA14B5">
        <w:rPr>
          <w:sz w:val="20"/>
          <w:szCs w:val="20"/>
        </w:rPr>
        <w:t xml:space="preserve"> </w:t>
      </w:r>
      <w:r w:rsidR="00BA1FC8" w:rsidRPr="00DA14B5">
        <w:rPr>
          <w:sz w:val="20"/>
          <w:szCs w:val="20"/>
        </w:rPr>
        <w:t>начиная</w:t>
      </w:r>
      <w:r w:rsidRPr="00DA14B5">
        <w:rPr>
          <w:sz w:val="20"/>
          <w:szCs w:val="20"/>
        </w:rPr>
        <w:t xml:space="preserve"> с мая</w:t>
      </w:r>
      <w:r w:rsidR="001F6B64" w:rsidRPr="00DA14B5">
        <w:rPr>
          <w:sz w:val="20"/>
          <w:szCs w:val="20"/>
        </w:rPr>
        <w:t>,</w:t>
      </w:r>
      <w:r w:rsidRPr="00DA14B5">
        <w:rPr>
          <w:sz w:val="20"/>
          <w:szCs w:val="20"/>
        </w:rPr>
        <w:t xml:space="preserve"> и традиционно увеличивает оборачиваемость отдельных групп товаров и приносит дополнительный доход.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Нарастающая в обществе социальная напряженность находит свой выход в общественных митингах и пикетах, которые проходят в непосредственной близости от Большого Гостиного Двора. У станции метро «Гостиный двор» регулярно припаркованы машин ОМОН</w:t>
      </w:r>
      <w:r w:rsidR="00090960" w:rsidRPr="00DA14B5">
        <w:rPr>
          <w:sz w:val="20"/>
          <w:szCs w:val="20"/>
        </w:rPr>
        <w:t>, в</w:t>
      </w:r>
      <w:r w:rsidRPr="00DA14B5">
        <w:rPr>
          <w:sz w:val="20"/>
          <w:szCs w:val="20"/>
        </w:rPr>
        <w:t xml:space="preserve"> вестибюлях станции метро дежурят силы внутренних войск</w:t>
      </w:r>
      <w:r w:rsidR="009F6C65" w:rsidRPr="00DA14B5">
        <w:rPr>
          <w:sz w:val="20"/>
          <w:szCs w:val="20"/>
        </w:rPr>
        <w:t>, что,</w:t>
      </w:r>
      <w:r w:rsidRPr="00DA14B5">
        <w:rPr>
          <w:sz w:val="20"/>
          <w:szCs w:val="20"/>
        </w:rPr>
        <w:t xml:space="preserve"> </w:t>
      </w:r>
      <w:r w:rsidR="009F6C65" w:rsidRPr="00DA14B5">
        <w:rPr>
          <w:sz w:val="20"/>
          <w:szCs w:val="20"/>
        </w:rPr>
        <w:t>в</w:t>
      </w:r>
      <w:r w:rsidRPr="00DA14B5">
        <w:rPr>
          <w:sz w:val="20"/>
          <w:szCs w:val="20"/>
        </w:rPr>
        <w:t xml:space="preserve"> свете недавних событий, отпугивает посетителей универмага.</w:t>
      </w:r>
    </w:p>
    <w:p w:rsidR="008B45A4" w:rsidRPr="00DA14B5" w:rsidRDefault="008B45A4" w:rsidP="003E3F37">
      <w:pPr>
        <w:ind w:firstLine="851"/>
        <w:jc w:val="both"/>
        <w:rPr>
          <w:sz w:val="20"/>
          <w:szCs w:val="20"/>
        </w:rPr>
      </w:pPr>
      <w:r w:rsidRPr="00DA14B5">
        <w:rPr>
          <w:sz w:val="20"/>
          <w:szCs w:val="20"/>
        </w:rPr>
        <w:t>2017 год может стать крайне трудным для эффективной работы ОАО «Большой Гостиный Двор» в виду сильного негативного влияния многих факторов. От других предприятий розничной торговли его отличает запас финансовой прочности, огромный потенциал для дальнейшего развития и сплоченный трудовой коллектив, который преодолел не один кризис за историю своей службы на благо городу.</w:t>
      </w:r>
    </w:p>
    <w:p w:rsidR="008B45A4" w:rsidRPr="00DA14B5" w:rsidRDefault="008B45A4" w:rsidP="008B45A4">
      <w:pPr>
        <w:spacing w:line="360" w:lineRule="auto"/>
        <w:jc w:val="center"/>
        <w:rPr>
          <w:sz w:val="20"/>
          <w:szCs w:val="20"/>
        </w:rPr>
      </w:pPr>
      <w:r w:rsidRPr="00DA14B5">
        <w:rPr>
          <w:sz w:val="20"/>
          <w:szCs w:val="20"/>
        </w:rPr>
        <w:lastRenderedPageBreak/>
        <w:t>Уважаемые акционеры!</w:t>
      </w:r>
    </w:p>
    <w:p w:rsidR="008B45A4" w:rsidRPr="00DA14B5" w:rsidRDefault="008B45A4" w:rsidP="003E3F37">
      <w:pPr>
        <w:ind w:firstLine="567"/>
        <w:jc w:val="both"/>
        <w:rPr>
          <w:sz w:val="20"/>
          <w:szCs w:val="20"/>
        </w:rPr>
      </w:pPr>
      <w:r w:rsidRPr="00DA14B5">
        <w:rPr>
          <w:sz w:val="20"/>
          <w:szCs w:val="20"/>
        </w:rPr>
        <w:t xml:space="preserve">Настоящий </w:t>
      </w:r>
      <w:r w:rsidR="00923AB2" w:rsidRPr="00DA14B5">
        <w:rPr>
          <w:sz w:val="20"/>
          <w:szCs w:val="20"/>
        </w:rPr>
        <w:t xml:space="preserve"> г</w:t>
      </w:r>
      <w:r w:rsidRPr="00DA14B5">
        <w:rPr>
          <w:sz w:val="20"/>
          <w:szCs w:val="20"/>
        </w:rPr>
        <w:t>одовой отчет предварительно утвержден на  заседании Совета директоров</w:t>
      </w:r>
      <w:r w:rsidR="00394F22" w:rsidRPr="00DA14B5">
        <w:rPr>
          <w:sz w:val="20"/>
          <w:szCs w:val="20"/>
        </w:rPr>
        <w:t xml:space="preserve"> </w:t>
      </w:r>
      <w:r w:rsidRPr="00DA14B5">
        <w:rPr>
          <w:sz w:val="20"/>
          <w:szCs w:val="20"/>
        </w:rPr>
        <w:t xml:space="preserve"> 28 </w:t>
      </w:r>
      <w:r w:rsidR="00394F22" w:rsidRPr="00DA14B5">
        <w:rPr>
          <w:sz w:val="20"/>
          <w:szCs w:val="20"/>
        </w:rPr>
        <w:t xml:space="preserve">апреля </w:t>
      </w:r>
      <w:r w:rsidRPr="00DA14B5">
        <w:rPr>
          <w:sz w:val="20"/>
          <w:szCs w:val="20"/>
        </w:rPr>
        <w:t xml:space="preserve"> 2017 года.</w:t>
      </w:r>
    </w:p>
    <w:p w:rsidR="008B45A4" w:rsidRPr="00DA14B5" w:rsidRDefault="008B45A4" w:rsidP="003E3F37">
      <w:pPr>
        <w:ind w:firstLine="567"/>
        <w:rPr>
          <w:sz w:val="20"/>
          <w:szCs w:val="20"/>
        </w:rPr>
      </w:pPr>
      <w:r w:rsidRPr="00DA14B5">
        <w:rPr>
          <w:sz w:val="20"/>
          <w:szCs w:val="20"/>
        </w:rPr>
        <w:t xml:space="preserve">Прошу  </w:t>
      </w:r>
      <w:r w:rsidR="00923AB2" w:rsidRPr="00DA14B5">
        <w:rPr>
          <w:sz w:val="20"/>
          <w:szCs w:val="20"/>
        </w:rPr>
        <w:t>о</w:t>
      </w:r>
      <w:r w:rsidRPr="00DA14B5">
        <w:rPr>
          <w:sz w:val="20"/>
          <w:szCs w:val="20"/>
        </w:rPr>
        <w:t xml:space="preserve">бщее </w:t>
      </w:r>
      <w:r w:rsidR="00923AB2" w:rsidRPr="00DA14B5">
        <w:rPr>
          <w:sz w:val="20"/>
          <w:szCs w:val="20"/>
        </w:rPr>
        <w:t xml:space="preserve"> г</w:t>
      </w:r>
      <w:r w:rsidRPr="00DA14B5">
        <w:rPr>
          <w:sz w:val="20"/>
          <w:szCs w:val="20"/>
        </w:rPr>
        <w:t xml:space="preserve">одовое  собрание </w:t>
      </w:r>
      <w:r w:rsidR="00923AB2" w:rsidRPr="00DA14B5">
        <w:rPr>
          <w:sz w:val="20"/>
          <w:szCs w:val="20"/>
        </w:rPr>
        <w:t xml:space="preserve"> акционеров </w:t>
      </w:r>
      <w:r w:rsidRPr="00DA14B5">
        <w:rPr>
          <w:sz w:val="20"/>
          <w:szCs w:val="20"/>
        </w:rPr>
        <w:t xml:space="preserve"> его утвердить.</w:t>
      </w:r>
    </w:p>
    <w:p w:rsidR="00FC54B6" w:rsidRPr="00DA14B5" w:rsidRDefault="00FC54B6" w:rsidP="003E3F37">
      <w:pPr>
        <w:ind w:firstLine="567"/>
        <w:rPr>
          <w:sz w:val="20"/>
          <w:szCs w:val="20"/>
        </w:rPr>
      </w:pPr>
    </w:p>
    <w:p w:rsidR="00FC54B6" w:rsidRPr="00DA14B5" w:rsidRDefault="00FC54B6" w:rsidP="008B45A4">
      <w:pPr>
        <w:spacing w:line="360" w:lineRule="auto"/>
        <w:ind w:firstLine="567"/>
        <w:rPr>
          <w:sz w:val="20"/>
          <w:szCs w:val="20"/>
        </w:rPr>
      </w:pPr>
      <w:r w:rsidRPr="00DA14B5">
        <w:rPr>
          <w:sz w:val="20"/>
          <w:szCs w:val="20"/>
        </w:rPr>
        <w:t>Генеральный директор</w:t>
      </w:r>
      <w:r w:rsidR="00DA14B5" w:rsidRPr="00DA14B5">
        <w:rPr>
          <w:sz w:val="20"/>
          <w:szCs w:val="20"/>
        </w:rPr>
        <w:t xml:space="preserve">    </w:t>
      </w:r>
      <w:r w:rsidRPr="00DA14B5">
        <w:rPr>
          <w:sz w:val="20"/>
          <w:szCs w:val="20"/>
        </w:rPr>
        <w:t>ОАО «Большой Гостиный Двор»                                                  Коршунова Е.В.</w:t>
      </w:r>
    </w:p>
    <w:p w:rsidR="008B45A4" w:rsidRPr="00DA14B5" w:rsidRDefault="008B45A4" w:rsidP="008B45A4">
      <w:pPr>
        <w:spacing w:line="360" w:lineRule="auto"/>
        <w:jc w:val="center"/>
        <w:rPr>
          <w:sz w:val="20"/>
          <w:szCs w:val="20"/>
        </w:rPr>
      </w:pPr>
    </w:p>
    <w:p w:rsidR="0051543F" w:rsidRPr="00DA14B5" w:rsidRDefault="0051543F" w:rsidP="00BE05A3">
      <w:pPr>
        <w:spacing w:line="360" w:lineRule="auto"/>
        <w:rPr>
          <w:sz w:val="20"/>
          <w:szCs w:val="20"/>
        </w:rPr>
      </w:pPr>
    </w:p>
    <w:p w:rsidR="0051543F" w:rsidRPr="00DA14B5" w:rsidRDefault="0051543F" w:rsidP="00BE05A3">
      <w:pPr>
        <w:spacing w:line="360" w:lineRule="auto"/>
        <w:rPr>
          <w:sz w:val="20"/>
          <w:szCs w:val="20"/>
        </w:rPr>
      </w:pPr>
    </w:p>
    <w:p w:rsidR="00A034E9" w:rsidRPr="00DA14B5" w:rsidRDefault="00A034E9" w:rsidP="00990116">
      <w:pPr>
        <w:pStyle w:val="ae"/>
        <w:spacing w:line="360" w:lineRule="auto"/>
        <w:ind w:left="0" w:firstLine="567"/>
        <w:jc w:val="both"/>
        <w:rPr>
          <w:sz w:val="20"/>
          <w:szCs w:val="20"/>
        </w:rPr>
      </w:pPr>
    </w:p>
    <w:sectPr w:rsidR="00A034E9" w:rsidRPr="00DA14B5" w:rsidSect="002D7AA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BE" w:rsidRDefault="00E33FBE">
      <w:r>
        <w:separator/>
      </w:r>
    </w:p>
  </w:endnote>
  <w:endnote w:type="continuationSeparator" w:id="0">
    <w:p w:rsidR="00E33FBE" w:rsidRDefault="00E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750327"/>
      <w:docPartObj>
        <w:docPartGallery w:val="Page Numbers (Bottom of Page)"/>
        <w:docPartUnique/>
      </w:docPartObj>
    </w:sdtPr>
    <w:sdtEndPr/>
    <w:sdtContent>
      <w:p w:rsidR="00DA14B5" w:rsidRDefault="00DA14B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07">
          <w:rPr>
            <w:noProof/>
          </w:rPr>
          <w:t>1</w:t>
        </w:r>
        <w:r>
          <w:fldChar w:fldCharType="end"/>
        </w:r>
      </w:p>
    </w:sdtContent>
  </w:sdt>
  <w:p w:rsidR="00DA14B5" w:rsidRDefault="00DA14B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BE" w:rsidRDefault="00E33FBE">
      <w:r>
        <w:separator/>
      </w:r>
    </w:p>
  </w:footnote>
  <w:footnote w:type="continuationSeparator" w:id="0">
    <w:p w:rsidR="00E33FBE" w:rsidRDefault="00E3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FC4F98"/>
    <w:lvl w:ilvl="0">
      <w:numFmt w:val="bullet"/>
      <w:lvlText w:val="*"/>
      <w:lvlJc w:val="left"/>
    </w:lvl>
  </w:abstractNum>
  <w:abstractNum w:abstractNumId="1">
    <w:nsid w:val="15A76DC8"/>
    <w:multiLevelType w:val="hybridMultilevel"/>
    <w:tmpl w:val="F5402DA4"/>
    <w:lvl w:ilvl="0" w:tplc="0AD01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87B26"/>
    <w:multiLevelType w:val="hybridMultilevel"/>
    <w:tmpl w:val="49E0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50A4"/>
    <w:multiLevelType w:val="hybridMultilevel"/>
    <w:tmpl w:val="C0A2B13C"/>
    <w:lvl w:ilvl="0" w:tplc="0CD831E6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ECD5E58"/>
    <w:multiLevelType w:val="multilevel"/>
    <w:tmpl w:val="3C4E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D360E"/>
    <w:multiLevelType w:val="hybridMultilevel"/>
    <w:tmpl w:val="D8885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E233E"/>
    <w:multiLevelType w:val="hybridMultilevel"/>
    <w:tmpl w:val="891C6C5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E73670"/>
    <w:multiLevelType w:val="hybridMultilevel"/>
    <w:tmpl w:val="540228B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88C551C"/>
    <w:multiLevelType w:val="hybridMultilevel"/>
    <w:tmpl w:val="6A06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77FDC"/>
    <w:multiLevelType w:val="hybridMultilevel"/>
    <w:tmpl w:val="C52A83CC"/>
    <w:lvl w:ilvl="0" w:tplc="F5229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FE43D9"/>
    <w:multiLevelType w:val="hybridMultilevel"/>
    <w:tmpl w:val="F000DE3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C4B51CD"/>
    <w:multiLevelType w:val="hybridMultilevel"/>
    <w:tmpl w:val="D8AA8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B758AE"/>
    <w:multiLevelType w:val="hybridMultilevel"/>
    <w:tmpl w:val="1F72DA78"/>
    <w:lvl w:ilvl="0" w:tplc="B7969CB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71"/>
    <w:rsid w:val="00001613"/>
    <w:rsid w:val="000103B5"/>
    <w:rsid w:val="00013F6F"/>
    <w:rsid w:val="00016C56"/>
    <w:rsid w:val="00017EE0"/>
    <w:rsid w:val="000359F6"/>
    <w:rsid w:val="00050B43"/>
    <w:rsid w:val="00060BEB"/>
    <w:rsid w:val="00090960"/>
    <w:rsid w:val="000A35AC"/>
    <w:rsid w:val="000B15E4"/>
    <w:rsid w:val="000C280F"/>
    <w:rsid w:val="000E5664"/>
    <w:rsid w:val="000F32EB"/>
    <w:rsid w:val="000F3E93"/>
    <w:rsid w:val="0010070F"/>
    <w:rsid w:val="00114E7A"/>
    <w:rsid w:val="001162E1"/>
    <w:rsid w:val="00143907"/>
    <w:rsid w:val="001601A5"/>
    <w:rsid w:val="00165232"/>
    <w:rsid w:val="001707B1"/>
    <w:rsid w:val="00177BE9"/>
    <w:rsid w:val="001A625D"/>
    <w:rsid w:val="001A7D14"/>
    <w:rsid w:val="001B5DF1"/>
    <w:rsid w:val="001B6072"/>
    <w:rsid w:val="001C4EE9"/>
    <w:rsid w:val="001D5DA8"/>
    <w:rsid w:val="001F0A98"/>
    <w:rsid w:val="001F6B64"/>
    <w:rsid w:val="00211517"/>
    <w:rsid w:val="00226F38"/>
    <w:rsid w:val="00237034"/>
    <w:rsid w:val="00237633"/>
    <w:rsid w:val="002446F7"/>
    <w:rsid w:val="0025608D"/>
    <w:rsid w:val="00260327"/>
    <w:rsid w:val="00271FAA"/>
    <w:rsid w:val="002720F4"/>
    <w:rsid w:val="002727AE"/>
    <w:rsid w:val="002839A1"/>
    <w:rsid w:val="002949C4"/>
    <w:rsid w:val="002B0EB2"/>
    <w:rsid w:val="002B2D08"/>
    <w:rsid w:val="002D7AA9"/>
    <w:rsid w:val="002F6ECA"/>
    <w:rsid w:val="00307373"/>
    <w:rsid w:val="003150F7"/>
    <w:rsid w:val="00315332"/>
    <w:rsid w:val="00316BC6"/>
    <w:rsid w:val="003203DF"/>
    <w:rsid w:val="00322C8A"/>
    <w:rsid w:val="00330584"/>
    <w:rsid w:val="00342527"/>
    <w:rsid w:val="00346F1C"/>
    <w:rsid w:val="003765AB"/>
    <w:rsid w:val="00393233"/>
    <w:rsid w:val="00394F22"/>
    <w:rsid w:val="003C31A7"/>
    <w:rsid w:val="003E2160"/>
    <w:rsid w:val="003E3F37"/>
    <w:rsid w:val="00412CF1"/>
    <w:rsid w:val="00424C73"/>
    <w:rsid w:val="004337FE"/>
    <w:rsid w:val="0046053A"/>
    <w:rsid w:val="00474012"/>
    <w:rsid w:val="004A05D0"/>
    <w:rsid w:val="004A0F8F"/>
    <w:rsid w:val="004A776F"/>
    <w:rsid w:val="004C0B7E"/>
    <w:rsid w:val="004D1656"/>
    <w:rsid w:val="0051543F"/>
    <w:rsid w:val="00521B0D"/>
    <w:rsid w:val="00560FC3"/>
    <w:rsid w:val="00565D40"/>
    <w:rsid w:val="005710C5"/>
    <w:rsid w:val="005838D2"/>
    <w:rsid w:val="0058463F"/>
    <w:rsid w:val="00590FC0"/>
    <w:rsid w:val="005B0B31"/>
    <w:rsid w:val="005C1616"/>
    <w:rsid w:val="0060302C"/>
    <w:rsid w:val="00607C59"/>
    <w:rsid w:val="006122E4"/>
    <w:rsid w:val="00613080"/>
    <w:rsid w:val="00664369"/>
    <w:rsid w:val="00687C23"/>
    <w:rsid w:val="006954E3"/>
    <w:rsid w:val="006A11D4"/>
    <w:rsid w:val="006B4117"/>
    <w:rsid w:val="006C301E"/>
    <w:rsid w:val="006D1527"/>
    <w:rsid w:val="006D3AD4"/>
    <w:rsid w:val="006F1D8C"/>
    <w:rsid w:val="00713493"/>
    <w:rsid w:val="00723058"/>
    <w:rsid w:val="0072343C"/>
    <w:rsid w:val="00742670"/>
    <w:rsid w:val="00765A7C"/>
    <w:rsid w:val="007666E8"/>
    <w:rsid w:val="007B4B4C"/>
    <w:rsid w:val="007E47A4"/>
    <w:rsid w:val="007F0F38"/>
    <w:rsid w:val="00813314"/>
    <w:rsid w:val="00821881"/>
    <w:rsid w:val="008319F8"/>
    <w:rsid w:val="00835918"/>
    <w:rsid w:val="00860B1B"/>
    <w:rsid w:val="008840C3"/>
    <w:rsid w:val="00884C85"/>
    <w:rsid w:val="008A2C7E"/>
    <w:rsid w:val="008A45DB"/>
    <w:rsid w:val="008B45A4"/>
    <w:rsid w:val="008C3187"/>
    <w:rsid w:val="008E14FD"/>
    <w:rsid w:val="008E2714"/>
    <w:rsid w:val="008E31EC"/>
    <w:rsid w:val="009159C7"/>
    <w:rsid w:val="0092201D"/>
    <w:rsid w:val="00923AB2"/>
    <w:rsid w:val="00937987"/>
    <w:rsid w:val="0095038F"/>
    <w:rsid w:val="009506D9"/>
    <w:rsid w:val="00950AE3"/>
    <w:rsid w:val="00960A48"/>
    <w:rsid w:val="00962CCF"/>
    <w:rsid w:val="00966C61"/>
    <w:rsid w:val="00990116"/>
    <w:rsid w:val="0099576D"/>
    <w:rsid w:val="009B3254"/>
    <w:rsid w:val="009B6368"/>
    <w:rsid w:val="009D1206"/>
    <w:rsid w:val="009D5FC7"/>
    <w:rsid w:val="009E0A7A"/>
    <w:rsid w:val="009E1104"/>
    <w:rsid w:val="009F0E5D"/>
    <w:rsid w:val="009F6C65"/>
    <w:rsid w:val="009F7EE8"/>
    <w:rsid w:val="00A01FF8"/>
    <w:rsid w:val="00A034E9"/>
    <w:rsid w:val="00A179F7"/>
    <w:rsid w:val="00A17AD3"/>
    <w:rsid w:val="00A24D99"/>
    <w:rsid w:val="00A40061"/>
    <w:rsid w:val="00A5114D"/>
    <w:rsid w:val="00A61616"/>
    <w:rsid w:val="00AA5350"/>
    <w:rsid w:val="00AB26B2"/>
    <w:rsid w:val="00AD3701"/>
    <w:rsid w:val="00AD6EEF"/>
    <w:rsid w:val="00AE1321"/>
    <w:rsid w:val="00AE3852"/>
    <w:rsid w:val="00AF5A2A"/>
    <w:rsid w:val="00AF5A3E"/>
    <w:rsid w:val="00AF6E9E"/>
    <w:rsid w:val="00B00719"/>
    <w:rsid w:val="00B13371"/>
    <w:rsid w:val="00B21AD6"/>
    <w:rsid w:val="00B453D8"/>
    <w:rsid w:val="00B562F6"/>
    <w:rsid w:val="00B61FAA"/>
    <w:rsid w:val="00B80078"/>
    <w:rsid w:val="00BA1FC8"/>
    <w:rsid w:val="00BB4516"/>
    <w:rsid w:val="00BC1781"/>
    <w:rsid w:val="00BC7C44"/>
    <w:rsid w:val="00BD2368"/>
    <w:rsid w:val="00BE05A3"/>
    <w:rsid w:val="00C13ADA"/>
    <w:rsid w:val="00C14BF2"/>
    <w:rsid w:val="00C32E36"/>
    <w:rsid w:val="00C57C1B"/>
    <w:rsid w:val="00C61E94"/>
    <w:rsid w:val="00C629F8"/>
    <w:rsid w:val="00C73890"/>
    <w:rsid w:val="00C80550"/>
    <w:rsid w:val="00C80826"/>
    <w:rsid w:val="00C97509"/>
    <w:rsid w:val="00CA1CD4"/>
    <w:rsid w:val="00CA424B"/>
    <w:rsid w:val="00CB4C90"/>
    <w:rsid w:val="00CC5F88"/>
    <w:rsid w:val="00CD3B01"/>
    <w:rsid w:val="00CF728F"/>
    <w:rsid w:val="00D05059"/>
    <w:rsid w:val="00D104ED"/>
    <w:rsid w:val="00D2351F"/>
    <w:rsid w:val="00D456DD"/>
    <w:rsid w:val="00D67D11"/>
    <w:rsid w:val="00D8107F"/>
    <w:rsid w:val="00DA14B5"/>
    <w:rsid w:val="00DA2494"/>
    <w:rsid w:val="00DB3186"/>
    <w:rsid w:val="00DB3647"/>
    <w:rsid w:val="00DD5143"/>
    <w:rsid w:val="00DE4734"/>
    <w:rsid w:val="00E33FBE"/>
    <w:rsid w:val="00E430C9"/>
    <w:rsid w:val="00E83E49"/>
    <w:rsid w:val="00E964C0"/>
    <w:rsid w:val="00EB02F6"/>
    <w:rsid w:val="00EB3A58"/>
    <w:rsid w:val="00EB63E2"/>
    <w:rsid w:val="00EB7886"/>
    <w:rsid w:val="00EC58A3"/>
    <w:rsid w:val="00EF7DE2"/>
    <w:rsid w:val="00F02019"/>
    <w:rsid w:val="00F06DBE"/>
    <w:rsid w:val="00F427A6"/>
    <w:rsid w:val="00F60B94"/>
    <w:rsid w:val="00F74EBF"/>
    <w:rsid w:val="00F8324B"/>
    <w:rsid w:val="00FA63CC"/>
    <w:rsid w:val="00FB79F1"/>
    <w:rsid w:val="00FC54B6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3371"/>
    <w:pPr>
      <w:keepNext/>
      <w:autoSpaceDE w:val="0"/>
      <w:autoSpaceDN w:val="0"/>
      <w:jc w:val="both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B13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33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3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33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B1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13371"/>
    <w:pPr>
      <w:spacing w:before="100" w:beforeAutospacing="1" w:after="100" w:afterAutospacing="1"/>
    </w:pPr>
    <w:rPr>
      <w:rFonts w:eastAsia="Calibri"/>
    </w:rPr>
  </w:style>
  <w:style w:type="character" w:customStyle="1" w:styleId="paragraph">
    <w:name w:val="paragraph"/>
    <w:basedOn w:val="a0"/>
    <w:rsid w:val="00B13371"/>
    <w:rPr>
      <w:rFonts w:cs="Times New Roman"/>
    </w:rPr>
  </w:style>
  <w:style w:type="paragraph" w:styleId="a4">
    <w:name w:val="Normal (Web)"/>
    <w:basedOn w:val="a"/>
    <w:rsid w:val="00B13371"/>
    <w:pPr>
      <w:spacing w:before="100" w:beforeAutospacing="1" w:after="100" w:afterAutospacing="1"/>
      <w:ind w:firstLine="720"/>
      <w:jc w:val="both"/>
    </w:pPr>
    <w:rPr>
      <w:color w:val="000000"/>
    </w:rPr>
  </w:style>
  <w:style w:type="character" w:styleId="a5">
    <w:name w:val="Strong"/>
    <w:basedOn w:val="a0"/>
    <w:uiPriority w:val="22"/>
    <w:qFormat/>
    <w:rsid w:val="00B13371"/>
    <w:rPr>
      <w:b/>
      <w:bCs/>
    </w:rPr>
  </w:style>
  <w:style w:type="character" w:styleId="a6">
    <w:name w:val="Emphasis"/>
    <w:basedOn w:val="a0"/>
    <w:qFormat/>
    <w:rsid w:val="00B13371"/>
    <w:rPr>
      <w:i/>
      <w:iCs/>
    </w:rPr>
  </w:style>
  <w:style w:type="paragraph" w:customStyle="1" w:styleId="ConsNormal">
    <w:name w:val="ConsNormal"/>
    <w:rsid w:val="00B133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snoska">
    <w:name w:val="snoska"/>
    <w:basedOn w:val="a0"/>
    <w:rsid w:val="00B13371"/>
  </w:style>
  <w:style w:type="paragraph" w:styleId="a7">
    <w:name w:val="No Spacing"/>
    <w:link w:val="a8"/>
    <w:uiPriority w:val="1"/>
    <w:qFormat/>
    <w:rsid w:val="00B1337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8">
    <w:name w:val="Без интервала Знак"/>
    <w:link w:val="a7"/>
    <w:uiPriority w:val="1"/>
    <w:rsid w:val="00B13371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9">
    <w:name w:val="Balloon Text"/>
    <w:basedOn w:val="a"/>
    <w:link w:val="aa"/>
    <w:semiHidden/>
    <w:rsid w:val="00B133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133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13371"/>
  </w:style>
  <w:style w:type="paragraph" w:styleId="ab">
    <w:name w:val="Body Text"/>
    <w:basedOn w:val="a"/>
    <w:link w:val="ac"/>
    <w:rsid w:val="00B13371"/>
    <w:pPr>
      <w:suppressAutoHyphens/>
      <w:spacing w:after="120"/>
    </w:pPr>
    <w:rPr>
      <w:sz w:val="26"/>
      <w:lang w:eastAsia="ar-SA"/>
    </w:rPr>
  </w:style>
  <w:style w:type="character" w:customStyle="1" w:styleId="ac">
    <w:name w:val="Основной текст Знак"/>
    <w:basedOn w:val="a0"/>
    <w:link w:val="ab"/>
    <w:rsid w:val="00B13371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d">
    <w:name w:val="Hyperlink"/>
    <w:unhideWhenUsed/>
    <w:rsid w:val="00B13371"/>
    <w:rPr>
      <w:color w:val="0000FF"/>
      <w:u w:val="single"/>
    </w:rPr>
  </w:style>
  <w:style w:type="character" w:customStyle="1" w:styleId="SUBST">
    <w:name w:val="__SUBST"/>
    <w:rsid w:val="00B13371"/>
    <w:rPr>
      <w:b/>
      <w:bCs/>
      <w:i/>
      <w:iCs/>
      <w:sz w:val="22"/>
      <w:szCs w:val="22"/>
    </w:rPr>
  </w:style>
  <w:style w:type="paragraph" w:styleId="ae">
    <w:name w:val="List Paragraph"/>
    <w:basedOn w:val="a"/>
    <w:uiPriority w:val="34"/>
    <w:qFormat/>
    <w:rsid w:val="00B1337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1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133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3371"/>
    <w:pPr>
      <w:keepNext/>
      <w:autoSpaceDE w:val="0"/>
      <w:autoSpaceDN w:val="0"/>
      <w:jc w:val="both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B13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33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3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133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B1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13371"/>
    <w:pPr>
      <w:spacing w:before="100" w:beforeAutospacing="1" w:after="100" w:afterAutospacing="1"/>
    </w:pPr>
    <w:rPr>
      <w:rFonts w:eastAsia="Calibri"/>
    </w:rPr>
  </w:style>
  <w:style w:type="character" w:customStyle="1" w:styleId="paragraph">
    <w:name w:val="paragraph"/>
    <w:basedOn w:val="a0"/>
    <w:rsid w:val="00B13371"/>
    <w:rPr>
      <w:rFonts w:cs="Times New Roman"/>
    </w:rPr>
  </w:style>
  <w:style w:type="paragraph" w:styleId="a4">
    <w:name w:val="Normal (Web)"/>
    <w:basedOn w:val="a"/>
    <w:rsid w:val="00B13371"/>
    <w:pPr>
      <w:spacing w:before="100" w:beforeAutospacing="1" w:after="100" w:afterAutospacing="1"/>
      <w:ind w:firstLine="720"/>
      <w:jc w:val="both"/>
    </w:pPr>
    <w:rPr>
      <w:color w:val="000000"/>
    </w:rPr>
  </w:style>
  <w:style w:type="character" w:styleId="a5">
    <w:name w:val="Strong"/>
    <w:basedOn w:val="a0"/>
    <w:uiPriority w:val="22"/>
    <w:qFormat/>
    <w:rsid w:val="00B13371"/>
    <w:rPr>
      <w:b/>
      <w:bCs/>
    </w:rPr>
  </w:style>
  <w:style w:type="character" w:styleId="a6">
    <w:name w:val="Emphasis"/>
    <w:basedOn w:val="a0"/>
    <w:qFormat/>
    <w:rsid w:val="00B13371"/>
    <w:rPr>
      <w:i/>
      <w:iCs/>
    </w:rPr>
  </w:style>
  <w:style w:type="paragraph" w:customStyle="1" w:styleId="ConsNormal">
    <w:name w:val="ConsNormal"/>
    <w:rsid w:val="00B133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snoska">
    <w:name w:val="snoska"/>
    <w:basedOn w:val="a0"/>
    <w:rsid w:val="00B13371"/>
  </w:style>
  <w:style w:type="paragraph" w:styleId="a7">
    <w:name w:val="No Spacing"/>
    <w:link w:val="a8"/>
    <w:uiPriority w:val="1"/>
    <w:qFormat/>
    <w:rsid w:val="00B1337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8">
    <w:name w:val="Без интервала Знак"/>
    <w:link w:val="a7"/>
    <w:uiPriority w:val="1"/>
    <w:rsid w:val="00B13371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9">
    <w:name w:val="Balloon Text"/>
    <w:basedOn w:val="a"/>
    <w:link w:val="aa"/>
    <w:semiHidden/>
    <w:rsid w:val="00B133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133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13371"/>
  </w:style>
  <w:style w:type="paragraph" w:styleId="ab">
    <w:name w:val="Body Text"/>
    <w:basedOn w:val="a"/>
    <w:link w:val="ac"/>
    <w:rsid w:val="00B13371"/>
    <w:pPr>
      <w:suppressAutoHyphens/>
      <w:spacing w:after="120"/>
    </w:pPr>
    <w:rPr>
      <w:sz w:val="26"/>
      <w:lang w:eastAsia="ar-SA"/>
    </w:rPr>
  </w:style>
  <w:style w:type="character" w:customStyle="1" w:styleId="ac">
    <w:name w:val="Основной текст Знак"/>
    <w:basedOn w:val="a0"/>
    <w:link w:val="ab"/>
    <w:rsid w:val="00B13371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d">
    <w:name w:val="Hyperlink"/>
    <w:unhideWhenUsed/>
    <w:rsid w:val="00B13371"/>
    <w:rPr>
      <w:color w:val="0000FF"/>
      <w:u w:val="single"/>
    </w:rPr>
  </w:style>
  <w:style w:type="character" w:customStyle="1" w:styleId="SUBST">
    <w:name w:val="__SUBST"/>
    <w:rsid w:val="00B13371"/>
    <w:rPr>
      <w:b/>
      <w:bCs/>
      <w:i/>
      <w:iCs/>
      <w:sz w:val="22"/>
      <w:szCs w:val="22"/>
    </w:rPr>
  </w:style>
  <w:style w:type="paragraph" w:styleId="ae">
    <w:name w:val="List Paragraph"/>
    <w:basedOn w:val="a"/>
    <w:uiPriority w:val="34"/>
    <w:qFormat/>
    <w:rsid w:val="00B1337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1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133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38239F-1AFE-4A2F-B460-B3973FAB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6435</Words>
  <Characters>36684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Рылькова Ольга Михайловна</dc:creator>
  <cp:lastModifiedBy>Храпунович Светлана Викторовна</cp:lastModifiedBy>
  <cp:revision>2</cp:revision>
  <cp:lastPrinted>2017-04-25T11:46:00Z</cp:lastPrinted>
  <dcterms:created xsi:type="dcterms:W3CDTF">2017-06-13T15:48:00Z</dcterms:created>
  <dcterms:modified xsi:type="dcterms:W3CDTF">2017-06-13T15:48:00Z</dcterms:modified>
</cp:coreProperties>
</file>