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EE0" w:rsidRDefault="00AA7EE0" w:rsidP="00BB4B93">
      <w:pPr>
        <w:jc w:val="both"/>
      </w:pPr>
    </w:p>
    <w:p w:rsidR="00AA7EE0" w:rsidRDefault="00AA7EE0" w:rsidP="00BB4B93">
      <w:pPr>
        <w:jc w:val="both"/>
      </w:pPr>
    </w:p>
    <w:p w:rsidR="00AA7EE0" w:rsidRDefault="00AA7EE0" w:rsidP="00BB4B93">
      <w:pPr>
        <w:spacing w:before="960"/>
        <w:jc w:val="center"/>
        <w:rPr>
          <w:b/>
          <w:bCs/>
          <w:sz w:val="32"/>
          <w:szCs w:val="32"/>
        </w:rPr>
      </w:pPr>
      <w:r>
        <w:rPr>
          <w:b/>
          <w:bCs/>
          <w:sz w:val="32"/>
          <w:szCs w:val="32"/>
        </w:rPr>
        <w:t>Е Ж Е К В А Р Т А Л Ь Н Ы Й  О Т Ч Е Т</w:t>
      </w:r>
    </w:p>
    <w:p w:rsidR="00AA7EE0" w:rsidRDefault="00AA7EE0" w:rsidP="00BB4B93">
      <w:pPr>
        <w:spacing w:before="600"/>
        <w:jc w:val="center"/>
        <w:rPr>
          <w:b/>
          <w:bCs/>
          <w:i/>
          <w:iCs/>
          <w:sz w:val="32"/>
          <w:szCs w:val="32"/>
        </w:rPr>
      </w:pPr>
      <w:r>
        <w:rPr>
          <w:b/>
          <w:bCs/>
          <w:i/>
          <w:iCs/>
          <w:sz w:val="32"/>
          <w:szCs w:val="32"/>
        </w:rPr>
        <w:t>Открытое акционерное общество "РН-Влакра"</w:t>
      </w:r>
    </w:p>
    <w:p w:rsidR="00AA7EE0" w:rsidRDefault="00AA7EE0" w:rsidP="00BB4B93">
      <w:pPr>
        <w:spacing w:before="120"/>
        <w:jc w:val="center"/>
        <w:rPr>
          <w:b/>
          <w:bCs/>
          <w:i/>
          <w:iCs/>
          <w:sz w:val="28"/>
          <w:szCs w:val="28"/>
        </w:rPr>
      </w:pPr>
      <w:r>
        <w:rPr>
          <w:b/>
          <w:bCs/>
          <w:i/>
          <w:iCs/>
          <w:sz w:val="28"/>
          <w:szCs w:val="28"/>
        </w:rPr>
        <w:t>Код эмитента: 13057-A</w:t>
      </w:r>
    </w:p>
    <w:p w:rsidR="00AA7EE0" w:rsidRDefault="00AA7EE0" w:rsidP="00BB4B93">
      <w:pPr>
        <w:spacing w:before="360"/>
        <w:jc w:val="center"/>
        <w:rPr>
          <w:b/>
          <w:bCs/>
          <w:sz w:val="32"/>
          <w:szCs w:val="32"/>
        </w:rPr>
      </w:pPr>
      <w:r>
        <w:rPr>
          <w:b/>
          <w:bCs/>
          <w:sz w:val="32"/>
          <w:szCs w:val="32"/>
        </w:rPr>
        <w:t>за 1 квартал 2012 г.</w:t>
      </w:r>
    </w:p>
    <w:p w:rsidR="00AA7EE0" w:rsidRDefault="00AA7EE0" w:rsidP="00BB4B93">
      <w:pPr>
        <w:spacing w:before="840"/>
        <w:jc w:val="center"/>
        <w:rPr>
          <w:sz w:val="24"/>
          <w:szCs w:val="24"/>
        </w:rPr>
      </w:pPr>
      <w:r>
        <w:rPr>
          <w:sz w:val="24"/>
          <w:szCs w:val="24"/>
        </w:rPr>
        <w:t>Место нахождения эмитента:</w:t>
      </w:r>
      <w:r>
        <w:rPr>
          <w:b/>
          <w:bCs/>
          <w:sz w:val="24"/>
          <w:szCs w:val="24"/>
        </w:rPr>
        <w:t xml:space="preserve"> 119071 Россия, Москва, Малая Калужская 15 стр. 1</w:t>
      </w:r>
    </w:p>
    <w:p w:rsidR="00AA7EE0" w:rsidRDefault="00AA7EE0" w:rsidP="00BB4B93">
      <w:pPr>
        <w:spacing w:before="600" w:after="360"/>
        <w:jc w:val="both"/>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AA7EE0" w:rsidRDefault="00AA7EE0" w:rsidP="00BB4B93">
      <w:pPr>
        <w:jc w:val="both"/>
      </w:pPr>
    </w:p>
    <w:tbl>
      <w:tblPr>
        <w:tblW w:w="0" w:type="auto"/>
        <w:tblLayout w:type="fixed"/>
        <w:tblCellMar>
          <w:left w:w="72" w:type="dxa"/>
          <w:right w:w="72" w:type="dxa"/>
        </w:tblCellMar>
        <w:tblLook w:val="0000"/>
      </w:tblPr>
      <w:tblGrid>
        <w:gridCol w:w="5572"/>
        <w:gridCol w:w="3680"/>
      </w:tblGrid>
      <w:tr w:rsidR="00AA7EE0" w:rsidRPr="00BB4B93">
        <w:tblPrEx>
          <w:tblCellMar>
            <w:top w:w="0" w:type="dxa"/>
            <w:bottom w:w="0" w:type="dxa"/>
          </w:tblCellMar>
        </w:tblPrEx>
        <w:tc>
          <w:tcPr>
            <w:tcW w:w="5572" w:type="dxa"/>
            <w:tcBorders>
              <w:top w:val="single" w:sz="6" w:space="0" w:color="auto"/>
              <w:left w:val="single" w:sz="6" w:space="0" w:color="auto"/>
              <w:bottom w:val="nil"/>
              <w:right w:val="nil"/>
            </w:tcBorders>
          </w:tcPr>
          <w:p w:rsidR="00AA7EE0" w:rsidRPr="00BB4B93" w:rsidRDefault="00AA7EE0" w:rsidP="00BB4B93">
            <w:pPr>
              <w:spacing w:before="120"/>
              <w:jc w:val="both"/>
              <w:rPr>
                <w:rFonts w:eastAsiaTheme="minorEastAsia"/>
              </w:rPr>
            </w:pPr>
          </w:p>
          <w:p w:rsidR="00AA7EE0" w:rsidRPr="00BB4B93" w:rsidRDefault="00AA7EE0" w:rsidP="00BB4B93">
            <w:pPr>
              <w:spacing w:before="200"/>
              <w:jc w:val="both"/>
              <w:rPr>
                <w:rFonts w:eastAsiaTheme="minorEastAsia"/>
              </w:rPr>
            </w:pPr>
            <w:r w:rsidRPr="00BB4B93">
              <w:rPr>
                <w:rFonts w:eastAsiaTheme="minorEastAsia"/>
              </w:rPr>
              <w:t>Генеральный директор</w:t>
            </w:r>
          </w:p>
          <w:p w:rsidR="00AA7EE0" w:rsidRPr="00BB4B93" w:rsidRDefault="00AA7EE0" w:rsidP="00BB4B93">
            <w:pPr>
              <w:jc w:val="both"/>
              <w:rPr>
                <w:rFonts w:eastAsiaTheme="minorEastAsia"/>
              </w:rPr>
            </w:pPr>
            <w:r w:rsidRPr="00BB4B93">
              <w:rPr>
                <w:rFonts w:eastAsiaTheme="minorEastAsia"/>
              </w:rPr>
              <w:t xml:space="preserve">Дата: </w:t>
            </w:r>
            <w:r w:rsidR="00A22964" w:rsidRPr="00BB4B93">
              <w:rPr>
                <w:rFonts w:eastAsiaTheme="minorEastAsia"/>
              </w:rPr>
              <w:t>11</w:t>
            </w:r>
            <w:r w:rsidRPr="00BB4B93">
              <w:rPr>
                <w:rFonts w:eastAsiaTheme="minorEastAsia"/>
              </w:rPr>
              <w:t xml:space="preserve"> мая 2012 г.</w:t>
            </w:r>
          </w:p>
        </w:tc>
        <w:tc>
          <w:tcPr>
            <w:tcW w:w="3680" w:type="dxa"/>
            <w:tcBorders>
              <w:top w:val="single" w:sz="6" w:space="0" w:color="auto"/>
              <w:left w:val="nil"/>
              <w:bottom w:val="nil"/>
              <w:right w:val="single" w:sz="6" w:space="0" w:color="auto"/>
            </w:tcBorders>
          </w:tcPr>
          <w:p w:rsidR="00AA7EE0" w:rsidRPr="00BB4B93" w:rsidRDefault="00AA7EE0" w:rsidP="00BB4B93">
            <w:pPr>
              <w:jc w:val="both"/>
              <w:rPr>
                <w:rFonts w:eastAsiaTheme="minorEastAsia"/>
              </w:rPr>
            </w:pPr>
          </w:p>
          <w:p w:rsidR="00AA7EE0" w:rsidRPr="00BB4B93" w:rsidRDefault="00AA7EE0" w:rsidP="00BB4B93">
            <w:pPr>
              <w:spacing w:before="200" w:after="200"/>
              <w:jc w:val="both"/>
              <w:rPr>
                <w:rFonts w:eastAsiaTheme="minorEastAsia"/>
              </w:rPr>
            </w:pPr>
            <w:r w:rsidRPr="00BB4B93">
              <w:rPr>
                <w:rFonts w:eastAsiaTheme="minorEastAsia"/>
              </w:rPr>
              <w:t>____________ С.В. Грицкевич</w:t>
            </w:r>
            <w:r w:rsidRPr="00BB4B93">
              <w:rPr>
                <w:rFonts w:eastAsiaTheme="minorEastAsia"/>
              </w:rPr>
              <w:br/>
            </w:r>
            <w:r w:rsidRPr="00BB4B93">
              <w:rPr>
                <w:rFonts w:eastAsiaTheme="minorEastAsia"/>
              </w:rPr>
              <w:tab/>
              <w:t>подпись</w:t>
            </w:r>
          </w:p>
        </w:tc>
      </w:tr>
      <w:tr w:rsidR="00AA7EE0" w:rsidRPr="00BB4B93">
        <w:tblPrEx>
          <w:tblCellMar>
            <w:top w:w="0" w:type="dxa"/>
            <w:bottom w:w="0" w:type="dxa"/>
          </w:tblCellMar>
        </w:tblPrEx>
        <w:tc>
          <w:tcPr>
            <w:tcW w:w="5572" w:type="dxa"/>
            <w:tcBorders>
              <w:top w:val="nil"/>
              <w:left w:val="single" w:sz="6" w:space="0" w:color="auto"/>
              <w:bottom w:val="single" w:sz="6" w:space="0" w:color="auto"/>
              <w:right w:val="nil"/>
            </w:tcBorders>
          </w:tcPr>
          <w:p w:rsidR="00AA7EE0" w:rsidRPr="00BB4B93" w:rsidRDefault="00AA7EE0" w:rsidP="00BB4B93">
            <w:pPr>
              <w:spacing w:before="120"/>
              <w:jc w:val="both"/>
              <w:rPr>
                <w:rFonts w:eastAsiaTheme="minorEastAsia"/>
              </w:rPr>
            </w:pPr>
          </w:p>
          <w:p w:rsidR="00AA7EE0" w:rsidRPr="00BB4B93" w:rsidRDefault="00AA7EE0" w:rsidP="00BB4B93">
            <w:pPr>
              <w:spacing w:before="200"/>
              <w:jc w:val="both"/>
              <w:rPr>
                <w:rFonts w:eastAsiaTheme="minorEastAsia"/>
              </w:rPr>
            </w:pPr>
            <w:r w:rsidRPr="00BB4B93">
              <w:rPr>
                <w:rFonts w:eastAsiaTheme="minorEastAsia"/>
              </w:rPr>
              <w:t>Главный бухгалтер</w:t>
            </w:r>
          </w:p>
          <w:p w:rsidR="00AA7EE0" w:rsidRPr="00BB4B93" w:rsidRDefault="00AA7EE0" w:rsidP="00BB4B93">
            <w:pPr>
              <w:jc w:val="both"/>
              <w:rPr>
                <w:rFonts w:eastAsiaTheme="minorEastAsia"/>
              </w:rPr>
            </w:pPr>
            <w:r w:rsidRPr="00BB4B93">
              <w:rPr>
                <w:rFonts w:eastAsiaTheme="minorEastAsia"/>
              </w:rPr>
              <w:t xml:space="preserve">Дата: </w:t>
            </w:r>
            <w:r w:rsidR="00A22964" w:rsidRPr="00BB4B93">
              <w:rPr>
                <w:rFonts w:eastAsiaTheme="minorEastAsia"/>
              </w:rPr>
              <w:t>11</w:t>
            </w:r>
            <w:r w:rsidRPr="00BB4B93">
              <w:rPr>
                <w:rFonts w:eastAsiaTheme="minorEastAsia"/>
              </w:rPr>
              <w:t xml:space="preserve"> мая 2012 г.</w:t>
            </w:r>
          </w:p>
        </w:tc>
        <w:tc>
          <w:tcPr>
            <w:tcW w:w="3680" w:type="dxa"/>
            <w:tcBorders>
              <w:top w:val="nil"/>
              <w:left w:val="nil"/>
              <w:bottom w:val="single" w:sz="6" w:space="0" w:color="auto"/>
              <w:right w:val="single" w:sz="6" w:space="0" w:color="auto"/>
            </w:tcBorders>
          </w:tcPr>
          <w:p w:rsidR="00AA7EE0" w:rsidRPr="00BB4B93" w:rsidRDefault="00AA7EE0" w:rsidP="00BB4B93">
            <w:pPr>
              <w:jc w:val="both"/>
              <w:rPr>
                <w:rFonts w:eastAsiaTheme="minorEastAsia"/>
              </w:rPr>
            </w:pPr>
          </w:p>
          <w:p w:rsidR="00AA7EE0" w:rsidRPr="00BB4B93" w:rsidRDefault="00AA7EE0" w:rsidP="00BB4B93">
            <w:pPr>
              <w:spacing w:before="200" w:after="200"/>
              <w:jc w:val="both"/>
              <w:rPr>
                <w:rFonts w:eastAsiaTheme="minorEastAsia"/>
              </w:rPr>
            </w:pPr>
            <w:r w:rsidRPr="00BB4B93">
              <w:rPr>
                <w:rFonts w:eastAsiaTheme="minorEastAsia"/>
              </w:rPr>
              <w:t>____________ О. В. Козлова</w:t>
            </w:r>
            <w:r w:rsidRPr="00BB4B93">
              <w:rPr>
                <w:rFonts w:eastAsiaTheme="minorEastAsia"/>
              </w:rPr>
              <w:br/>
            </w:r>
            <w:r w:rsidRPr="00BB4B93">
              <w:rPr>
                <w:rFonts w:eastAsiaTheme="minorEastAsia"/>
              </w:rPr>
              <w:tab/>
              <w:t>подпись</w:t>
            </w:r>
          </w:p>
        </w:tc>
      </w:tr>
    </w:tbl>
    <w:p w:rsidR="00AA7EE0" w:rsidRDefault="00AA7EE0" w:rsidP="00BB4B93">
      <w:pPr>
        <w:jc w:val="both"/>
      </w:pPr>
    </w:p>
    <w:p w:rsidR="00AA7EE0" w:rsidRDefault="00AA7EE0" w:rsidP="00BB4B93">
      <w:pPr>
        <w:jc w:val="both"/>
      </w:pPr>
    </w:p>
    <w:tbl>
      <w:tblPr>
        <w:tblW w:w="0" w:type="auto"/>
        <w:tblLayout w:type="fixed"/>
        <w:tblCellMar>
          <w:left w:w="72" w:type="dxa"/>
          <w:right w:w="72" w:type="dxa"/>
        </w:tblCellMar>
        <w:tblLook w:val="0000"/>
      </w:tblPr>
      <w:tblGrid>
        <w:gridCol w:w="9252"/>
      </w:tblGrid>
      <w:tr w:rsidR="00AA7EE0" w:rsidRPr="00BB4B93">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spacing w:before="40"/>
              <w:jc w:val="both"/>
              <w:rPr>
                <w:rFonts w:eastAsiaTheme="minorEastAsia"/>
              </w:rPr>
            </w:pPr>
            <w:r w:rsidRPr="00BB4B93">
              <w:rPr>
                <w:rFonts w:eastAsiaTheme="minorEastAsia"/>
              </w:rPr>
              <w:t>Контактное лицо:</w:t>
            </w:r>
            <w:r w:rsidRPr="00BB4B93">
              <w:rPr>
                <w:rFonts w:eastAsiaTheme="minorEastAsia"/>
                <w:b/>
                <w:bCs/>
              </w:rPr>
              <w:t xml:space="preserve"> Грицкевич Светлана Валентиновна, Генеральный директор</w:t>
            </w:r>
          </w:p>
          <w:p w:rsidR="00AA7EE0" w:rsidRPr="00BB4B93" w:rsidRDefault="00AA7EE0" w:rsidP="00BB4B93">
            <w:pPr>
              <w:spacing w:before="40"/>
              <w:jc w:val="both"/>
              <w:rPr>
                <w:rFonts w:eastAsiaTheme="minorEastAsia"/>
              </w:rPr>
            </w:pPr>
            <w:r w:rsidRPr="00BB4B93">
              <w:rPr>
                <w:rFonts w:eastAsiaTheme="minorEastAsia"/>
              </w:rPr>
              <w:t>Телефон:</w:t>
            </w:r>
            <w:r w:rsidRPr="00BB4B93">
              <w:rPr>
                <w:rFonts w:eastAsiaTheme="minorEastAsia"/>
                <w:b/>
                <w:bCs/>
              </w:rPr>
              <w:t xml:space="preserve"> +7 (495) 955-9243</w:t>
            </w:r>
          </w:p>
          <w:p w:rsidR="00AA7EE0" w:rsidRPr="00BB4B93" w:rsidRDefault="00AA7EE0" w:rsidP="00BB4B93">
            <w:pPr>
              <w:spacing w:before="40"/>
              <w:jc w:val="both"/>
              <w:rPr>
                <w:rFonts w:eastAsiaTheme="minorEastAsia"/>
              </w:rPr>
            </w:pPr>
            <w:r w:rsidRPr="00BB4B93">
              <w:rPr>
                <w:rFonts w:eastAsiaTheme="minorEastAsia"/>
              </w:rPr>
              <w:t>Факс:</w:t>
            </w:r>
            <w:r w:rsidRPr="00BB4B93">
              <w:rPr>
                <w:rFonts w:eastAsiaTheme="minorEastAsia"/>
                <w:b/>
                <w:bCs/>
              </w:rPr>
              <w:t xml:space="preserve"> +7 (495) 955-9243</w:t>
            </w:r>
          </w:p>
          <w:p w:rsidR="00AA7EE0" w:rsidRPr="00BB4B93" w:rsidRDefault="00AA7EE0" w:rsidP="00BB4B93">
            <w:pPr>
              <w:spacing w:before="40"/>
              <w:jc w:val="both"/>
              <w:rPr>
                <w:rFonts w:eastAsiaTheme="minorEastAsia"/>
              </w:rPr>
            </w:pPr>
            <w:r w:rsidRPr="00BB4B93">
              <w:rPr>
                <w:rFonts w:eastAsiaTheme="minorEastAsia"/>
              </w:rPr>
              <w:t>Адрес электронной почты:</w:t>
            </w:r>
            <w:r w:rsidRPr="00BB4B93">
              <w:rPr>
                <w:rFonts w:eastAsiaTheme="minorEastAsia"/>
                <w:b/>
                <w:bCs/>
              </w:rPr>
              <w:t xml:space="preserve"> info@rnvlakra.ru</w:t>
            </w:r>
          </w:p>
          <w:p w:rsidR="00AA7EE0" w:rsidRPr="00BB4B93" w:rsidRDefault="00AA7EE0" w:rsidP="00BB4B93">
            <w:pPr>
              <w:spacing w:before="40"/>
              <w:jc w:val="both"/>
              <w:rPr>
                <w:rFonts w:eastAsiaTheme="minorEastAsia"/>
                <w:b/>
                <w:bCs/>
              </w:rPr>
            </w:pPr>
            <w:r w:rsidRPr="00BB4B93">
              <w:rPr>
                <w:rFonts w:eastAsiaTheme="minorEastAsia"/>
              </w:rPr>
              <w:t>Адрес страницы (страниц) в сети Интернет, на которой раскрывается информация, содержащаяся в настоящем ежеквартальном отчете:</w:t>
            </w:r>
            <w:r w:rsidRPr="00BB4B93">
              <w:rPr>
                <w:rFonts w:eastAsiaTheme="minorEastAsia"/>
                <w:b/>
                <w:bCs/>
              </w:rPr>
              <w:t xml:space="preserve"> </w:t>
            </w:r>
            <w:hyperlink r:id="rId8" w:history="1">
              <w:r w:rsidR="00CE1090">
                <w:rPr>
                  <w:rStyle w:val="a5"/>
                </w:rPr>
                <w:t>http://disclosure.1prime.ru/portal/default.aspx?emid=7725636702</w:t>
              </w:r>
            </w:hyperlink>
          </w:p>
        </w:tc>
        <w:tc>
          <w:tcPr>
            <w:gridSpan w:val="0"/>
          </w:tcPr>
          <w:p w:rsidR="00AA7EE0" w:rsidRPr="00BB4B93" w:rsidRDefault="00AA7EE0" w:rsidP="00BB4B93">
            <w:pPr>
              <w:spacing w:before="40"/>
              <w:jc w:val="both"/>
              <w:rPr>
                <w:rFonts w:eastAsiaTheme="minorEastAsia"/>
              </w:rPr>
            </w:pPr>
          </w:p>
        </w:tc>
      </w:tr>
    </w:tbl>
    <w:p w:rsidR="00AA7EE0" w:rsidRDefault="00AA7EE0" w:rsidP="00BB4B93">
      <w:pPr>
        <w:jc w:val="both"/>
      </w:pPr>
    </w:p>
    <w:p w:rsidR="00AA7EE0" w:rsidRDefault="00AA7EE0" w:rsidP="00BB4B93">
      <w:pPr>
        <w:pStyle w:val="1"/>
        <w:jc w:val="both"/>
      </w:pPr>
      <w:r>
        <w:br w:type="page"/>
      </w:r>
      <w:bookmarkStart w:id="0" w:name="_Toc324431712"/>
      <w:r>
        <w:lastRenderedPageBreak/>
        <w:t>Оглавление</w:t>
      </w:r>
      <w:bookmarkEnd w:id="0"/>
    </w:p>
    <w:p w:rsidR="00EB71B3" w:rsidRDefault="00AA7EE0">
      <w:pPr>
        <w:pStyle w:val="11"/>
        <w:tabs>
          <w:tab w:val="right" w:leader="dot" w:pos="9628"/>
        </w:tabs>
        <w:rPr>
          <w:rFonts w:asciiTheme="minorHAnsi" w:eastAsiaTheme="minorEastAsia" w:hAnsiTheme="minorHAnsi" w:cstheme="minorBidi"/>
          <w:noProof/>
          <w:sz w:val="22"/>
          <w:szCs w:val="22"/>
        </w:rPr>
      </w:pPr>
      <w:r>
        <w:fldChar w:fldCharType="begin"/>
      </w:r>
      <w:r>
        <w:instrText>TOC</w:instrText>
      </w:r>
      <w:r>
        <w:fldChar w:fldCharType="separate"/>
      </w:r>
      <w:r w:rsidR="00EB71B3">
        <w:rPr>
          <w:noProof/>
        </w:rPr>
        <w:t>Оглавление</w:t>
      </w:r>
      <w:r w:rsidR="00EB71B3">
        <w:rPr>
          <w:noProof/>
        </w:rPr>
        <w:tab/>
      </w:r>
      <w:r w:rsidR="00EB71B3">
        <w:rPr>
          <w:noProof/>
        </w:rPr>
        <w:fldChar w:fldCharType="begin"/>
      </w:r>
      <w:r w:rsidR="00EB71B3">
        <w:rPr>
          <w:noProof/>
        </w:rPr>
        <w:instrText xml:space="preserve"> PAGEREF _Toc324431712 \h </w:instrText>
      </w:r>
      <w:r w:rsidR="00144859">
        <w:rPr>
          <w:noProof/>
        </w:rPr>
      </w:r>
      <w:r w:rsidR="00EB71B3">
        <w:rPr>
          <w:noProof/>
        </w:rPr>
        <w:fldChar w:fldCharType="separate"/>
      </w:r>
      <w:r w:rsidR="00CC2599">
        <w:rPr>
          <w:noProof/>
        </w:rPr>
        <w:t>2</w:t>
      </w:r>
      <w:r w:rsidR="00EB71B3">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Введение</w:t>
      </w:r>
      <w:r>
        <w:rPr>
          <w:noProof/>
        </w:rPr>
        <w:tab/>
      </w:r>
      <w:r>
        <w:rPr>
          <w:noProof/>
        </w:rPr>
        <w:fldChar w:fldCharType="begin"/>
      </w:r>
      <w:r>
        <w:rPr>
          <w:noProof/>
        </w:rPr>
        <w:instrText xml:space="preserve"> PAGEREF _Toc324431713 \h </w:instrText>
      </w:r>
      <w:r w:rsidR="00144859">
        <w:rPr>
          <w:noProof/>
        </w:rPr>
      </w:r>
      <w:r>
        <w:rPr>
          <w:noProof/>
        </w:rPr>
        <w:fldChar w:fldCharType="separate"/>
      </w:r>
      <w:r w:rsidR="00CC2599">
        <w:rPr>
          <w:noProof/>
        </w:rPr>
        <w:t>5</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_Toc324431714 \h </w:instrText>
      </w:r>
      <w:r w:rsidR="00144859">
        <w:rPr>
          <w:noProof/>
        </w:rPr>
      </w:r>
      <w:r>
        <w:rPr>
          <w:noProof/>
        </w:rPr>
        <w:fldChar w:fldCharType="separate"/>
      </w:r>
      <w:r w:rsidR="00CC2599">
        <w:rPr>
          <w:noProof/>
        </w:rPr>
        <w:t>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_Toc324431715 \h </w:instrText>
      </w:r>
      <w:r w:rsidR="00144859">
        <w:rPr>
          <w:noProof/>
        </w:rPr>
      </w:r>
      <w:r>
        <w:rPr>
          <w:noProof/>
        </w:rPr>
        <w:fldChar w:fldCharType="separate"/>
      </w:r>
      <w:r w:rsidR="00CC2599">
        <w:rPr>
          <w:noProof/>
        </w:rPr>
        <w:t>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1.2. Сведения о банковских счетах эмитента</w:t>
      </w:r>
      <w:r>
        <w:rPr>
          <w:noProof/>
        </w:rPr>
        <w:tab/>
      </w:r>
      <w:r>
        <w:rPr>
          <w:noProof/>
        </w:rPr>
        <w:fldChar w:fldCharType="begin"/>
      </w:r>
      <w:r>
        <w:rPr>
          <w:noProof/>
        </w:rPr>
        <w:instrText xml:space="preserve"> PAGEREF _Toc324431716 \h </w:instrText>
      </w:r>
      <w:r w:rsidR="00144859">
        <w:rPr>
          <w:noProof/>
        </w:rPr>
      </w:r>
      <w:r>
        <w:rPr>
          <w:noProof/>
        </w:rPr>
        <w:fldChar w:fldCharType="separate"/>
      </w:r>
      <w:r w:rsidR="00CC2599">
        <w:rPr>
          <w:noProof/>
        </w:rPr>
        <w:t>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1.3. Сведения об аудиторе (аудиторах) эмитента</w:t>
      </w:r>
      <w:r>
        <w:rPr>
          <w:noProof/>
        </w:rPr>
        <w:tab/>
      </w:r>
      <w:r>
        <w:rPr>
          <w:noProof/>
        </w:rPr>
        <w:fldChar w:fldCharType="begin"/>
      </w:r>
      <w:r>
        <w:rPr>
          <w:noProof/>
        </w:rPr>
        <w:instrText xml:space="preserve"> PAGEREF _Toc324431717 \h </w:instrText>
      </w:r>
      <w:r w:rsidR="00144859">
        <w:rPr>
          <w:noProof/>
        </w:rPr>
      </w:r>
      <w:r>
        <w:rPr>
          <w:noProof/>
        </w:rPr>
        <w:fldChar w:fldCharType="separate"/>
      </w:r>
      <w:r w:rsidR="00CC2599">
        <w:rPr>
          <w:noProof/>
        </w:rPr>
        <w:t>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1.4. Сведения об оценщике эмитента</w:t>
      </w:r>
      <w:r>
        <w:rPr>
          <w:noProof/>
        </w:rPr>
        <w:tab/>
      </w:r>
      <w:r>
        <w:rPr>
          <w:noProof/>
        </w:rPr>
        <w:fldChar w:fldCharType="begin"/>
      </w:r>
      <w:r>
        <w:rPr>
          <w:noProof/>
        </w:rPr>
        <w:instrText xml:space="preserve"> PAGEREF _Toc324431718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1.5. Сведения о консультантах эмитента</w:t>
      </w:r>
      <w:r>
        <w:rPr>
          <w:noProof/>
        </w:rPr>
        <w:tab/>
      </w:r>
      <w:r>
        <w:rPr>
          <w:noProof/>
        </w:rPr>
        <w:fldChar w:fldCharType="begin"/>
      </w:r>
      <w:r>
        <w:rPr>
          <w:noProof/>
        </w:rPr>
        <w:instrText xml:space="preserve"> PAGEREF _Toc324431719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_Toc324431720 \h </w:instrText>
      </w:r>
      <w:r w:rsidR="00144859">
        <w:rPr>
          <w:noProof/>
        </w:rPr>
      </w:r>
      <w:r>
        <w:rPr>
          <w:noProof/>
        </w:rPr>
        <w:fldChar w:fldCharType="separate"/>
      </w:r>
      <w:r w:rsidR="00CC2599">
        <w:rPr>
          <w:noProof/>
        </w:rPr>
        <w:t>10</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_Toc324431721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_Toc324431722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_Toc324431723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_Toc324431724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_Toc324431725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_Toc324431726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_Toc324431727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_Toc324431728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_Toc324431729 \h </w:instrText>
      </w:r>
      <w:r w:rsidR="00144859">
        <w:rPr>
          <w:noProof/>
        </w:rPr>
      </w:r>
      <w:r>
        <w:rPr>
          <w:noProof/>
        </w:rPr>
        <w:fldChar w:fldCharType="separate"/>
      </w:r>
      <w:r w:rsidR="00CC2599">
        <w:rPr>
          <w:noProof/>
        </w:rPr>
        <w:t>10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2.4.1. Отраслевые риски</w:t>
      </w:r>
      <w:r>
        <w:rPr>
          <w:noProof/>
        </w:rPr>
        <w:tab/>
      </w:r>
      <w:r>
        <w:rPr>
          <w:noProof/>
        </w:rPr>
        <w:fldChar w:fldCharType="begin"/>
      </w:r>
      <w:r>
        <w:rPr>
          <w:noProof/>
        </w:rPr>
        <w:instrText xml:space="preserve"> PAGEREF _Toc324431730 \h </w:instrText>
      </w:r>
      <w:r w:rsidR="00144859">
        <w:rPr>
          <w:noProof/>
        </w:rPr>
      </w:r>
      <w:r>
        <w:rPr>
          <w:noProof/>
        </w:rPr>
        <w:fldChar w:fldCharType="separate"/>
      </w:r>
      <w:r w:rsidR="00CC2599">
        <w:rPr>
          <w:noProof/>
        </w:rPr>
        <w:t>11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2.4.2. Страновые и региональные риски</w:t>
      </w:r>
      <w:r>
        <w:rPr>
          <w:noProof/>
        </w:rPr>
        <w:tab/>
      </w:r>
      <w:r>
        <w:rPr>
          <w:noProof/>
        </w:rPr>
        <w:fldChar w:fldCharType="begin"/>
      </w:r>
      <w:r>
        <w:rPr>
          <w:noProof/>
        </w:rPr>
        <w:instrText xml:space="preserve"> PAGEREF _Toc324431731 \h </w:instrText>
      </w:r>
      <w:r w:rsidR="00144859">
        <w:rPr>
          <w:noProof/>
        </w:rPr>
      </w:r>
      <w:r>
        <w:rPr>
          <w:noProof/>
        </w:rPr>
        <w:fldChar w:fldCharType="separate"/>
      </w:r>
      <w:r w:rsidR="00CC2599">
        <w:rPr>
          <w:noProof/>
        </w:rPr>
        <w:t>12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2.4.3. Финансовые риски</w:t>
      </w:r>
      <w:r>
        <w:rPr>
          <w:noProof/>
        </w:rPr>
        <w:tab/>
      </w:r>
      <w:r>
        <w:rPr>
          <w:noProof/>
        </w:rPr>
        <w:fldChar w:fldCharType="begin"/>
      </w:r>
      <w:r>
        <w:rPr>
          <w:noProof/>
        </w:rPr>
        <w:instrText xml:space="preserve"> PAGEREF _Toc324431732 \h </w:instrText>
      </w:r>
      <w:r w:rsidR="00144859">
        <w:rPr>
          <w:noProof/>
        </w:rPr>
      </w:r>
      <w:r>
        <w:rPr>
          <w:noProof/>
        </w:rPr>
        <w:fldChar w:fldCharType="separate"/>
      </w:r>
      <w:r w:rsidR="00CC2599">
        <w:rPr>
          <w:noProof/>
        </w:rPr>
        <w:t>13</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2.4.4. Правовые риски</w:t>
      </w:r>
      <w:r>
        <w:rPr>
          <w:noProof/>
        </w:rPr>
        <w:tab/>
      </w:r>
      <w:r>
        <w:rPr>
          <w:noProof/>
        </w:rPr>
        <w:fldChar w:fldCharType="begin"/>
      </w:r>
      <w:r>
        <w:rPr>
          <w:noProof/>
        </w:rPr>
        <w:instrText xml:space="preserve"> PAGEREF _Toc324431733 \h </w:instrText>
      </w:r>
      <w:r w:rsidR="00144859">
        <w:rPr>
          <w:noProof/>
        </w:rPr>
      </w:r>
      <w:r>
        <w:rPr>
          <w:noProof/>
        </w:rPr>
        <w:fldChar w:fldCharType="separate"/>
      </w:r>
      <w:r w:rsidR="00CC2599">
        <w:rPr>
          <w:noProof/>
        </w:rPr>
        <w:t>14</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2.4.5. Риски, связанные с деятельностью эмитента</w:t>
      </w:r>
      <w:r>
        <w:rPr>
          <w:noProof/>
        </w:rPr>
        <w:tab/>
      </w:r>
      <w:r>
        <w:rPr>
          <w:noProof/>
        </w:rPr>
        <w:fldChar w:fldCharType="begin"/>
      </w:r>
      <w:r>
        <w:rPr>
          <w:noProof/>
        </w:rPr>
        <w:instrText xml:space="preserve"> PAGEREF _Toc324431734 \h </w:instrText>
      </w:r>
      <w:r w:rsidR="00144859">
        <w:rPr>
          <w:noProof/>
        </w:rPr>
      </w:r>
      <w:r>
        <w:rPr>
          <w:noProof/>
        </w:rPr>
        <w:fldChar w:fldCharType="separate"/>
      </w:r>
      <w:r w:rsidR="00CC2599">
        <w:rPr>
          <w:noProof/>
        </w:rPr>
        <w:t>15</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III. Подробная информация об эмитенте</w:t>
      </w:r>
      <w:r>
        <w:rPr>
          <w:noProof/>
        </w:rPr>
        <w:tab/>
      </w:r>
      <w:r>
        <w:rPr>
          <w:noProof/>
        </w:rPr>
        <w:fldChar w:fldCharType="begin"/>
      </w:r>
      <w:r>
        <w:rPr>
          <w:noProof/>
        </w:rPr>
        <w:instrText xml:space="preserve"> PAGEREF _Toc324431735 \h </w:instrText>
      </w:r>
      <w:r w:rsidR="00144859">
        <w:rPr>
          <w:noProof/>
        </w:rPr>
      </w:r>
      <w:r>
        <w:rPr>
          <w:noProof/>
        </w:rPr>
        <w:fldChar w:fldCharType="separate"/>
      </w:r>
      <w:r w:rsidR="00CC2599">
        <w:rPr>
          <w:noProof/>
        </w:rPr>
        <w:t>15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_Toc324431736 \h </w:instrText>
      </w:r>
      <w:r w:rsidR="00144859">
        <w:rPr>
          <w:noProof/>
        </w:rPr>
      </w:r>
      <w:r>
        <w:rPr>
          <w:noProof/>
        </w:rPr>
        <w:fldChar w:fldCharType="separate"/>
      </w:r>
      <w:r w:rsidR="00CC2599">
        <w:rPr>
          <w:noProof/>
        </w:rPr>
        <w:t>15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_Toc324431737 \h </w:instrText>
      </w:r>
      <w:r w:rsidR="00144859">
        <w:rPr>
          <w:noProof/>
        </w:rPr>
      </w:r>
      <w:r>
        <w:rPr>
          <w:noProof/>
        </w:rPr>
        <w:fldChar w:fldCharType="separate"/>
      </w:r>
      <w:r w:rsidR="00CC2599">
        <w:rPr>
          <w:noProof/>
        </w:rPr>
        <w:t>15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_Toc324431738 \h </w:instrText>
      </w:r>
      <w:r w:rsidR="00144859">
        <w:rPr>
          <w:noProof/>
        </w:rPr>
      </w:r>
      <w:r>
        <w:rPr>
          <w:noProof/>
        </w:rPr>
        <w:fldChar w:fldCharType="separate"/>
      </w:r>
      <w:r w:rsidR="00CC2599">
        <w:rPr>
          <w:noProof/>
        </w:rPr>
        <w:t>16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_Toc324431739 \h </w:instrText>
      </w:r>
      <w:r w:rsidR="00144859">
        <w:rPr>
          <w:noProof/>
        </w:rPr>
      </w:r>
      <w:r>
        <w:rPr>
          <w:noProof/>
        </w:rPr>
        <w:fldChar w:fldCharType="separate"/>
      </w:r>
      <w:r w:rsidR="00CC2599">
        <w:rPr>
          <w:noProof/>
        </w:rPr>
        <w:t>16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_Toc324431740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_Toc324431741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_Toc324431742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_Toc324431743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3.2.1. Отраслевая принадлежность эмитента</w:t>
      </w:r>
      <w:r>
        <w:rPr>
          <w:noProof/>
        </w:rPr>
        <w:tab/>
      </w:r>
      <w:r>
        <w:rPr>
          <w:noProof/>
        </w:rPr>
        <w:fldChar w:fldCharType="begin"/>
      </w:r>
      <w:r>
        <w:rPr>
          <w:noProof/>
        </w:rPr>
        <w:instrText xml:space="preserve"> PAGEREF _Toc324431744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_Toc324431745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_Toc324431746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_Toc324431747 \h </w:instrText>
      </w:r>
      <w:r w:rsidR="00144859">
        <w:rPr>
          <w:noProof/>
        </w:rPr>
      </w:r>
      <w:r>
        <w:rPr>
          <w:noProof/>
        </w:rPr>
        <w:fldChar w:fldCharType="separate"/>
      </w:r>
      <w:r w:rsidR="00CC2599">
        <w:rPr>
          <w:noProof/>
        </w:rPr>
        <w:t>17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_Toc324431748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3.2.6. 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r>
        <w:rPr>
          <w:noProof/>
        </w:rPr>
        <w:tab/>
      </w:r>
      <w:r>
        <w:rPr>
          <w:noProof/>
        </w:rPr>
        <w:fldChar w:fldCharType="begin"/>
      </w:r>
      <w:r>
        <w:rPr>
          <w:noProof/>
        </w:rPr>
        <w:instrText xml:space="preserve"> PAGEREF _Toc324431749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_Toc324431750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_Toc324431751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_Toc324431752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_Toc324431753 \h </w:instrText>
      </w:r>
      <w:r w:rsidR="00144859">
        <w:rPr>
          <w:noProof/>
        </w:rPr>
      </w:r>
      <w:r>
        <w:rPr>
          <w:noProof/>
        </w:rPr>
        <w:fldChar w:fldCharType="separate"/>
      </w:r>
      <w:r w:rsidR="00CC2599">
        <w:rPr>
          <w:noProof/>
        </w:rPr>
        <w:t>18</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lastRenderedPageBreak/>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_Toc324431754 \h </w:instrText>
      </w:r>
      <w:r w:rsidR="00144859">
        <w:rPr>
          <w:noProof/>
        </w:rPr>
      </w:r>
      <w:r>
        <w:rPr>
          <w:noProof/>
        </w:rPr>
        <w:fldChar w:fldCharType="separate"/>
      </w:r>
      <w:r w:rsidR="00CC2599">
        <w:rPr>
          <w:noProof/>
        </w:rPr>
        <w:t>19</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_Toc324431755 \h </w:instrText>
      </w:r>
      <w:r w:rsidR="00144859">
        <w:rPr>
          <w:noProof/>
        </w:rPr>
      </w:r>
      <w:r>
        <w:rPr>
          <w:noProof/>
        </w:rPr>
        <w:fldChar w:fldCharType="separate"/>
      </w:r>
      <w:r w:rsidR="00CC2599">
        <w:rPr>
          <w:noProof/>
        </w:rPr>
        <w:t>19</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3.6.1. Основные средства</w:t>
      </w:r>
      <w:r>
        <w:rPr>
          <w:noProof/>
        </w:rPr>
        <w:tab/>
      </w:r>
      <w:r>
        <w:rPr>
          <w:noProof/>
        </w:rPr>
        <w:fldChar w:fldCharType="begin"/>
      </w:r>
      <w:r>
        <w:rPr>
          <w:noProof/>
        </w:rPr>
        <w:instrText xml:space="preserve"> PAGEREF _Toc324431756 \h </w:instrText>
      </w:r>
      <w:r w:rsidR="00144859">
        <w:rPr>
          <w:noProof/>
        </w:rPr>
      </w:r>
      <w:r>
        <w:rPr>
          <w:noProof/>
        </w:rPr>
        <w:fldChar w:fldCharType="separate"/>
      </w:r>
      <w:r w:rsidR="00CC2599">
        <w:rPr>
          <w:noProof/>
        </w:rPr>
        <w:t>1</w:t>
      </w:r>
      <w:r w:rsidR="00CC2599">
        <w:rPr>
          <w:noProof/>
        </w:rPr>
        <w:t>9</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_Toc324431757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_Toc324431758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_Toc324431759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_Toc324431760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_Toc324431761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_Toc324431762 \h </w:instrText>
      </w:r>
      <w:r w:rsidR="00144859">
        <w:rPr>
          <w:noProof/>
        </w:rPr>
      </w:r>
      <w:r>
        <w:rPr>
          <w:noProof/>
        </w:rPr>
        <w:fldChar w:fldCharType="separate"/>
      </w:r>
      <w:r w:rsidR="00CC2599">
        <w:rPr>
          <w:noProof/>
        </w:rPr>
        <w:t>20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_Toc324431763 \h </w:instrText>
      </w:r>
      <w:r w:rsidR="00144859">
        <w:rPr>
          <w:noProof/>
        </w:rPr>
      </w:r>
      <w:r>
        <w:rPr>
          <w:noProof/>
        </w:rPr>
        <w:fldChar w:fldCharType="separate"/>
      </w:r>
      <w:r w:rsidR="00CC2599">
        <w:rPr>
          <w:noProof/>
        </w:rPr>
        <w:t>21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4.6.1. Анализ факторов и условий, влияющих на деятельность эмитента</w:t>
      </w:r>
      <w:r>
        <w:rPr>
          <w:noProof/>
        </w:rPr>
        <w:tab/>
      </w:r>
      <w:r>
        <w:rPr>
          <w:noProof/>
        </w:rPr>
        <w:fldChar w:fldCharType="begin"/>
      </w:r>
      <w:r>
        <w:rPr>
          <w:noProof/>
        </w:rPr>
        <w:instrText xml:space="preserve"> PAGEREF _Toc324431764 \h </w:instrText>
      </w:r>
      <w:r w:rsidR="00144859">
        <w:rPr>
          <w:noProof/>
        </w:rPr>
      </w:r>
      <w:r>
        <w:rPr>
          <w:noProof/>
        </w:rPr>
        <w:fldChar w:fldCharType="separate"/>
      </w:r>
      <w:r w:rsidR="00CC2599">
        <w:rPr>
          <w:noProof/>
        </w:rPr>
        <w:t>21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4.6.2. Конкуренты эмитента</w:t>
      </w:r>
      <w:r>
        <w:rPr>
          <w:noProof/>
        </w:rPr>
        <w:tab/>
      </w:r>
      <w:r>
        <w:rPr>
          <w:noProof/>
        </w:rPr>
        <w:fldChar w:fldCharType="begin"/>
      </w:r>
      <w:r>
        <w:rPr>
          <w:noProof/>
        </w:rPr>
        <w:instrText xml:space="preserve"> PAGEREF _Toc324431765 \h </w:instrText>
      </w:r>
      <w:r w:rsidR="00144859">
        <w:rPr>
          <w:noProof/>
        </w:rPr>
      </w:r>
      <w:r>
        <w:rPr>
          <w:noProof/>
        </w:rPr>
        <w:fldChar w:fldCharType="separate"/>
      </w:r>
      <w:r w:rsidR="00CC2599">
        <w:rPr>
          <w:noProof/>
        </w:rPr>
        <w:t>22</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_Toc324431766 \h </w:instrText>
      </w:r>
      <w:r w:rsidR="00144859">
        <w:rPr>
          <w:noProof/>
        </w:rPr>
      </w:r>
      <w:r>
        <w:rPr>
          <w:noProof/>
        </w:rPr>
        <w:fldChar w:fldCharType="separate"/>
      </w:r>
      <w:r w:rsidR="00CC2599">
        <w:rPr>
          <w:noProof/>
        </w:rPr>
        <w:t>22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_Toc324431767 \h </w:instrText>
      </w:r>
      <w:r w:rsidR="00144859">
        <w:rPr>
          <w:noProof/>
        </w:rPr>
      </w:r>
      <w:r>
        <w:rPr>
          <w:noProof/>
        </w:rPr>
        <w:fldChar w:fldCharType="separate"/>
      </w:r>
      <w:r w:rsidR="00CC2599">
        <w:rPr>
          <w:noProof/>
        </w:rPr>
        <w:t>22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_Toc324431768 \h </w:instrText>
      </w:r>
      <w:r w:rsidR="00144859">
        <w:rPr>
          <w:noProof/>
        </w:rPr>
      </w:r>
      <w:r>
        <w:rPr>
          <w:noProof/>
        </w:rPr>
        <w:fldChar w:fldCharType="separate"/>
      </w:r>
      <w:r w:rsidR="00CC2599">
        <w:rPr>
          <w:noProof/>
        </w:rPr>
        <w:t>25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_Toc324431769 \h </w:instrText>
      </w:r>
      <w:r w:rsidR="00144859">
        <w:rPr>
          <w:noProof/>
        </w:rPr>
      </w:r>
      <w:r>
        <w:rPr>
          <w:noProof/>
        </w:rPr>
        <w:fldChar w:fldCharType="separate"/>
      </w:r>
      <w:r w:rsidR="00CC2599">
        <w:rPr>
          <w:noProof/>
        </w:rPr>
        <w:t>25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_Toc324431770 \h </w:instrText>
      </w:r>
      <w:r w:rsidR="00144859">
        <w:rPr>
          <w:noProof/>
        </w:rPr>
      </w:r>
      <w:r>
        <w:rPr>
          <w:noProof/>
        </w:rPr>
        <w:fldChar w:fldCharType="separate"/>
      </w:r>
      <w:r w:rsidR="00CC2599">
        <w:rPr>
          <w:noProof/>
        </w:rPr>
        <w:t>29</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_Toc324431771 \h </w:instrText>
      </w:r>
      <w:r w:rsidR="00144859">
        <w:rPr>
          <w:noProof/>
        </w:rPr>
      </w:r>
      <w:r>
        <w:rPr>
          <w:noProof/>
        </w:rPr>
        <w:fldChar w:fldCharType="separate"/>
      </w:r>
      <w:r w:rsidR="00CC2599">
        <w:rPr>
          <w:noProof/>
        </w:rPr>
        <w:t>31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_Toc324431772 \h </w:instrText>
      </w:r>
      <w:r w:rsidR="00144859">
        <w:rPr>
          <w:noProof/>
        </w:rPr>
      </w:r>
      <w:r>
        <w:rPr>
          <w:noProof/>
        </w:rPr>
        <w:fldChar w:fldCharType="separate"/>
      </w:r>
      <w:r w:rsidR="00CC2599">
        <w:rPr>
          <w:noProof/>
        </w:rPr>
        <w:t>31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_Toc324431773 \h </w:instrText>
      </w:r>
      <w:r w:rsidR="00144859">
        <w:rPr>
          <w:noProof/>
        </w:rPr>
      </w:r>
      <w:r>
        <w:rPr>
          <w:noProof/>
        </w:rPr>
        <w:fldChar w:fldCharType="separate"/>
      </w:r>
      <w:r w:rsidR="00CC2599">
        <w:rPr>
          <w:noProof/>
        </w:rPr>
        <w:t>31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_Toc324431774 \h </w:instrText>
      </w:r>
      <w:r w:rsidR="00144859">
        <w:rPr>
          <w:noProof/>
        </w:rPr>
      </w:r>
      <w:r>
        <w:rPr>
          <w:noProof/>
        </w:rPr>
        <w:fldChar w:fldCharType="separate"/>
      </w:r>
      <w:r w:rsidR="00CC2599">
        <w:rPr>
          <w:noProof/>
        </w:rPr>
        <w:t>32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_Toc324431775 \h </w:instrText>
      </w:r>
      <w:r w:rsidR="00144859">
        <w:rPr>
          <w:noProof/>
        </w:rPr>
      </w:r>
      <w:r>
        <w:rPr>
          <w:noProof/>
        </w:rPr>
        <w:fldChar w:fldCharType="separate"/>
      </w:r>
      <w:r w:rsidR="00CC2599">
        <w:rPr>
          <w:noProof/>
        </w:rPr>
        <w:t>33</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_Toc324431776 \h </w:instrText>
      </w:r>
      <w:r w:rsidR="00144859">
        <w:rPr>
          <w:noProof/>
        </w:rPr>
      </w:r>
      <w:r>
        <w:rPr>
          <w:noProof/>
        </w:rPr>
        <w:fldChar w:fldCharType="separate"/>
      </w:r>
      <w:r w:rsidR="00CC2599">
        <w:rPr>
          <w:noProof/>
        </w:rPr>
        <w:t>33</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_Toc324431777 \h </w:instrText>
      </w:r>
      <w:r w:rsidR="00144859">
        <w:rPr>
          <w:noProof/>
        </w:rPr>
      </w:r>
      <w:r>
        <w:rPr>
          <w:noProof/>
        </w:rPr>
        <w:fldChar w:fldCharType="separate"/>
      </w:r>
      <w:r w:rsidR="00CC2599">
        <w:rPr>
          <w:noProof/>
        </w:rPr>
        <w:t>33</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_Toc324431778 \h </w:instrText>
      </w:r>
      <w:r w:rsidR="00144859">
        <w:rPr>
          <w:noProof/>
        </w:rPr>
      </w:r>
      <w:r>
        <w:rPr>
          <w:noProof/>
        </w:rPr>
        <w:fldChar w:fldCharType="separate"/>
      </w:r>
      <w:r w:rsidR="00CC2599">
        <w:rPr>
          <w:noProof/>
        </w:rPr>
        <w:t>33</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_Toc324431779 \h </w:instrText>
      </w:r>
      <w:r w:rsidR="00144859">
        <w:rPr>
          <w:noProof/>
        </w:rPr>
      </w:r>
      <w:r>
        <w:rPr>
          <w:noProof/>
        </w:rPr>
        <w:fldChar w:fldCharType="separate"/>
      </w:r>
      <w:r w:rsidR="00CC2599">
        <w:rPr>
          <w:noProof/>
        </w:rPr>
        <w:t>33</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_Toc324431780 \h </w:instrText>
      </w:r>
      <w:r w:rsidR="00144859">
        <w:rPr>
          <w:noProof/>
        </w:rPr>
      </w:r>
      <w:r>
        <w:rPr>
          <w:noProof/>
        </w:rPr>
        <w:fldChar w:fldCharType="separate"/>
      </w:r>
      <w:r w:rsidR="00CC2599">
        <w:rPr>
          <w:noProof/>
        </w:rPr>
        <w:t>34</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_Toc324431781 \h </w:instrText>
      </w:r>
      <w:r w:rsidR="00144859">
        <w:rPr>
          <w:noProof/>
        </w:rPr>
      </w:r>
      <w:r>
        <w:rPr>
          <w:noProof/>
        </w:rPr>
        <w:fldChar w:fldCharType="separate"/>
      </w:r>
      <w:r w:rsidR="00CC2599">
        <w:rPr>
          <w:noProof/>
        </w:rPr>
        <w:t>35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_Toc324431782 \h </w:instrText>
      </w:r>
      <w:r w:rsidR="00144859">
        <w:rPr>
          <w:noProof/>
        </w:rPr>
      </w:r>
      <w:r>
        <w:rPr>
          <w:noProof/>
        </w:rPr>
        <w:fldChar w:fldCharType="separate"/>
      </w:r>
      <w:r w:rsidR="00CC2599">
        <w:rPr>
          <w:noProof/>
        </w:rPr>
        <w:t>35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_Toc324431783 \h </w:instrText>
      </w:r>
      <w:r w:rsidR="00144859">
        <w:rPr>
          <w:noProof/>
        </w:rPr>
      </w:r>
      <w:r>
        <w:rPr>
          <w:noProof/>
        </w:rPr>
        <w:fldChar w:fldCharType="separate"/>
      </w:r>
      <w:r w:rsidR="00CC2599">
        <w:rPr>
          <w:noProof/>
        </w:rPr>
        <w:t>35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_Toc324431784 \h </w:instrText>
      </w:r>
      <w:r w:rsidR="00144859">
        <w:rPr>
          <w:noProof/>
        </w:rPr>
      </w:r>
      <w:r>
        <w:rPr>
          <w:noProof/>
        </w:rPr>
        <w:fldChar w:fldCharType="separate"/>
      </w:r>
      <w:r w:rsidR="00CC2599">
        <w:rPr>
          <w:noProof/>
        </w:rPr>
        <w:t>35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_Toc324431785 \h </w:instrText>
      </w:r>
      <w:r w:rsidR="00144859">
        <w:rPr>
          <w:noProof/>
        </w:rPr>
      </w:r>
      <w:r>
        <w:rPr>
          <w:noProof/>
        </w:rPr>
        <w:fldChar w:fldCharType="separate"/>
      </w:r>
      <w:r w:rsidR="00CC2599">
        <w:rPr>
          <w:noProof/>
        </w:rPr>
        <w:t>35</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_Toc324431786 \h </w:instrText>
      </w:r>
      <w:r w:rsidR="00144859">
        <w:rPr>
          <w:noProof/>
        </w:rPr>
      </w:r>
      <w:r>
        <w:rPr>
          <w:noProof/>
        </w:rPr>
        <w:fldChar w:fldCharType="separate"/>
      </w:r>
      <w:r w:rsidR="00CC2599">
        <w:rPr>
          <w:noProof/>
        </w:rPr>
        <w:t>36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_Toc324431787 \h </w:instrText>
      </w:r>
      <w:r w:rsidR="00144859">
        <w:rPr>
          <w:noProof/>
        </w:rPr>
      </w:r>
      <w:r>
        <w:rPr>
          <w:noProof/>
        </w:rPr>
        <w:fldChar w:fldCharType="separate"/>
      </w:r>
      <w:r w:rsidR="00CC2599">
        <w:rPr>
          <w:noProof/>
        </w:rPr>
        <w:t>36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7.2. Квартальная бухгалтерская(финансовая) отчетность эмитента за последний завершенный отчетный квартал</w:t>
      </w:r>
      <w:r>
        <w:rPr>
          <w:noProof/>
        </w:rPr>
        <w:tab/>
      </w:r>
      <w:r>
        <w:rPr>
          <w:noProof/>
        </w:rPr>
        <w:fldChar w:fldCharType="begin"/>
      </w:r>
      <w:r>
        <w:rPr>
          <w:noProof/>
        </w:rPr>
        <w:instrText xml:space="preserve"> PAGEREF _Toc324431788 \h </w:instrText>
      </w:r>
      <w:r w:rsidR="00144859">
        <w:rPr>
          <w:noProof/>
        </w:rPr>
      </w:r>
      <w:r>
        <w:rPr>
          <w:noProof/>
        </w:rPr>
        <w:fldChar w:fldCharType="separate"/>
      </w:r>
      <w:r w:rsidR="00CC2599">
        <w:rPr>
          <w:noProof/>
        </w:rPr>
        <w:t>61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lastRenderedPageBreak/>
        <w:t>7.3. Сводная бухгалтерская отчетность эмитента за последний завершенный финансовый год</w:t>
      </w:r>
      <w:r>
        <w:rPr>
          <w:noProof/>
        </w:rPr>
        <w:tab/>
      </w:r>
      <w:r>
        <w:rPr>
          <w:noProof/>
        </w:rPr>
        <w:fldChar w:fldCharType="begin"/>
      </w:r>
      <w:r>
        <w:rPr>
          <w:noProof/>
        </w:rPr>
        <w:instrText xml:space="preserve"> PAGEREF _Toc324431789 \h </w:instrText>
      </w:r>
      <w:r w:rsidR="00144859">
        <w:rPr>
          <w:noProof/>
        </w:rPr>
      </w:r>
      <w:r>
        <w:rPr>
          <w:noProof/>
        </w:rPr>
        <w:fldChar w:fldCharType="separate"/>
      </w:r>
      <w:r w:rsidR="00CC2599">
        <w:rPr>
          <w:noProof/>
        </w:rPr>
        <w:t>67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_Toc324431790 \h </w:instrText>
      </w:r>
      <w:r w:rsidR="00144859">
        <w:rPr>
          <w:noProof/>
        </w:rPr>
      </w:r>
      <w:r>
        <w:rPr>
          <w:noProof/>
        </w:rPr>
        <w:fldChar w:fldCharType="separate"/>
      </w:r>
      <w:r w:rsidR="00CC2599">
        <w:rPr>
          <w:noProof/>
        </w:rPr>
        <w:t>67</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_Toc324431791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Pr>
          <w:noProof/>
        </w:rPr>
        <w:tab/>
      </w:r>
      <w:r>
        <w:rPr>
          <w:noProof/>
        </w:rPr>
        <w:fldChar w:fldCharType="begin"/>
      </w:r>
      <w:r>
        <w:rPr>
          <w:noProof/>
        </w:rPr>
        <w:instrText xml:space="preserve"> PAGEREF _Toc324431792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_Toc324431793 \h </w:instrText>
      </w:r>
      <w:r w:rsidR="00144859">
        <w:rPr>
          <w:noProof/>
        </w:rPr>
      </w:r>
      <w:r>
        <w:rPr>
          <w:noProof/>
        </w:rPr>
        <w:fldChar w:fldCharType="separate"/>
      </w:r>
      <w:r w:rsidR="00CC2599">
        <w:rPr>
          <w:noProof/>
        </w:rPr>
        <w:t>85</w:t>
      </w:r>
      <w:r>
        <w:rPr>
          <w:noProof/>
        </w:rPr>
        <w:fldChar w:fldCharType="end"/>
      </w:r>
    </w:p>
    <w:p w:rsidR="00EB71B3" w:rsidRDefault="00EB71B3">
      <w:pPr>
        <w:pStyle w:val="11"/>
        <w:tabs>
          <w:tab w:val="right" w:leader="dot" w:pos="9628"/>
        </w:tabs>
        <w:rPr>
          <w:rFonts w:asciiTheme="minorHAnsi" w:eastAsiaTheme="minorEastAsia" w:hAnsiTheme="minorHAnsi" w:cstheme="minorBidi"/>
          <w:noProof/>
          <w:sz w:val="22"/>
          <w:szCs w:val="22"/>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_Toc324431794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 Дополнительные сведения об эмитенте</w:t>
      </w:r>
      <w:r>
        <w:rPr>
          <w:noProof/>
        </w:rPr>
        <w:tab/>
      </w:r>
      <w:r>
        <w:rPr>
          <w:noProof/>
        </w:rPr>
        <w:fldChar w:fldCharType="begin"/>
      </w:r>
      <w:r>
        <w:rPr>
          <w:noProof/>
        </w:rPr>
        <w:instrText xml:space="preserve"> PAGEREF _Toc324431795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_Toc324431796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_Toc324431797 \h </w:instrText>
      </w:r>
      <w:r w:rsidR="00144859">
        <w:rPr>
          <w:noProof/>
        </w:rPr>
      </w:r>
      <w:r>
        <w:rPr>
          <w:noProof/>
        </w:rPr>
        <w:fldChar w:fldCharType="separate"/>
      </w:r>
      <w:r w:rsidR="00CC2599">
        <w:rPr>
          <w:noProof/>
        </w:rPr>
        <w:t>85</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_Toc324431798 \h </w:instrText>
      </w:r>
      <w:r w:rsidR="00144859">
        <w:rPr>
          <w:noProof/>
        </w:rPr>
      </w:r>
      <w:r>
        <w:rPr>
          <w:noProof/>
        </w:rPr>
        <w:fldChar w:fldCharType="separate"/>
      </w:r>
      <w:r w:rsidR="00CC2599">
        <w:rPr>
          <w:noProof/>
        </w:rPr>
        <w:t>86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_Toc324431799 \h </w:instrText>
      </w:r>
      <w:r w:rsidR="00144859">
        <w:rPr>
          <w:noProof/>
        </w:rPr>
      </w:r>
      <w:r>
        <w:rPr>
          <w:noProof/>
        </w:rPr>
        <w:fldChar w:fldCharType="separate"/>
      </w:r>
      <w:r w:rsidR="00CC2599">
        <w:rPr>
          <w:noProof/>
        </w:rPr>
        <w:t>89</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_Toc324431800 \h </w:instrText>
      </w:r>
      <w:r w:rsidR="00144859">
        <w:rPr>
          <w:noProof/>
        </w:rPr>
      </w:r>
      <w:r>
        <w:rPr>
          <w:noProof/>
        </w:rPr>
        <w:fldChar w:fldCharType="separate"/>
      </w:r>
      <w:r w:rsidR="00CC2599">
        <w:rPr>
          <w:noProof/>
        </w:rPr>
        <w:t>89</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_Toc324431801 \h </w:instrText>
      </w:r>
      <w:r w:rsidR="00144859">
        <w:rPr>
          <w:noProof/>
        </w:rPr>
      </w:r>
      <w:r>
        <w:rPr>
          <w:noProof/>
        </w:rPr>
        <w:fldChar w:fldCharType="separate"/>
      </w:r>
      <w:r w:rsidR="00CC2599">
        <w:rPr>
          <w:noProof/>
        </w:rPr>
        <w:t>90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_Toc324431802 \h </w:instrText>
      </w:r>
      <w:r w:rsidR="00144859">
        <w:rPr>
          <w:noProof/>
        </w:rPr>
      </w:r>
      <w:r>
        <w:rPr>
          <w:noProof/>
        </w:rPr>
        <w:fldChar w:fldCharType="separate"/>
      </w:r>
      <w:r w:rsidR="00CC2599">
        <w:rPr>
          <w:noProof/>
        </w:rPr>
        <w:t>90</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_Toc324431803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8.3.1. Сведения о выпусках, все ценные бумаги которых погашены (аннулированы)</w:t>
      </w:r>
      <w:r>
        <w:rPr>
          <w:noProof/>
        </w:rPr>
        <w:tab/>
      </w:r>
      <w:r>
        <w:rPr>
          <w:noProof/>
        </w:rPr>
        <w:fldChar w:fldCharType="begin"/>
      </w:r>
      <w:r>
        <w:rPr>
          <w:noProof/>
        </w:rPr>
        <w:instrText xml:space="preserve"> PAGEREF _Toc324431804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_Toc324431805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8.4. Сведения о лице (лицах), предоставившем (предоставивших) обеспечение по облигациям выпуска</w:t>
      </w:r>
      <w:r>
        <w:rPr>
          <w:noProof/>
        </w:rPr>
        <w:tab/>
      </w:r>
      <w:r>
        <w:rPr>
          <w:noProof/>
        </w:rPr>
        <w:fldChar w:fldCharType="begin"/>
      </w:r>
      <w:r>
        <w:rPr>
          <w:noProof/>
        </w:rPr>
        <w:instrText xml:space="preserve"> PAGEREF _Toc324431806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_Toc324431807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_Toc324431808 \h </w:instrText>
      </w:r>
      <w:r w:rsidR="00144859">
        <w:rPr>
          <w:noProof/>
        </w:rPr>
      </w:r>
      <w:r>
        <w:rPr>
          <w:noProof/>
        </w:rPr>
        <w:fldChar w:fldCharType="separate"/>
      </w:r>
      <w:r w:rsidR="00CC2599">
        <w:rPr>
          <w:noProof/>
        </w:rPr>
        <w:t>91</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_Toc324431809 \h </w:instrText>
      </w:r>
      <w:r w:rsidR="00144859">
        <w:rPr>
          <w:noProof/>
        </w:rPr>
      </w:r>
      <w:r>
        <w:rPr>
          <w:noProof/>
        </w:rPr>
        <w:fldChar w:fldCharType="separate"/>
      </w:r>
      <w:r w:rsidR="00CC2599">
        <w:rPr>
          <w:noProof/>
        </w:rPr>
        <w:t>92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_Toc324431810 \h </w:instrText>
      </w:r>
      <w:r w:rsidR="00144859">
        <w:rPr>
          <w:noProof/>
        </w:rPr>
      </w:r>
      <w:r>
        <w:rPr>
          <w:noProof/>
        </w:rPr>
        <w:fldChar w:fldCharType="separate"/>
      </w:r>
      <w:r w:rsidR="00CC2599">
        <w:rPr>
          <w:noProof/>
        </w:rPr>
        <w:t>92</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_Toc324431811 \h </w:instrText>
      </w:r>
      <w:r w:rsidR="00144859">
        <w:rPr>
          <w:noProof/>
        </w:rPr>
      </w:r>
      <w:r>
        <w:rPr>
          <w:noProof/>
        </w:rPr>
        <w:fldChar w:fldCharType="separate"/>
      </w:r>
      <w:r w:rsidR="00CC2599">
        <w:rPr>
          <w:noProof/>
        </w:rPr>
        <w:t>96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8.8.1. Сведения об объявленных и выплаченных дивидендах по акциям эмитента</w:t>
      </w:r>
      <w:r>
        <w:rPr>
          <w:noProof/>
        </w:rPr>
        <w:tab/>
      </w:r>
      <w:r>
        <w:rPr>
          <w:noProof/>
        </w:rPr>
        <w:fldChar w:fldCharType="begin"/>
      </w:r>
      <w:r>
        <w:rPr>
          <w:noProof/>
        </w:rPr>
        <w:instrText xml:space="preserve"> PAGEREF _Toc324431812 \h </w:instrText>
      </w:r>
      <w:r w:rsidR="00144859">
        <w:rPr>
          <w:noProof/>
        </w:rPr>
      </w:r>
      <w:r>
        <w:rPr>
          <w:noProof/>
        </w:rPr>
        <w:fldChar w:fldCharType="separate"/>
      </w:r>
      <w:r w:rsidR="00CC2599">
        <w:rPr>
          <w:noProof/>
        </w:rPr>
        <w:t>96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8.8.2. Выпуски облигаций, по которым за 5 последних завершенных финансовых лет, предшествующих дате окончания последнего отчетного квартала, а если эмитент осуществляет свою деятельность менее 5 лет - за каждый завершенный финансовый год, предшествующий дате окончания последнего отчетного квартала, выплачивался доход</w:t>
      </w:r>
      <w:r>
        <w:rPr>
          <w:noProof/>
        </w:rPr>
        <w:tab/>
      </w:r>
      <w:r>
        <w:rPr>
          <w:noProof/>
        </w:rPr>
        <w:fldChar w:fldCharType="begin"/>
      </w:r>
      <w:r>
        <w:rPr>
          <w:noProof/>
        </w:rPr>
        <w:instrText xml:space="preserve"> PAGEREF _Toc324431813 \h </w:instrText>
      </w:r>
      <w:r w:rsidR="00144859">
        <w:rPr>
          <w:noProof/>
        </w:rPr>
      </w:r>
      <w:r>
        <w:rPr>
          <w:noProof/>
        </w:rPr>
        <w:fldChar w:fldCharType="separate"/>
      </w:r>
      <w:r w:rsidR="00CC2599">
        <w:rPr>
          <w:noProof/>
        </w:rPr>
        <w:t>96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8.9. Иные сведения</w:t>
      </w:r>
      <w:r>
        <w:rPr>
          <w:noProof/>
        </w:rPr>
        <w:tab/>
      </w:r>
      <w:r>
        <w:rPr>
          <w:noProof/>
        </w:rPr>
        <w:fldChar w:fldCharType="begin"/>
      </w:r>
      <w:r>
        <w:rPr>
          <w:noProof/>
        </w:rPr>
        <w:instrText xml:space="preserve"> PAGEREF _Toc324431814 \h </w:instrText>
      </w:r>
      <w:r w:rsidR="00144859">
        <w:rPr>
          <w:noProof/>
        </w:rPr>
      </w:r>
      <w:r>
        <w:rPr>
          <w:noProof/>
        </w:rPr>
        <w:fldChar w:fldCharType="separate"/>
      </w:r>
      <w:r w:rsidR="00CC2599">
        <w:rPr>
          <w:noProof/>
        </w:rPr>
        <w:t>96</w:t>
      </w:r>
      <w:r>
        <w:rPr>
          <w:noProof/>
        </w:rPr>
        <w:fldChar w:fldCharType="end"/>
      </w:r>
    </w:p>
    <w:p w:rsidR="00EB71B3" w:rsidRDefault="00EB71B3">
      <w:pPr>
        <w:pStyle w:val="21"/>
        <w:tabs>
          <w:tab w:val="right" w:leader="dot" w:pos="9628"/>
        </w:tabs>
        <w:rPr>
          <w:rFonts w:asciiTheme="minorHAnsi" w:eastAsiaTheme="minorEastAsia" w:hAnsiTheme="minorHAnsi" w:cstheme="minorBidi"/>
          <w:noProof/>
          <w:sz w:val="22"/>
          <w:szCs w:val="22"/>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_Toc324431815 \h </w:instrText>
      </w:r>
      <w:r w:rsidR="00144859">
        <w:rPr>
          <w:noProof/>
        </w:rPr>
      </w:r>
      <w:r>
        <w:rPr>
          <w:noProof/>
        </w:rPr>
        <w:fldChar w:fldCharType="separate"/>
      </w:r>
      <w:r w:rsidR="00CC2599">
        <w:rPr>
          <w:noProof/>
        </w:rPr>
        <w:t>96</w:t>
      </w:r>
      <w:r>
        <w:rPr>
          <w:noProof/>
        </w:rPr>
        <w:fldChar w:fldCharType="end"/>
      </w:r>
    </w:p>
    <w:p w:rsidR="00AA7EE0" w:rsidRDefault="00AA7EE0" w:rsidP="00BB4B93">
      <w:pPr>
        <w:pStyle w:val="1"/>
        <w:jc w:val="both"/>
      </w:pPr>
      <w:r>
        <w:fldChar w:fldCharType="end"/>
      </w:r>
      <w:r>
        <w:br w:type="page"/>
      </w:r>
      <w:bookmarkStart w:id="1" w:name="_Toc324431713"/>
      <w:r>
        <w:lastRenderedPageBreak/>
        <w:t>Введение</w:t>
      </w:r>
      <w:bookmarkEnd w:id="1"/>
    </w:p>
    <w:p w:rsidR="00AA7EE0" w:rsidRDefault="00AA7EE0" w:rsidP="00BB4B93">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AA7EE0" w:rsidRDefault="00AA7EE0" w:rsidP="00BB4B93">
      <w:pPr>
        <w:ind w:left="200"/>
        <w:jc w:val="both"/>
      </w:pPr>
    </w:p>
    <w:p w:rsidR="00AA7EE0" w:rsidRDefault="00AA7EE0" w:rsidP="00BB4B93">
      <w:pPr>
        <w:ind w:left="200"/>
        <w:jc w:val="both"/>
      </w:pPr>
      <w:r>
        <w:rPr>
          <w:rStyle w:val="Subst"/>
          <w:bCs/>
          <w:iCs/>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AA7EE0" w:rsidRDefault="00AA7EE0" w:rsidP="00BB4B93">
      <w:pPr>
        <w:ind w:left="200"/>
        <w:jc w:val="both"/>
      </w:pPr>
    </w:p>
    <w:p w:rsidR="00AA7EE0" w:rsidRDefault="00AA7EE0" w:rsidP="00BB4B93">
      <w:pPr>
        <w:pStyle w:val="ThinDelim"/>
        <w:jc w:val="both"/>
      </w:pPr>
    </w:p>
    <w:p w:rsidR="00AA7EE0" w:rsidRDefault="00AA7EE0" w:rsidP="00BB4B93">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AA7EE0" w:rsidRDefault="00AA7EE0" w:rsidP="00BB4B93">
      <w:pPr>
        <w:pStyle w:val="1"/>
        <w:jc w:val="both"/>
      </w:pPr>
      <w:r>
        <w:br w:type="page"/>
      </w:r>
      <w:bookmarkStart w:id="2" w:name="_Toc324431714"/>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2"/>
    </w:p>
    <w:p w:rsidR="00AA7EE0" w:rsidRDefault="00AA7EE0" w:rsidP="00BB4B93">
      <w:pPr>
        <w:pStyle w:val="2"/>
        <w:jc w:val="both"/>
      </w:pPr>
      <w:bookmarkStart w:id="3" w:name="_Toc324431715"/>
      <w:r>
        <w:t>1.1. Лица, входящие в состав органов управления эмитента</w:t>
      </w:r>
      <w:bookmarkEnd w:id="3"/>
    </w:p>
    <w:p w:rsidR="00AA7EE0" w:rsidRDefault="00AA7EE0" w:rsidP="00BB4B93">
      <w:pPr>
        <w:pStyle w:val="SubHeading"/>
        <w:ind w:left="200"/>
        <w:jc w:val="both"/>
      </w:pPr>
      <w:r>
        <w:t>Состав совета директоров (наблюдательного совета) эмитента</w:t>
      </w:r>
    </w:p>
    <w:p w:rsidR="00AA7EE0" w:rsidRDefault="00AA7EE0" w:rsidP="00BB4B93">
      <w:pPr>
        <w:pStyle w:val="ThinDelim"/>
        <w:jc w:val="both"/>
      </w:pPr>
    </w:p>
    <w:tbl>
      <w:tblPr>
        <w:tblW w:w="0" w:type="auto"/>
        <w:tblLayout w:type="fixed"/>
        <w:tblCellMar>
          <w:left w:w="72" w:type="dxa"/>
          <w:right w:w="72" w:type="dxa"/>
        </w:tblCellMar>
        <w:tblLook w:val="0000"/>
      </w:tblPr>
      <w:tblGrid>
        <w:gridCol w:w="7752"/>
        <w:gridCol w:w="1500"/>
      </w:tblGrid>
      <w:tr w:rsidR="00AA7EE0" w:rsidRPr="00BB4B93">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ФИО</w:t>
            </w:r>
          </w:p>
        </w:tc>
        <w:tc>
          <w:tcPr>
            <w:tcW w:w="15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Год рождения</w:t>
            </w:r>
          </w:p>
        </w:tc>
      </w:tr>
      <w:tr w:rsidR="00AA7EE0" w:rsidRPr="00BB4B93">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Трегуб Сергей Вадимович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1959</w:t>
            </w:r>
          </w:p>
        </w:tc>
      </w:tr>
      <w:tr w:rsidR="00AA7EE0" w:rsidRPr="00BB4B93">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Мандрыка Сергей Михайлович</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1960</w:t>
            </w:r>
          </w:p>
        </w:tc>
      </w:tr>
      <w:tr w:rsidR="00AA7EE0" w:rsidRPr="00BB4B93">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Ахкубеков Ахкубек Халидбеевич</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1971</w:t>
            </w:r>
          </w:p>
        </w:tc>
      </w:tr>
      <w:tr w:rsidR="00AA7EE0" w:rsidRPr="00BB4B93">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Рубанов Дмитрий Владимирович</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1984</w:t>
            </w:r>
          </w:p>
        </w:tc>
      </w:tr>
      <w:tr w:rsidR="00AA7EE0" w:rsidRPr="00BB4B93">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Михалев Игорь Юрьевич</w:t>
            </w:r>
          </w:p>
        </w:tc>
        <w:tc>
          <w:tcPr>
            <w:tcW w:w="15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1970</w:t>
            </w:r>
          </w:p>
        </w:tc>
      </w:tr>
    </w:tbl>
    <w:p w:rsidR="00AA7EE0" w:rsidRDefault="00AA7EE0" w:rsidP="00BB4B93">
      <w:pPr>
        <w:jc w:val="both"/>
      </w:pPr>
    </w:p>
    <w:p w:rsidR="00AA7EE0" w:rsidRDefault="00AA7EE0" w:rsidP="00BB4B93">
      <w:pPr>
        <w:pStyle w:val="SubHeading"/>
        <w:ind w:left="200"/>
        <w:jc w:val="both"/>
      </w:pPr>
      <w:r>
        <w:t>Единоличный исполнительный орган эмитента</w:t>
      </w:r>
    </w:p>
    <w:p w:rsidR="00AA7EE0" w:rsidRDefault="00AA7EE0" w:rsidP="00BB4B93">
      <w:pPr>
        <w:pStyle w:val="ThinDelim"/>
        <w:jc w:val="both"/>
      </w:pPr>
    </w:p>
    <w:tbl>
      <w:tblPr>
        <w:tblW w:w="0" w:type="auto"/>
        <w:tblLayout w:type="fixed"/>
        <w:tblCellMar>
          <w:left w:w="72" w:type="dxa"/>
          <w:right w:w="72" w:type="dxa"/>
        </w:tblCellMar>
        <w:tblLook w:val="0000"/>
      </w:tblPr>
      <w:tblGrid>
        <w:gridCol w:w="7752"/>
        <w:gridCol w:w="1500"/>
      </w:tblGrid>
      <w:tr w:rsidR="00AA7EE0" w:rsidRPr="00BB4B93">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ФИО</w:t>
            </w:r>
          </w:p>
        </w:tc>
        <w:tc>
          <w:tcPr>
            <w:tcW w:w="15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Год рождения</w:t>
            </w:r>
          </w:p>
        </w:tc>
      </w:tr>
      <w:tr w:rsidR="00AA7EE0" w:rsidRPr="00BB4B93">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Грицкевич Светлана Валентиновна</w:t>
            </w:r>
          </w:p>
        </w:tc>
        <w:tc>
          <w:tcPr>
            <w:tcW w:w="15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1974</w:t>
            </w:r>
          </w:p>
        </w:tc>
      </w:tr>
    </w:tbl>
    <w:p w:rsidR="00AA7EE0" w:rsidRDefault="00AA7EE0" w:rsidP="00BB4B93">
      <w:pPr>
        <w:jc w:val="both"/>
      </w:pPr>
    </w:p>
    <w:p w:rsidR="00AA7EE0" w:rsidRDefault="00AA7EE0" w:rsidP="00BB4B93">
      <w:pPr>
        <w:pStyle w:val="SubHeading"/>
        <w:ind w:left="200"/>
        <w:jc w:val="both"/>
      </w:pPr>
      <w:r>
        <w:t>Состав коллегиального исполнительного органа эмитента</w:t>
      </w:r>
    </w:p>
    <w:p w:rsidR="00AA7EE0" w:rsidRDefault="00AA7EE0" w:rsidP="00BB4B93">
      <w:pPr>
        <w:ind w:left="400"/>
        <w:jc w:val="both"/>
      </w:pPr>
      <w:r>
        <w:rPr>
          <w:rStyle w:val="Subst"/>
          <w:bCs/>
          <w:iCs/>
        </w:rPr>
        <w:t>Коллегиальный исполнительный орган не предусмотрен</w:t>
      </w:r>
    </w:p>
    <w:p w:rsidR="00AA7EE0" w:rsidRDefault="00AA7EE0" w:rsidP="00BB4B93">
      <w:pPr>
        <w:pStyle w:val="2"/>
        <w:jc w:val="both"/>
      </w:pPr>
      <w:bookmarkStart w:id="4" w:name="_Toc324431716"/>
      <w:r>
        <w:t>1.2. Сведения о банковских счетах эмитента</w:t>
      </w:r>
      <w:bookmarkEnd w:id="4"/>
    </w:p>
    <w:p w:rsidR="00AA7EE0" w:rsidRDefault="00AA7EE0" w:rsidP="00BB4B93">
      <w:pPr>
        <w:pStyle w:val="SubHeading"/>
        <w:ind w:left="200"/>
        <w:jc w:val="both"/>
      </w:pPr>
      <w:r>
        <w:t>Сведения о кредитной организации</w:t>
      </w:r>
    </w:p>
    <w:p w:rsidR="00AA7EE0" w:rsidRDefault="00AA7EE0" w:rsidP="00BB4B93">
      <w:pPr>
        <w:ind w:left="400"/>
        <w:jc w:val="both"/>
      </w:pPr>
      <w:r>
        <w:t>Полное фирменное наименование:</w:t>
      </w:r>
      <w:r>
        <w:rPr>
          <w:rStyle w:val="Subst"/>
          <w:bCs/>
          <w:iCs/>
        </w:rPr>
        <w:t xml:space="preserve"> Открытое акционерное общество «Всероссийский банк развития регионов»</w:t>
      </w:r>
    </w:p>
    <w:p w:rsidR="00AA7EE0" w:rsidRDefault="00AA7EE0" w:rsidP="00BB4B93">
      <w:pPr>
        <w:ind w:left="400"/>
        <w:jc w:val="both"/>
      </w:pPr>
      <w:r>
        <w:t>Сокращенное фирменное наименование:</w:t>
      </w:r>
      <w:r>
        <w:rPr>
          <w:rStyle w:val="Subst"/>
          <w:bCs/>
          <w:iCs/>
        </w:rPr>
        <w:t xml:space="preserve"> ОАО "ВБРР"</w:t>
      </w:r>
    </w:p>
    <w:p w:rsidR="00AA7EE0" w:rsidRDefault="00AA7EE0" w:rsidP="00BB4B93">
      <w:pPr>
        <w:ind w:left="400"/>
        <w:jc w:val="both"/>
      </w:pPr>
      <w:r>
        <w:t>Место нахождения:</w:t>
      </w:r>
      <w:r>
        <w:rPr>
          <w:rStyle w:val="Subst"/>
          <w:bCs/>
          <w:iCs/>
        </w:rPr>
        <w:t xml:space="preserve"> 129594, г. Москва, ул. Сущевский вал, д. 65, корп. 1</w:t>
      </w:r>
    </w:p>
    <w:p w:rsidR="00AA7EE0" w:rsidRDefault="00AA7EE0" w:rsidP="00BB4B93">
      <w:pPr>
        <w:ind w:left="400"/>
        <w:jc w:val="both"/>
      </w:pPr>
      <w:r>
        <w:t>ИНН:</w:t>
      </w:r>
      <w:r>
        <w:rPr>
          <w:rStyle w:val="Subst"/>
          <w:bCs/>
          <w:iCs/>
        </w:rPr>
        <w:t xml:space="preserve"> 7736153344</w:t>
      </w:r>
    </w:p>
    <w:p w:rsidR="00AA7EE0" w:rsidRDefault="00AA7EE0" w:rsidP="00BB4B93">
      <w:pPr>
        <w:ind w:left="400"/>
        <w:jc w:val="both"/>
      </w:pPr>
      <w:r>
        <w:t>БИК:</w:t>
      </w:r>
      <w:r>
        <w:rPr>
          <w:rStyle w:val="Subst"/>
          <w:bCs/>
          <w:iCs/>
        </w:rPr>
        <w:t xml:space="preserve"> 044525880</w:t>
      </w:r>
    </w:p>
    <w:p w:rsidR="00AA7EE0" w:rsidRDefault="00AA7EE0" w:rsidP="00BB4B93">
      <w:pPr>
        <w:ind w:left="200"/>
        <w:jc w:val="both"/>
      </w:pPr>
      <w:r>
        <w:t>Номер счета:</w:t>
      </w:r>
      <w:r>
        <w:rPr>
          <w:rStyle w:val="Subst"/>
          <w:bCs/>
          <w:iCs/>
        </w:rPr>
        <w:t xml:space="preserve"> 40702810900003002510</w:t>
      </w:r>
    </w:p>
    <w:p w:rsidR="00AA7EE0" w:rsidRDefault="00AA7EE0" w:rsidP="00BB4B93">
      <w:pPr>
        <w:ind w:left="200"/>
        <w:jc w:val="both"/>
      </w:pPr>
      <w:r>
        <w:t>Корр. счет:</w:t>
      </w:r>
      <w:r>
        <w:rPr>
          <w:rStyle w:val="Subst"/>
          <w:bCs/>
          <w:iCs/>
        </w:rPr>
        <w:t xml:space="preserve"> 30101810900000000880</w:t>
      </w:r>
    </w:p>
    <w:p w:rsidR="00AA7EE0" w:rsidRDefault="00AA7EE0" w:rsidP="00BB4B93">
      <w:pPr>
        <w:ind w:left="200"/>
        <w:jc w:val="both"/>
      </w:pPr>
      <w:r>
        <w:t>Тип счета:</w:t>
      </w:r>
      <w:r>
        <w:rPr>
          <w:rStyle w:val="Subst"/>
          <w:bCs/>
          <w:iCs/>
        </w:rPr>
        <w:t xml:space="preserve"> Расчетный</w:t>
      </w:r>
    </w:p>
    <w:p w:rsidR="00AA7EE0" w:rsidRDefault="00AA7EE0" w:rsidP="00BB4B93">
      <w:pPr>
        <w:ind w:left="200"/>
        <w:jc w:val="both"/>
      </w:pPr>
    </w:p>
    <w:p w:rsidR="00AA7EE0" w:rsidRDefault="00AA7EE0" w:rsidP="00BB4B93">
      <w:pPr>
        <w:pStyle w:val="2"/>
        <w:jc w:val="both"/>
      </w:pPr>
      <w:bookmarkStart w:id="5" w:name="_Toc324431717"/>
      <w:r>
        <w:t>1.3. Сведения об аудиторе (аудиторах) эмитента</w:t>
      </w:r>
      <w:bookmarkEnd w:id="5"/>
    </w:p>
    <w:p w:rsidR="00AA7EE0" w:rsidRDefault="00AA7EE0" w:rsidP="00BB4B93">
      <w:pPr>
        <w:ind w:left="200"/>
        <w:jc w:val="both"/>
      </w:pPr>
      <w:r>
        <w:t xml:space="preserve">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w:t>
      </w:r>
      <w:r>
        <w:lastRenderedPageBreak/>
        <w:t>(консолидированной финансовой) отчетности, за текущий и последний завершенный финансовый год.</w:t>
      </w:r>
    </w:p>
    <w:p w:rsidR="00AA7EE0" w:rsidRDefault="00AA7EE0" w:rsidP="00BB4B93">
      <w:pPr>
        <w:ind w:left="200"/>
        <w:jc w:val="both"/>
      </w:pPr>
      <w:r>
        <w:t>Полное фирменное наименование:</w:t>
      </w:r>
      <w:r>
        <w:rPr>
          <w:rStyle w:val="Subst"/>
          <w:bCs/>
          <w:iCs/>
        </w:rPr>
        <w:t xml:space="preserve"> Общество с ограниченной ответственностью  АУДИТОРСКАЯ КОМПАНИЯ «СВЯЗЬФИНАНССЕРВИС»</w:t>
      </w:r>
    </w:p>
    <w:p w:rsidR="00AA7EE0" w:rsidRDefault="00AA7EE0" w:rsidP="00BB4B93">
      <w:pPr>
        <w:ind w:left="200"/>
        <w:jc w:val="both"/>
      </w:pPr>
      <w:r>
        <w:t>Сокращенное фирменное наименование:</w:t>
      </w:r>
      <w:r>
        <w:rPr>
          <w:rStyle w:val="Subst"/>
          <w:bCs/>
          <w:iCs/>
        </w:rPr>
        <w:t xml:space="preserve"> ООО АК «СФС»</w:t>
      </w:r>
    </w:p>
    <w:p w:rsidR="00AA7EE0" w:rsidRDefault="00AA7EE0" w:rsidP="00BB4B93">
      <w:pPr>
        <w:ind w:left="200"/>
        <w:jc w:val="both"/>
      </w:pPr>
      <w:r>
        <w:t>Место нахождения:</w:t>
      </w:r>
      <w:r>
        <w:rPr>
          <w:rStyle w:val="Subst"/>
          <w:bCs/>
          <w:iCs/>
        </w:rPr>
        <w:t xml:space="preserve"> 109052, г. Москва, ул. Смирновская, д. 10, стр.3. (107023, г. Москва, ул. Малая Семеновская, д. 9, стр. 9)</w:t>
      </w:r>
    </w:p>
    <w:p w:rsidR="00AA7EE0" w:rsidRDefault="00AA7EE0" w:rsidP="00BB4B93">
      <w:pPr>
        <w:ind w:left="200"/>
        <w:jc w:val="both"/>
      </w:pPr>
      <w:r>
        <w:t>ИНН:</w:t>
      </w:r>
      <w:r>
        <w:rPr>
          <w:rStyle w:val="Subst"/>
          <w:bCs/>
          <w:iCs/>
        </w:rPr>
        <w:t xml:space="preserve"> 7722197670</w:t>
      </w:r>
    </w:p>
    <w:p w:rsidR="00AA7EE0" w:rsidRDefault="00AA7EE0" w:rsidP="00BB4B93">
      <w:pPr>
        <w:ind w:left="200"/>
        <w:jc w:val="both"/>
      </w:pPr>
      <w:r>
        <w:t>ОГРН:</w:t>
      </w:r>
      <w:r>
        <w:rPr>
          <w:rStyle w:val="Subst"/>
          <w:bCs/>
          <w:iCs/>
        </w:rPr>
        <w:t xml:space="preserve"> 1027739174869</w:t>
      </w:r>
    </w:p>
    <w:p w:rsidR="00AA7EE0" w:rsidRDefault="00AA7EE0" w:rsidP="00BB4B93">
      <w:pPr>
        <w:ind w:left="200"/>
        <w:jc w:val="both"/>
      </w:pPr>
      <w:r>
        <w:t>Телефон:</w:t>
      </w:r>
      <w:r>
        <w:rPr>
          <w:rStyle w:val="Subst"/>
          <w:bCs/>
          <w:iCs/>
        </w:rPr>
        <w:t xml:space="preserve"> (495) 644-2958</w:t>
      </w:r>
    </w:p>
    <w:p w:rsidR="00AA7EE0" w:rsidRDefault="00AA7EE0" w:rsidP="00BB4B93">
      <w:pPr>
        <w:ind w:left="200"/>
        <w:jc w:val="both"/>
      </w:pPr>
      <w:r>
        <w:t>Факс:</w:t>
      </w:r>
      <w:r>
        <w:rPr>
          <w:rStyle w:val="Subst"/>
          <w:bCs/>
          <w:iCs/>
        </w:rPr>
        <w:t xml:space="preserve"> (495) 644-2958</w:t>
      </w:r>
    </w:p>
    <w:p w:rsidR="00AA7EE0" w:rsidRDefault="00AA7EE0" w:rsidP="00BB4B93">
      <w:pPr>
        <w:ind w:left="200"/>
        <w:jc w:val="both"/>
      </w:pPr>
      <w:r>
        <w:t>Адрес электронной почты:</w:t>
      </w:r>
      <w:r>
        <w:rPr>
          <w:rStyle w:val="Subst"/>
          <w:bCs/>
          <w:iCs/>
        </w:rPr>
        <w:t xml:space="preserve"> market@aksfs.ru</w:t>
      </w:r>
    </w:p>
    <w:p w:rsidR="00AA7EE0" w:rsidRDefault="00AA7EE0" w:rsidP="00BB4B93">
      <w:pPr>
        <w:pStyle w:val="SubHeading"/>
        <w:ind w:left="200"/>
        <w:jc w:val="both"/>
      </w:pPr>
      <w:r>
        <w:t>Данные о членстве аудитора в саморегулируемых организациях аудиторов</w:t>
      </w:r>
    </w:p>
    <w:p w:rsidR="00AA7EE0" w:rsidRDefault="00AA7EE0" w:rsidP="00BB4B93">
      <w:pPr>
        <w:ind w:left="400"/>
        <w:jc w:val="both"/>
      </w:pPr>
      <w:r>
        <w:t>Полное наименование:</w:t>
      </w:r>
      <w:r>
        <w:rPr>
          <w:rStyle w:val="Subst"/>
          <w:bCs/>
          <w:iCs/>
        </w:rPr>
        <w:t xml:space="preserve"> Саморегулируемая организация аудиторов Некоммерческое партнерство «Аудиторская Палата России»</w:t>
      </w:r>
    </w:p>
    <w:p w:rsidR="00AA7EE0" w:rsidRDefault="00AA7EE0" w:rsidP="00266725">
      <w:pPr>
        <w:pStyle w:val="SubHeading"/>
        <w:spacing w:before="0"/>
        <w:ind w:left="403"/>
        <w:jc w:val="both"/>
      </w:pPr>
      <w:r>
        <w:t>Место нахождения</w:t>
      </w:r>
      <w:r w:rsidR="00EB71B3">
        <w:t xml:space="preserve"> </w:t>
      </w:r>
      <w:r>
        <w:rPr>
          <w:rStyle w:val="Subst"/>
          <w:bCs/>
          <w:iCs/>
        </w:rPr>
        <w:t>105120 Россия, г. Москва, 3-й Сыромятнический пер. 3/9</w:t>
      </w:r>
    </w:p>
    <w:p w:rsidR="00AA7EE0" w:rsidRDefault="00AA7EE0" w:rsidP="00BB4B93">
      <w:pPr>
        <w:ind w:left="400"/>
        <w:jc w:val="both"/>
      </w:pPr>
      <w:r>
        <w:t>Дополнительная информация:</w:t>
      </w:r>
      <w:r w:rsidR="00EB71B3">
        <w:t xml:space="preserve"> </w:t>
      </w:r>
      <w:r>
        <w:rPr>
          <w:rStyle w:val="Subst"/>
          <w:bCs/>
          <w:iCs/>
        </w:rPr>
        <w:t>№1198 в реестре АПР от 25 августа 2005 года</w:t>
      </w:r>
    </w:p>
    <w:p w:rsidR="00AA7EE0" w:rsidRDefault="00AA7EE0" w:rsidP="00BB4B93">
      <w:pPr>
        <w:pStyle w:val="SubHeading"/>
        <w:ind w:left="200"/>
        <w:jc w:val="both"/>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AA7EE0" w:rsidRDefault="00AA7EE0" w:rsidP="00BB4B93">
      <w:pPr>
        <w:pStyle w:val="ThinDelim"/>
        <w:jc w:val="both"/>
      </w:pPr>
    </w:p>
    <w:tbl>
      <w:tblPr>
        <w:tblW w:w="0" w:type="auto"/>
        <w:tblLayout w:type="fixed"/>
        <w:tblCellMar>
          <w:left w:w="72" w:type="dxa"/>
          <w:right w:w="72" w:type="dxa"/>
        </w:tblCellMar>
        <w:tblLook w:val="0000"/>
      </w:tblPr>
      <w:tblGrid>
        <w:gridCol w:w="2592"/>
        <w:gridCol w:w="2520"/>
        <w:gridCol w:w="2520"/>
      </w:tblGrid>
      <w:tr w:rsidR="00AA7EE0" w:rsidRPr="00BB4B93">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Консолидированная финансовая отчетность, Год</w:t>
            </w:r>
          </w:p>
        </w:tc>
      </w:tr>
      <w:tr w:rsidR="00AA7EE0" w:rsidRPr="00BB4B93">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2009</w:t>
            </w:r>
          </w:p>
        </w:tc>
        <w:tc>
          <w:tcPr>
            <w:tcW w:w="2520" w:type="dxa"/>
            <w:tcBorders>
              <w:top w:val="single" w:sz="6" w:space="0" w:color="auto"/>
              <w:left w:val="single" w:sz="6" w:space="0" w:color="auto"/>
              <w:bottom w:val="single" w:sz="6" w:space="0" w:color="auto"/>
              <w:right w:val="single" w:sz="6" w:space="0" w:color="auto"/>
            </w:tcBorders>
          </w:tcPr>
          <w:p w:rsidR="00AA7EE0" w:rsidRPr="00BB4B93" w:rsidRDefault="00266725" w:rsidP="00BB4B93">
            <w:pPr>
              <w:jc w:val="both"/>
              <w:rPr>
                <w:rFonts w:eastAsiaTheme="minorEastAsia"/>
              </w:rPr>
            </w:pPr>
            <w:r>
              <w:rPr>
                <w:rFonts w:eastAsiaTheme="minorEastAsia"/>
              </w:rPr>
              <w:t>не составляется</w:t>
            </w:r>
          </w:p>
        </w:tc>
        <w:tc>
          <w:tcPr>
            <w:tcW w:w="2520" w:type="dxa"/>
            <w:tcBorders>
              <w:top w:val="single" w:sz="6" w:space="0" w:color="auto"/>
              <w:left w:val="single" w:sz="6" w:space="0" w:color="auto"/>
              <w:bottom w:val="single" w:sz="6" w:space="0" w:color="auto"/>
              <w:right w:val="double" w:sz="6" w:space="0" w:color="auto"/>
            </w:tcBorders>
          </w:tcPr>
          <w:p w:rsidR="00AA7EE0" w:rsidRPr="00BB4B93" w:rsidRDefault="00266725" w:rsidP="00BB4B93">
            <w:pPr>
              <w:jc w:val="both"/>
              <w:rPr>
                <w:rFonts w:eastAsiaTheme="minorEastAsia"/>
              </w:rPr>
            </w:pPr>
            <w:r>
              <w:rPr>
                <w:rFonts w:eastAsiaTheme="minorEastAsia"/>
              </w:rPr>
              <w:t>не составляется</w:t>
            </w:r>
          </w:p>
        </w:tc>
      </w:tr>
      <w:tr w:rsidR="00AA7EE0" w:rsidRPr="00BB4B93">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2520" w:type="dxa"/>
            <w:tcBorders>
              <w:top w:val="single" w:sz="6" w:space="0" w:color="auto"/>
              <w:left w:val="single" w:sz="6" w:space="0" w:color="auto"/>
              <w:bottom w:val="double" w:sz="6" w:space="0" w:color="auto"/>
              <w:right w:val="single" w:sz="6" w:space="0" w:color="auto"/>
            </w:tcBorders>
          </w:tcPr>
          <w:p w:rsidR="00AA7EE0" w:rsidRPr="00BB4B93" w:rsidRDefault="00266725" w:rsidP="00BB4B93">
            <w:pPr>
              <w:jc w:val="both"/>
              <w:rPr>
                <w:rFonts w:eastAsiaTheme="minorEastAsia"/>
              </w:rPr>
            </w:pPr>
            <w:r>
              <w:rPr>
                <w:rFonts w:eastAsiaTheme="minorEastAsia"/>
              </w:rPr>
              <w:t>не составляется</w:t>
            </w:r>
          </w:p>
        </w:tc>
        <w:tc>
          <w:tcPr>
            <w:tcW w:w="2520" w:type="dxa"/>
            <w:tcBorders>
              <w:top w:val="single" w:sz="6" w:space="0" w:color="auto"/>
              <w:left w:val="single" w:sz="6" w:space="0" w:color="auto"/>
              <w:bottom w:val="double" w:sz="6" w:space="0" w:color="auto"/>
              <w:right w:val="double" w:sz="6" w:space="0" w:color="auto"/>
            </w:tcBorders>
          </w:tcPr>
          <w:p w:rsidR="00AA7EE0" w:rsidRPr="00BB4B93" w:rsidRDefault="00266725" w:rsidP="00BB4B93">
            <w:pPr>
              <w:jc w:val="both"/>
              <w:rPr>
                <w:rFonts w:eastAsiaTheme="minorEastAsia"/>
              </w:rPr>
            </w:pPr>
            <w:r>
              <w:rPr>
                <w:rFonts w:eastAsiaTheme="minorEastAsia"/>
              </w:rPr>
              <w:t>не составляется</w:t>
            </w:r>
          </w:p>
        </w:tc>
      </w:tr>
    </w:tbl>
    <w:p w:rsidR="00AA7EE0" w:rsidRDefault="00AA7EE0" w:rsidP="00BB4B93">
      <w:pPr>
        <w:pStyle w:val="SubHeading"/>
        <w:ind w:left="200"/>
        <w:jc w:val="both"/>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AA7EE0" w:rsidRDefault="00AA7EE0" w:rsidP="00BB4B93">
      <w:pPr>
        <w:ind w:left="400"/>
        <w:jc w:val="both"/>
      </w:pPr>
      <w:r>
        <w:rPr>
          <w:rStyle w:val="Subst"/>
          <w:bCs/>
          <w:iCs/>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r w:rsidR="00266725">
        <w:rPr>
          <w:rStyle w:val="Subst"/>
          <w:bCs/>
          <w:iCs/>
        </w:rPr>
        <w:t>.</w:t>
      </w:r>
    </w:p>
    <w:p w:rsidR="00AA7EE0" w:rsidRDefault="00AA7EE0" w:rsidP="00BB4B93">
      <w:pPr>
        <w:pStyle w:val="SubHeading"/>
        <w:ind w:left="200"/>
        <w:jc w:val="both"/>
      </w:pPr>
      <w:r>
        <w:t>Порядок выбора аудитора эмитента</w:t>
      </w:r>
    </w:p>
    <w:p w:rsidR="00AA7EE0" w:rsidRDefault="00AA7EE0" w:rsidP="00BB4B93">
      <w:pPr>
        <w:ind w:left="400"/>
        <w:jc w:val="both"/>
      </w:pPr>
      <w:r>
        <w:t>Наличие процедуры тендера, связанного с выбором аудитора, и его основные условия:</w:t>
      </w:r>
      <w:r>
        <w:br/>
      </w:r>
      <w:r>
        <w:rPr>
          <w:rStyle w:val="Subst"/>
          <w:bCs/>
          <w:iCs/>
        </w:rPr>
        <w:t>В соответствии с Уставом эмитента утверждение аудитора относится к компетенции Общего собрания акционеров Общества. Процедура тендера не установлена, аудитор определяется исходя из его репутации и независимости с учетом соотношения критериев качества и стоимости.</w:t>
      </w:r>
    </w:p>
    <w:p w:rsidR="00AA7EE0" w:rsidRDefault="00AA7EE0" w:rsidP="00BB4B93">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 xml:space="preserve">Процедура выдвижения кандидатуры аудитора для утверждения собранием акционеров осуществляется </w:t>
      </w:r>
      <w:r w:rsidR="00266725">
        <w:rPr>
          <w:rStyle w:val="Subst"/>
          <w:bCs/>
          <w:iCs/>
        </w:rPr>
        <w:t>в</w:t>
      </w:r>
      <w:r>
        <w:rPr>
          <w:rStyle w:val="Subst"/>
          <w:bCs/>
          <w:iCs/>
        </w:rPr>
        <w:t xml:space="preserve"> соответствии с Федеральным законом “Об акцио</w:t>
      </w:r>
      <w:r w:rsidR="00266725">
        <w:rPr>
          <w:rStyle w:val="Subst"/>
          <w:bCs/>
          <w:iCs/>
        </w:rPr>
        <w:t>нерных обществах” от 26.12.1995 </w:t>
      </w:r>
      <w:r>
        <w:rPr>
          <w:rStyle w:val="Subst"/>
          <w:bCs/>
          <w:iCs/>
        </w:rPr>
        <w:t>г. №208-ФЗ. Акционеры (акционер) Общества, являющиеся владельцами в совокупности не менее 2% голосующих акций Общества, в срок не позднее 30 дней после окончания финансового года вправе внести предложения в повестку дня годового общего собрания акционеров и выдвинуть кандидатов в аудиторы Общества, число которых не может превышать количественного состава этого органа.</w:t>
      </w:r>
      <w:r>
        <w:rPr>
          <w:rStyle w:val="Subst"/>
          <w:bCs/>
          <w:iCs/>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bCs/>
          <w:iCs/>
        </w:rPr>
        <w:br/>
        <w:t xml:space="preserve">При внесении предложений о выдвижении кандидата в аудиторы Общества указываются имя кандидата, количество и тип принадлежащих ему акций, а также имена акционеров, выдвигающих </w:t>
      </w:r>
      <w:r>
        <w:rPr>
          <w:rStyle w:val="Subst"/>
          <w:bCs/>
          <w:iCs/>
        </w:rPr>
        <w:lastRenderedPageBreak/>
        <w:t>кандидата, количество и категория (тип) принадлежащих им акций.</w:t>
      </w:r>
      <w:r>
        <w:rPr>
          <w:rStyle w:val="Subst"/>
          <w:bCs/>
          <w:iCs/>
        </w:rPr>
        <w:br/>
        <w:t>Совет директоров Общества обязан в 5-тидневный срок, после окончания сроков внесения предложений, рассмотреть поступившие предложения и принять решения о включении, либо об отказе во включение их в повестку дня общего собрания акционеров.</w:t>
      </w:r>
      <w:r>
        <w:rPr>
          <w:rStyle w:val="Subst"/>
          <w:bCs/>
          <w:iCs/>
        </w:rPr>
        <w:br/>
        <w:t>Мотивированные решения об отказе во включении вопросов в повестку дня общего собрания акционеров или кандидата в список кандидатур для голосования по выборам кандидата в аудиторы Общества направляется акционеру (акционерам), внесшему вопрос или представившему предложение не позднее трех дней с даты принятия решений.</w:t>
      </w:r>
      <w:r>
        <w:rPr>
          <w:rStyle w:val="Subst"/>
          <w:bCs/>
          <w:iCs/>
        </w:rPr>
        <w:br/>
        <w:t>В соответствии со ст.53 Устава Эмитента годовое общее собрание акционеров утверждает аудитора Общества.</w:t>
      </w:r>
    </w:p>
    <w:p w:rsidR="00AA7EE0" w:rsidRDefault="00AA7EE0" w:rsidP="00BB4B93">
      <w:pPr>
        <w:ind w:left="200"/>
        <w:jc w:val="both"/>
      </w:pPr>
      <w:r>
        <w:t>Указывается информация о работах, проводимых аудитором в рамках специальных аудиторских заданий:</w:t>
      </w:r>
      <w:r>
        <w:br/>
      </w:r>
      <w:r>
        <w:rPr>
          <w:rStyle w:val="Subst"/>
          <w:bCs/>
          <w:iCs/>
        </w:rPr>
        <w:t>Работ, проводимых аудитором в рамках специальных аудиторских заданий, не проводилось.</w:t>
      </w:r>
    </w:p>
    <w:p w:rsidR="00EB71B3" w:rsidRPr="00707EC9" w:rsidRDefault="00AA7EE0" w:rsidP="00BB4B93">
      <w:pPr>
        <w:ind w:left="200"/>
        <w:jc w:val="both"/>
        <w:rPr>
          <w:b/>
          <w:i/>
        </w:rPr>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r>
        <w:rPr>
          <w:rStyle w:val="Subst"/>
          <w:bCs/>
          <w:iCs/>
        </w:rPr>
        <w:t>Стоимость за оказываемые аудиторские услуги определяется в зависимости от трудозатрат, технического задания на аудиторскую проверку и требуемых сроков оказания услуг.</w:t>
      </w:r>
      <w:r>
        <w:rPr>
          <w:rStyle w:val="Subst"/>
          <w:bCs/>
          <w:iCs/>
        </w:rPr>
        <w:br/>
        <w:t>В соответствии с п.1 ст. 53 Устава эмитента аудитор (гражданин или организация) осуществляет проверку финансово-хозяйственной деятельности Общества в соответствии с правовыми актами Российской Федерации и на основании заключаемого с ним договора.</w:t>
      </w:r>
      <w:r>
        <w:rPr>
          <w:rStyle w:val="Subst"/>
          <w:bCs/>
          <w:iCs/>
        </w:rPr>
        <w:br/>
        <w:t>В соответствии с п.3 ст. 53 Устава эмитента определение размера оплаты услуг аудитора относится к компетенции Совета директоров.</w:t>
      </w:r>
      <w:r>
        <w:rPr>
          <w:rStyle w:val="Subst"/>
          <w:bCs/>
          <w:iCs/>
        </w:rPr>
        <w:br/>
      </w:r>
      <w:r w:rsidRPr="00707EC9">
        <w:rPr>
          <w:rStyle w:val="Subst"/>
          <w:b w:val="0"/>
          <w:bCs/>
          <w:i w:val="0"/>
          <w:iCs/>
        </w:rPr>
        <w:t>Фактический размер вознаграждения, выплаченного эмитентом аудитору:</w:t>
      </w:r>
    </w:p>
    <w:tbl>
      <w:tblPr>
        <w:tblW w:w="3892" w:type="dxa"/>
        <w:tblInd w:w="643"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000"/>
      </w:tblPr>
      <w:tblGrid>
        <w:gridCol w:w="1308"/>
        <w:gridCol w:w="1308"/>
        <w:gridCol w:w="1276"/>
      </w:tblGrid>
      <w:tr w:rsidR="00EB71B3" w:rsidRPr="00F95AA2" w:rsidTr="00EB71B3">
        <w:trPr>
          <w:trHeight w:val="411"/>
        </w:trPr>
        <w:tc>
          <w:tcPr>
            <w:tcW w:w="1308" w:type="dxa"/>
            <w:vAlign w:val="bottom"/>
          </w:tcPr>
          <w:p w:rsidR="00EB71B3" w:rsidRPr="00F95AA2" w:rsidRDefault="00EB71B3" w:rsidP="00EB71B3">
            <w:pPr>
              <w:jc w:val="both"/>
              <w:rPr>
                <w:b/>
                <w:bCs/>
                <w:sz w:val="22"/>
                <w:szCs w:val="22"/>
              </w:rPr>
            </w:pPr>
            <w:r>
              <w:rPr>
                <w:b/>
                <w:bCs/>
                <w:sz w:val="22"/>
                <w:szCs w:val="22"/>
              </w:rPr>
              <w:t>год</w:t>
            </w:r>
          </w:p>
        </w:tc>
        <w:tc>
          <w:tcPr>
            <w:tcW w:w="1308" w:type="dxa"/>
            <w:vAlign w:val="bottom"/>
          </w:tcPr>
          <w:p w:rsidR="00EB71B3" w:rsidRPr="00F95AA2" w:rsidRDefault="00EB71B3" w:rsidP="00EB71B3">
            <w:pPr>
              <w:jc w:val="both"/>
              <w:rPr>
                <w:b/>
                <w:bCs/>
                <w:sz w:val="22"/>
                <w:szCs w:val="22"/>
              </w:rPr>
            </w:pPr>
            <w:smartTag w:uri="urn:schemas-microsoft-com:office:smarttags" w:element="metricconverter">
              <w:smartTagPr>
                <w:attr w:name="ProductID" w:val="2009 г"/>
              </w:smartTagPr>
              <w:r w:rsidRPr="00F95AA2">
                <w:rPr>
                  <w:b/>
                  <w:bCs/>
                  <w:sz w:val="22"/>
                  <w:szCs w:val="22"/>
                </w:rPr>
                <w:t>200</w:t>
              </w:r>
              <w:r>
                <w:rPr>
                  <w:b/>
                  <w:bCs/>
                  <w:sz w:val="22"/>
                  <w:szCs w:val="22"/>
                </w:rPr>
                <w:t>9 г</w:t>
              </w:r>
            </w:smartTag>
            <w:r>
              <w:rPr>
                <w:b/>
                <w:bCs/>
                <w:sz w:val="22"/>
                <w:szCs w:val="22"/>
              </w:rPr>
              <w:t>.</w:t>
            </w:r>
          </w:p>
        </w:tc>
        <w:tc>
          <w:tcPr>
            <w:tcW w:w="1276" w:type="dxa"/>
            <w:vAlign w:val="bottom"/>
          </w:tcPr>
          <w:p w:rsidR="00EB71B3" w:rsidRPr="00F95AA2" w:rsidRDefault="00EB71B3" w:rsidP="00EB71B3">
            <w:pPr>
              <w:jc w:val="both"/>
              <w:rPr>
                <w:b/>
                <w:bCs/>
                <w:sz w:val="22"/>
                <w:szCs w:val="22"/>
              </w:rPr>
            </w:pPr>
            <w:smartTag w:uri="urn:schemas-microsoft-com:office:smarttags" w:element="metricconverter">
              <w:smartTagPr>
                <w:attr w:name="ProductID" w:val="2010 г"/>
              </w:smartTagPr>
              <w:r w:rsidRPr="00F95AA2">
                <w:rPr>
                  <w:b/>
                  <w:bCs/>
                  <w:sz w:val="22"/>
                  <w:szCs w:val="22"/>
                </w:rPr>
                <w:t>20</w:t>
              </w:r>
              <w:r>
                <w:rPr>
                  <w:b/>
                  <w:bCs/>
                  <w:sz w:val="22"/>
                  <w:szCs w:val="22"/>
                </w:rPr>
                <w:t>10 г</w:t>
              </w:r>
            </w:smartTag>
            <w:r>
              <w:rPr>
                <w:b/>
                <w:bCs/>
                <w:sz w:val="22"/>
                <w:szCs w:val="22"/>
              </w:rPr>
              <w:t>.</w:t>
            </w:r>
          </w:p>
        </w:tc>
      </w:tr>
      <w:tr w:rsidR="00EB71B3" w:rsidTr="00EB71B3">
        <w:trPr>
          <w:trHeight w:val="277"/>
        </w:trPr>
        <w:tc>
          <w:tcPr>
            <w:tcW w:w="1308" w:type="dxa"/>
            <w:vAlign w:val="bottom"/>
          </w:tcPr>
          <w:p w:rsidR="00EB71B3" w:rsidRPr="00EB71B3" w:rsidRDefault="00EB71B3" w:rsidP="00EB71B3">
            <w:pPr>
              <w:jc w:val="both"/>
              <w:rPr>
                <w:b/>
                <w:sz w:val="22"/>
                <w:szCs w:val="22"/>
              </w:rPr>
            </w:pPr>
            <w:r w:rsidRPr="00EB71B3">
              <w:rPr>
                <w:b/>
                <w:sz w:val="22"/>
                <w:szCs w:val="22"/>
              </w:rPr>
              <w:t>сумма</w:t>
            </w:r>
            <w:r w:rsidRPr="00EB71B3">
              <w:rPr>
                <w:rStyle w:val="Subst"/>
                <w:bCs/>
                <w:i w:val="0"/>
                <w:iCs/>
              </w:rPr>
              <w:t>, руб.</w:t>
            </w:r>
          </w:p>
        </w:tc>
        <w:tc>
          <w:tcPr>
            <w:tcW w:w="1308" w:type="dxa"/>
            <w:vAlign w:val="bottom"/>
          </w:tcPr>
          <w:p w:rsidR="00EB71B3" w:rsidRDefault="00EB71B3" w:rsidP="00EB71B3">
            <w:pPr>
              <w:jc w:val="both"/>
              <w:rPr>
                <w:sz w:val="22"/>
                <w:szCs w:val="22"/>
              </w:rPr>
            </w:pPr>
            <w:r>
              <w:rPr>
                <w:sz w:val="22"/>
                <w:szCs w:val="22"/>
              </w:rPr>
              <w:t>177 000,00</w:t>
            </w:r>
          </w:p>
        </w:tc>
        <w:tc>
          <w:tcPr>
            <w:tcW w:w="1276" w:type="dxa"/>
            <w:vAlign w:val="bottom"/>
          </w:tcPr>
          <w:p w:rsidR="00EB71B3" w:rsidRDefault="00EB71B3" w:rsidP="00EB71B3">
            <w:pPr>
              <w:jc w:val="both"/>
              <w:rPr>
                <w:sz w:val="22"/>
                <w:szCs w:val="22"/>
              </w:rPr>
            </w:pPr>
            <w:r>
              <w:rPr>
                <w:sz w:val="22"/>
                <w:szCs w:val="22"/>
              </w:rPr>
              <w:t>80 000,00</w:t>
            </w:r>
          </w:p>
        </w:tc>
      </w:tr>
    </w:tbl>
    <w:p w:rsidR="00AA7EE0" w:rsidRDefault="00AA7EE0" w:rsidP="00BB4B93">
      <w:pPr>
        <w:ind w:left="200"/>
        <w:jc w:val="both"/>
      </w:pPr>
    </w:p>
    <w:p w:rsidR="00AA7EE0" w:rsidRDefault="00AA7EE0" w:rsidP="00BB4B93">
      <w:pPr>
        <w:ind w:left="200"/>
        <w:jc w:val="both"/>
      </w:pPr>
      <w:r>
        <w:t>Приводится информация о наличии отсроченных и просроченных платежей за оказанные аудитором услуги:</w:t>
      </w:r>
      <w:r>
        <w:br/>
      </w:r>
      <w:r>
        <w:rPr>
          <w:rStyle w:val="Subst"/>
          <w:bCs/>
          <w:iCs/>
        </w:rPr>
        <w:t>Отсроченные или просроченные платежи отсутствуют.</w:t>
      </w:r>
    </w:p>
    <w:p w:rsidR="00AA7EE0" w:rsidRDefault="00AA7EE0" w:rsidP="00BB4B93">
      <w:pPr>
        <w:ind w:left="200"/>
        <w:jc w:val="both"/>
      </w:pPr>
    </w:p>
    <w:p w:rsidR="00AA7EE0" w:rsidRDefault="00AA7EE0" w:rsidP="00BB4B93">
      <w:pPr>
        <w:ind w:left="200"/>
        <w:jc w:val="both"/>
      </w:pPr>
      <w:r>
        <w:t>Полное фирменное наименование:</w:t>
      </w:r>
      <w:r>
        <w:rPr>
          <w:rStyle w:val="Subst"/>
          <w:bCs/>
          <w:iCs/>
        </w:rPr>
        <w:t xml:space="preserve"> Закрытое акционерное общество «ЮНИФИН ЛТД»</w:t>
      </w:r>
    </w:p>
    <w:p w:rsidR="00AA7EE0" w:rsidRDefault="00AA7EE0" w:rsidP="00BB4B93">
      <w:pPr>
        <w:ind w:left="200"/>
        <w:jc w:val="both"/>
      </w:pPr>
      <w:r>
        <w:t>Сокращенное фирменное наименование:</w:t>
      </w:r>
      <w:r>
        <w:rPr>
          <w:rStyle w:val="Subst"/>
          <w:bCs/>
          <w:iCs/>
        </w:rPr>
        <w:t xml:space="preserve"> ЗАО «ЮНИФИН ЛТД»</w:t>
      </w:r>
    </w:p>
    <w:p w:rsidR="00AA7EE0" w:rsidRDefault="00AA7EE0" w:rsidP="00BB4B93">
      <w:pPr>
        <w:ind w:left="200"/>
        <w:jc w:val="both"/>
      </w:pPr>
      <w:r>
        <w:t>Место нахождения:</w:t>
      </w:r>
      <w:r>
        <w:rPr>
          <w:rStyle w:val="Subst"/>
          <w:bCs/>
          <w:iCs/>
        </w:rPr>
        <w:t xml:space="preserve"> 129110, Москва г, Гиляровского ул, 4, 1</w:t>
      </w:r>
    </w:p>
    <w:p w:rsidR="00AA7EE0" w:rsidRDefault="00AA7EE0" w:rsidP="00BB4B93">
      <w:pPr>
        <w:ind w:left="200"/>
        <w:jc w:val="both"/>
      </w:pPr>
      <w:r>
        <w:t>ИНН:</w:t>
      </w:r>
      <w:r>
        <w:rPr>
          <w:rStyle w:val="Subst"/>
          <w:bCs/>
          <w:iCs/>
        </w:rPr>
        <w:t xml:space="preserve"> 7736163159</w:t>
      </w:r>
    </w:p>
    <w:p w:rsidR="00AA7EE0" w:rsidRDefault="00AA7EE0" w:rsidP="00BB4B93">
      <w:pPr>
        <w:ind w:left="200"/>
        <w:jc w:val="both"/>
      </w:pPr>
      <w:r>
        <w:t>ОГРН:</w:t>
      </w:r>
      <w:r>
        <w:rPr>
          <w:rStyle w:val="Subst"/>
          <w:bCs/>
          <w:iCs/>
        </w:rPr>
        <w:t xml:space="preserve"> 1027739687139</w:t>
      </w:r>
    </w:p>
    <w:p w:rsidR="00AA7EE0" w:rsidRDefault="00AA7EE0" w:rsidP="00BB4B93">
      <w:pPr>
        <w:ind w:left="200"/>
        <w:jc w:val="both"/>
      </w:pPr>
      <w:r>
        <w:t>Телефон:</w:t>
      </w:r>
      <w:r>
        <w:rPr>
          <w:rStyle w:val="Subst"/>
          <w:bCs/>
          <w:iCs/>
        </w:rPr>
        <w:t xml:space="preserve"> (495) 607-6000; (495) 607-5465; (495) 607-5668</w:t>
      </w:r>
    </w:p>
    <w:p w:rsidR="00AA7EE0" w:rsidRDefault="00AA7EE0" w:rsidP="00BB4B93">
      <w:pPr>
        <w:ind w:left="200"/>
        <w:jc w:val="both"/>
      </w:pPr>
      <w:r>
        <w:t>Факс:</w:t>
      </w:r>
      <w:r>
        <w:rPr>
          <w:rStyle w:val="Subst"/>
          <w:bCs/>
          <w:iCs/>
        </w:rPr>
        <w:t xml:space="preserve"> (495) 607-7492; (495) 607-5926</w:t>
      </w:r>
    </w:p>
    <w:p w:rsidR="00AA7EE0" w:rsidRDefault="00AA7EE0" w:rsidP="00BB4B93">
      <w:pPr>
        <w:ind w:left="200"/>
        <w:jc w:val="both"/>
      </w:pPr>
      <w:r>
        <w:t>Адрес электронной почты:</w:t>
      </w:r>
      <w:r>
        <w:rPr>
          <w:rStyle w:val="Subst"/>
          <w:bCs/>
          <w:iCs/>
        </w:rPr>
        <w:t xml:space="preserve"> unifin@unifin.ru</w:t>
      </w:r>
    </w:p>
    <w:p w:rsidR="00AA7EE0" w:rsidRDefault="00AA7EE0" w:rsidP="00BB4B93">
      <w:pPr>
        <w:pStyle w:val="SubHeading"/>
        <w:ind w:left="200"/>
        <w:jc w:val="both"/>
      </w:pPr>
      <w:r>
        <w:t>Данные о членстве аудитора в саморегулируемых организациях аудиторов</w:t>
      </w:r>
    </w:p>
    <w:p w:rsidR="00AA7EE0" w:rsidRDefault="00AA7EE0" w:rsidP="00BB4B93">
      <w:pPr>
        <w:ind w:left="400"/>
        <w:jc w:val="both"/>
      </w:pPr>
      <w:r>
        <w:t>Полное наименование:</w:t>
      </w:r>
      <w:r>
        <w:rPr>
          <w:rStyle w:val="Subst"/>
          <w:bCs/>
          <w:iCs/>
        </w:rPr>
        <w:t xml:space="preserve"> Некоммерческое партнерство «Московская аудиторская палата»</w:t>
      </w:r>
    </w:p>
    <w:p w:rsidR="00AA7EE0" w:rsidRDefault="00AA7EE0" w:rsidP="00707EC9">
      <w:pPr>
        <w:pStyle w:val="SubHeading"/>
        <w:spacing w:before="0"/>
        <w:ind w:left="403"/>
        <w:jc w:val="both"/>
      </w:pPr>
      <w:r>
        <w:t>Место нахождения</w:t>
      </w:r>
      <w:r w:rsidR="00EB71B3">
        <w:t xml:space="preserve"> </w:t>
      </w:r>
      <w:r>
        <w:rPr>
          <w:rStyle w:val="Subst"/>
          <w:bCs/>
          <w:iCs/>
        </w:rPr>
        <w:t>107031 Россия, город Москва, Петровский переулок 8 стр. 2</w:t>
      </w:r>
    </w:p>
    <w:p w:rsidR="00AA7EE0" w:rsidRDefault="00AA7EE0" w:rsidP="00BB4B93">
      <w:pPr>
        <w:pStyle w:val="SubHeading"/>
        <w:ind w:left="200"/>
        <w:jc w:val="both"/>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AA7EE0" w:rsidRDefault="00AA7EE0" w:rsidP="00BB4B93">
      <w:pPr>
        <w:pStyle w:val="ThinDelim"/>
        <w:jc w:val="both"/>
      </w:pPr>
    </w:p>
    <w:tbl>
      <w:tblPr>
        <w:tblW w:w="0" w:type="auto"/>
        <w:tblLayout w:type="fixed"/>
        <w:tblCellMar>
          <w:left w:w="72" w:type="dxa"/>
          <w:right w:w="72" w:type="dxa"/>
        </w:tblCellMar>
        <w:tblLook w:val="0000"/>
      </w:tblPr>
      <w:tblGrid>
        <w:gridCol w:w="2592"/>
        <w:gridCol w:w="2520"/>
        <w:gridCol w:w="2520"/>
      </w:tblGrid>
      <w:tr w:rsidR="00AA7EE0" w:rsidRPr="00BB4B93">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Консолидированная финансовая отчетность, Год</w:t>
            </w:r>
          </w:p>
        </w:tc>
      </w:tr>
      <w:tr w:rsidR="00707EC9" w:rsidRPr="00BB4B93">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707EC9" w:rsidRPr="00BB4B93" w:rsidRDefault="00707EC9" w:rsidP="00BB4B93">
            <w:pPr>
              <w:jc w:val="both"/>
              <w:rPr>
                <w:rFonts w:eastAsiaTheme="minorEastAsia"/>
              </w:rPr>
            </w:pPr>
            <w:r w:rsidRPr="00BB4B93">
              <w:rPr>
                <w:rFonts w:eastAsiaTheme="minorEastAsia"/>
              </w:rPr>
              <w:t>2011</w:t>
            </w:r>
          </w:p>
        </w:tc>
        <w:tc>
          <w:tcPr>
            <w:tcW w:w="2520" w:type="dxa"/>
            <w:tcBorders>
              <w:top w:val="single" w:sz="6" w:space="0" w:color="auto"/>
              <w:left w:val="single" w:sz="6" w:space="0" w:color="auto"/>
              <w:bottom w:val="double" w:sz="6" w:space="0" w:color="auto"/>
              <w:right w:val="single" w:sz="6" w:space="0" w:color="auto"/>
            </w:tcBorders>
          </w:tcPr>
          <w:p w:rsidR="00707EC9" w:rsidRPr="00BB4B93" w:rsidRDefault="00707EC9" w:rsidP="00DA3FA1">
            <w:pPr>
              <w:jc w:val="both"/>
              <w:rPr>
                <w:rFonts w:eastAsiaTheme="minorEastAsia"/>
              </w:rPr>
            </w:pPr>
            <w:r>
              <w:rPr>
                <w:rFonts w:eastAsiaTheme="minorEastAsia"/>
              </w:rPr>
              <w:t>не составляется</w:t>
            </w:r>
          </w:p>
        </w:tc>
        <w:tc>
          <w:tcPr>
            <w:tcW w:w="2520" w:type="dxa"/>
            <w:tcBorders>
              <w:top w:val="single" w:sz="6" w:space="0" w:color="auto"/>
              <w:left w:val="single" w:sz="6" w:space="0" w:color="auto"/>
              <w:bottom w:val="double" w:sz="6" w:space="0" w:color="auto"/>
              <w:right w:val="double" w:sz="6" w:space="0" w:color="auto"/>
            </w:tcBorders>
          </w:tcPr>
          <w:p w:rsidR="00707EC9" w:rsidRPr="00BB4B93" w:rsidRDefault="00707EC9" w:rsidP="00DA3FA1">
            <w:pPr>
              <w:jc w:val="both"/>
              <w:rPr>
                <w:rFonts w:eastAsiaTheme="minorEastAsia"/>
              </w:rPr>
            </w:pPr>
            <w:r>
              <w:rPr>
                <w:rFonts w:eastAsiaTheme="minorEastAsia"/>
              </w:rPr>
              <w:t>не составляется</w:t>
            </w:r>
          </w:p>
        </w:tc>
      </w:tr>
    </w:tbl>
    <w:p w:rsidR="00AA7EE0" w:rsidRDefault="00AA7EE0" w:rsidP="00BB4B93">
      <w:pPr>
        <w:pStyle w:val="SubHeading"/>
        <w:ind w:left="200"/>
        <w:jc w:val="both"/>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AA7EE0" w:rsidRDefault="00AA7EE0" w:rsidP="00BB4B93">
      <w:pPr>
        <w:ind w:left="400"/>
        <w:jc w:val="both"/>
      </w:pPr>
      <w:r>
        <w:rPr>
          <w:rStyle w:val="Subst"/>
          <w:bCs/>
          <w:iCs/>
        </w:rPr>
        <w:lastRenderedPageBreak/>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AA7EE0" w:rsidRDefault="00AA7EE0" w:rsidP="00BB4B93">
      <w:pPr>
        <w:pStyle w:val="SubHeading"/>
        <w:ind w:left="200"/>
        <w:jc w:val="both"/>
      </w:pPr>
      <w:r>
        <w:t>Порядок выбора аудитора эмитента</w:t>
      </w:r>
    </w:p>
    <w:p w:rsidR="00AA7EE0" w:rsidRDefault="00AA7EE0" w:rsidP="00BB4B93">
      <w:pPr>
        <w:ind w:left="400"/>
        <w:jc w:val="both"/>
      </w:pPr>
      <w:r>
        <w:t>Наличие процедуры тендера, связанного с выбором аудитора, и его основные условия:</w:t>
      </w:r>
      <w:r>
        <w:br/>
      </w:r>
      <w:r>
        <w:rPr>
          <w:rStyle w:val="Subst"/>
          <w:bCs/>
          <w:iCs/>
        </w:rPr>
        <w:t>В соответствии с Уставом эмитента утверждение аудитора относится к компетенции Общего собрания акционеров Общества. Процедура тендера не установлена, аудитор определяется исходя из его репутации и независимости с учетом соотношения критериев качества и стоимости.</w:t>
      </w:r>
    </w:p>
    <w:p w:rsidR="00AA7EE0" w:rsidRDefault="00AA7EE0" w:rsidP="00BB4B93">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 xml:space="preserve">Процедура выдвижения кандидатуры аудитора для утверждения собранием акционеров осуществляется </w:t>
      </w:r>
      <w:r w:rsidR="00707EC9">
        <w:rPr>
          <w:rStyle w:val="Subst"/>
          <w:bCs/>
          <w:iCs/>
        </w:rPr>
        <w:t>в</w:t>
      </w:r>
      <w:r>
        <w:rPr>
          <w:rStyle w:val="Subst"/>
          <w:bCs/>
          <w:iCs/>
        </w:rPr>
        <w:t xml:space="preserve"> соответствии с Федеральным законом “Об акцио</w:t>
      </w:r>
      <w:r w:rsidR="00707EC9">
        <w:rPr>
          <w:rStyle w:val="Subst"/>
          <w:bCs/>
          <w:iCs/>
        </w:rPr>
        <w:t>нерных обществах” от 26.12.1995 </w:t>
      </w:r>
      <w:r>
        <w:rPr>
          <w:rStyle w:val="Subst"/>
          <w:bCs/>
          <w:iCs/>
        </w:rPr>
        <w:t>г. №208-ФЗ. Акционеры (акционер) Общества, являющиеся владельцами в совокупности не менее 2% голосующих акций Общества, в срок не позднее 30 дней после окончания финансового года вправе внести предложения в повестку дня годового общего собрания акционеров и выдвинуть кандидатов в аудиторы Общества, число которых не может превышать количественного состава этого органа.</w:t>
      </w:r>
      <w:r>
        <w:rPr>
          <w:rStyle w:val="Subst"/>
          <w:bCs/>
          <w:iCs/>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bCs/>
          <w:iCs/>
        </w:rPr>
        <w:br/>
        <w:t xml:space="preserve"> При внесении предложений о выдвижении кандидата в аудиторы Общества указываются имя кандидата, количество и тип принадлежащих ему акций, а также имена акционеров, выдвигающих кандидата, количество и категория (тип) принадлежащих им акций.</w:t>
      </w:r>
      <w:r>
        <w:rPr>
          <w:rStyle w:val="Subst"/>
          <w:bCs/>
          <w:iCs/>
        </w:rPr>
        <w:br/>
        <w:t>Совет директоров Общества обязан в 5-тидневный срок, после окончания сроков внесения предложений, рассмотреть поступившие предложения и принять решения о включении, либо об отказе во включение их в повестку дня общего собрания акционеров.</w:t>
      </w:r>
      <w:r>
        <w:rPr>
          <w:rStyle w:val="Subst"/>
          <w:bCs/>
          <w:iCs/>
        </w:rPr>
        <w:br/>
        <w:t>Мотивированные решения об отказе во включении вопросов в повестку дня общего собрания акционеров или кандидата в список кандидатур для голосования по выборам кандидата в аудиторы Общества направляется акционеру (акционерам), внесшему вопрос или представившему предложение не позднее трех дней с даты принятия решений. В соответствии со ст.53 Устава Эмитента годовое общее собрание акционеров утверждает аудитора Общества.</w:t>
      </w:r>
      <w:r>
        <w:rPr>
          <w:rStyle w:val="Subst"/>
          <w:bCs/>
          <w:iCs/>
        </w:rPr>
        <w:br/>
      </w:r>
    </w:p>
    <w:p w:rsidR="00AA7EE0" w:rsidRDefault="00AA7EE0" w:rsidP="00BB4B93">
      <w:pPr>
        <w:ind w:left="200"/>
        <w:jc w:val="both"/>
      </w:pPr>
      <w:r>
        <w:t>Указывается информация о работах, проводимых аудитором в рамках специальных аудиторских заданий:</w:t>
      </w:r>
      <w:r>
        <w:br/>
      </w:r>
      <w:r>
        <w:rPr>
          <w:rStyle w:val="Subst"/>
          <w:bCs/>
          <w:iCs/>
        </w:rPr>
        <w:t>Работ, проводимых аудитором в рамках специальных аудиторских заданий, не проводилось.</w:t>
      </w:r>
    </w:p>
    <w:p w:rsidR="00AA7EE0" w:rsidRPr="00707EC9" w:rsidRDefault="00AA7EE0" w:rsidP="00BB4B93">
      <w:pPr>
        <w:ind w:left="200"/>
        <w:jc w:val="both"/>
        <w:rPr>
          <w:b/>
          <w:i/>
        </w:rPr>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r>
        <w:rPr>
          <w:rStyle w:val="Subst"/>
          <w:bCs/>
          <w:iCs/>
        </w:rPr>
        <w:t>Стоимость за оказываемые аудиторские услуги определяется в зависимости от трудозатрат, технического задания на аудиторскую проверку и требуемых сроков оказания услуг.</w:t>
      </w:r>
      <w:r>
        <w:rPr>
          <w:rStyle w:val="Subst"/>
          <w:bCs/>
          <w:iCs/>
        </w:rPr>
        <w:br/>
        <w:t>В соответствии с п.1 ст. 53 Устава эмитента аудитор (гражданин или организация) осуществляет проверку финансово-хозяйственной деятельности Общества в соответствии с правовыми актами Российской Федерации и на основании заключаемого с ним договора.</w:t>
      </w:r>
      <w:r>
        <w:rPr>
          <w:rStyle w:val="Subst"/>
          <w:bCs/>
          <w:iCs/>
        </w:rPr>
        <w:br/>
        <w:t xml:space="preserve">В соответствии с п.3 ст. 53 Устава эмитента определение размера оплаты услуг аудитора относится к компетенции Совета директоров. </w:t>
      </w:r>
      <w:r>
        <w:rPr>
          <w:rStyle w:val="Subst"/>
          <w:bCs/>
          <w:iCs/>
        </w:rPr>
        <w:br/>
      </w:r>
      <w:r w:rsidRPr="00707EC9">
        <w:rPr>
          <w:rStyle w:val="Subst"/>
          <w:b w:val="0"/>
          <w:bCs/>
          <w:i w:val="0"/>
          <w:iCs/>
        </w:rPr>
        <w:t>Фактический размер вознаграждения, в</w:t>
      </w:r>
      <w:r w:rsidR="00EB71B3" w:rsidRPr="00707EC9">
        <w:rPr>
          <w:rStyle w:val="Subst"/>
          <w:b w:val="0"/>
          <w:bCs/>
          <w:i w:val="0"/>
          <w:iCs/>
        </w:rPr>
        <w:t>ыплаченного эмитентом аудитору</w:t>
      </w:r>
      <w:r w:rsidRPr="00707EC9">
        <w:rPr>
          <w:rStyle w:val="Subst"/>
          <w:b w:val="0"/>
          <w:bCs/>
          <w:i w:val="0"/>
          <w:iCs/>
        </w:rPr>
        <w:t>:</w:t>
      </w:r>
    </w:p>
    <w:tbl>
      <w:tblPr>
        <w:tblW w:w="2584" w:type="dxa"/>
        <w:tblInd w:w="643"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000"/>
      </w:tblPr>
      <w:tblGrid>
        <w:gridCol w:w="1308"/>
        <w:gridCol w:w="1276"/>
      </w:tblGrid>
      <w:tr w:rsidR="00EB71B3" w:rsidRPr="00F95AA2" w:rsidTr="00EB71B3">
        <w:trPr>
          <w:trHeight w:val="411"/>
        </w:trPr>
        <w:tc>
          <w:tcPr>
            <w:tcW w:w="1308" w:type="dxa"/>
            <w:vAlign w:val="bottom"/>
          </w:tcPr>
          <w:p w:rsidR="00EB71B3" w:rsidRPr="00F95AA2" w:rsidRDefault="00EB71B3" w:rsidP="00EB71B3">
            <w:pPr>
              <w:jc w:val="both"/>
              <w:rPr>
                <w:b/>
                <w:bCs/>
                <w:sz w:val="22"/>
                <w:szCs w:val="22"/>
              </w:rPr>
            </w:pPr>
            <w:r>
              <w:rPr>
                <w:b/>
                <w:bCs/>
                <w:sz w:val="22"/>
                <w:szCs w:val="22"/>
              </w:rPr>
              <w:t>год</w:t>
            </w:r>
          </w:p>
        </w:tc>
        <w:tc>
          <w:tcPr>
            <w:tcW w:w="1276" w:type="dxa"/>
            <w:vAlign w:val="bottom"/>
          </w:tcPr>
          <w:p w:rsidR="00EB71B3" w:rsidRPr="00EB71B3" w:rsidRDefault="00EB71B3" w:rsidP="00EB71B3">
            <w:pPr>
              <w:jc w:val="both"/>
              <w:rPr>
                <w:b/>
                <w:bCs/>
                <w:i/>
                <w:sz w:val="22"/>
                <w:szCs w:val="22"/>
              </w:rPr>
            </w:pPr>
            <w:r w:rsidRPr="00EB71B3">
              <w:rPr>
                <w:rStyle w:val="Subst"/>
                <w:bCs/>
                <w:i w:val="0"/>
                <w:iCs/>
              </w:rPr>
              <w:t>2011 г.</w:t>
            </w:r>
          </w:p>
        </w:tc>
      </w:tr>
      <w:tr w:rsidR="00EB71B3" w:rsidTr="00EB71B3">
        <w:trPr>
          <w:trHeight w:val="277"/>
        </w:trPr>
        <w:tc>
          <w:tcPr>
            <w:tcW w:w="1308" w:type="dxa"/>
            <w:vAlign w:val="bottom"/>
          </w:tcPr>
          <w:p w:rsidR="00EB71B3" w:rsidRPr="00EB71B3" w:rsidRDefault="00EB71B3" w:rsidP="00EB71B3">
            <w:pPr>
              <w:jc w:val="both"/>
              <w:rPr>
                <w:b/>
                <w:sz w:val="22"/>
                <w:szCs w:val="22"/>
              </w:rPr>
            </w:pPr>
            <w:r w:rsidRPr="00EB71B3">
              <w:rPr>
                <w:b/>
                <w:sz w:val="22"/>
                <w:szCs w:val="22"/>
              </w:rPr>
              <w:t>сумма</w:t>
            </w:r>
            <w:r w:rsidRPr="00EB71B3">
              <w:rPr>
                <w:rStyle w:val="Subst"/>
                <w:bCs/>
                <w:i w:val="0"/>
                <w:iCs/>
              </w:rPr>
              <w:t>, руб.</w:t>
            </w:r>
          </w:p>
        </w:tc>
        <w:tc>
          <w:tcPr>
            <w:tcW w:w="1276" w:type="dxa"/>
            <w:vAlign w:val="bottom"/>
          </w:tcPr>
          <w:p w:rsidR="00EB71B3" w:rsidRDefault="00EB71B3" w:rsidP="00EB71B3">
            <w:pPr>
              <w:jc w:val="both"/>
              <w:rPr>
                <w:sz w:val="22"/>
                <w:szCs w:val="22"/>
              </w:rPr>
            </w:pPr>
            <w:r w:rsidRPr="00EB71B3">
              <w:rPr>
                <w:sz w:val="22"/>
                <w:szCs w:val="22"/>
              </w:rPr>
              <w:t xml:space="preserve">240 00,00                 </w:t>
            </w:r>
          </w:p>
        </w:tc>
      </w:tr>
    </w:tbl>
    <w:p w:rsidR="00EB71B3" w:rsidRDefault="00EB71B3" w:rsidP="00BB4B93">
      <w:pPr>
        <w:ind w:left="200"/>
        <w:jc w:val="both"/>
      </w:pPr>
    </w:p>
    <w:p w:rsidR="00AA7EE0" w:rsidRDefault="00AA7EE0" w:rsidP="007C1301">
      <w:pPr>
        <w:ind w:left="200"/>
        <w:jc w:val="both"/>
      </w:pPr>
      <w:r>
        <w:t>Приводится информация о наличии отсроченных и просроченных платежей за оказанные аудитором услуги:</w:t>
      </w:r>
      <w:r>
        <w:br/>
      </w:r>
      <w:r>
        <w:rPr>
          <w:rStyle w:val="Subst"/>
          <w:bCs/>
          <w:iCs/>
        </w:rPr>
        <w:t>Отсроченные или просроченные платежи отсутствуют.</w:t>
      </w:r>
    </w:p>
    <w:p w:rsidR="00AA7EE0" w:rsidRDefault="00AA7EE0" w:rsidP="00BB4B93">
      <w:pPr>
        <w:pStyle w:val="2"/>
        <w:jc w:val="both"/>
      </w:pPr>
      <w:bookmarkStart w:id="6" w:name="_Toc324431718"/>
      <w:r>
        <w:t>1.4. Сведения об оценщике эмитента</w:t>
      </w:r>
      <w:bookmarkEnd w:id="6"/>
    </w:p>
    <w:p w:rsidR="00AA7EE0" w:rsidRDefault="00AA7EE0" w:rsidP="00BB4B93">
      <w:pPr>
        <w:ind w:left="200"/>
        <w:jc w:val="both"/>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AA7EE0" w:rsidRDefault="00AA7EE0" w:rsidP="00BB4B93">
      <w:pPr>
        <w:pStyle w:val="2"/>
        <w:jc w:val="both"/>
      </w:pPr>
      <w:bookmarkStart w:id="7" w:name="_Toc324431719"/>
      <w:r>
        <w:lastRenderedPageBreak/>
        <w:t>1.5. Сведения о консультантах эмитента</w:t>
      </w:r>
      <w:bookmarkEnd w:id="7"/>
    </w:p>
    <w:p w:rsidR="00AA7EE0" w:rsidRDefault="00AA7EE0" w:rsidP="00BB4B93">
      <w:pPr>
        <w:ind w:left="200"/>
        <w:jc w:val="both"/>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AA7EE0" w:rsidRDefault="00AA7EE0" w:rsidP="00BB4B93">
      <w:pPr>
        <w:pStyle w:val="2"/>
        <w:jc w:val="both"/>
      </w:pPr>
      <w:bookmarkStart w:id="8" w:name="_Toc324431720"/>
      <w:r>
        <w:t>1.6. Сведения об иных лицах, подписавших ежеквартальный отчет</w:t>
      </w:r>
      <w:bookmarkEnd w:id="8"/>
    </w:p>
    <w:p w:rsidR="00AA7EE0" w:rsidRDefault="00AA7EE0" w:rsidP="00BB4B93">
      <w:pPr>
        <w:ind w:left="200"/>
        <w:jc w:val="both"/>
      </w:pPr>
      <w:r>
        <w:t>ФИО:</w:t>
      </w:r>
      <w:r>
        <w:rPr>
          <w:rStyle w:val="Subst"/>
          <w:bCs/>
          <w:iCs/>
        </w:rPr>
        <w:t xml:space="preserve"> Козлова Ольга Вячеславовна</w:t>
      </w:r>
    </w:p>
    <w:p w:rsidR="00AA7EE0" w:rsidRDefault="00AA7EE0" w:rsidP="00BB4B93">
      <w:pPr>
        <w:ind w:left="200"/>
        <w:jc w:val="both"/>
      </w:pPr>
      <w:r>
        <w:t>Год рождения:</w:t>
      </w:r>
      <w:r>
        <w:rPr>
          <w:rStyle w:val="Subst"/>
          <w:bCs/>
          <w:iCs/>
        </w:rPr>
        <w:t xml:space="preserve"> 1967</w:t>
      </w:r>
    </w:p>
    <w:p w:rsidR="00AA7EE0" w:rsidRDefault="00AA7EE0" w:rsidP="00BB4B93">
      <w:pPr>
        <w:pStyle w:val="SubHeading"/>
        <w:ind w:left="200"/>
        <w:jc w:val="both"/>
      </w:pPr>
      <w:r>
        <w:t>Сведения об основном месте работы:</w:t>
      </w:r>
    </w:p>
    <w:p w:rsidR="00AA7EE0" w:rsidRDefault="00AA7EE0" w:rsidP="00BB4B93">
      <w:pPr>
        <w:ind w:left="400"/>
        <w:jc w:val="both"/>
      </w:pPr>
      <w:r>
        <w:t>Организация:</w:t>
      </w:r>
      <w:r>
        <w:rPr>
          <w:rStyle w:val="Subst"/>
          <w:bCs/>
          <w:iCs/>
        </w:rPr>
        <w:t xml:space="preserve"> ОАО «РН-Влакра»</w:t>
      </w:r>
    </w:p>
    <w:p w:rsidR="00AA7EE0" w:rsidRDefault="00AA7EE0" w:rsidP="00BB4B93">
      <w:pPr>
        <w:ind w:left="400"/>
        <w:jc w:val="both"/>
      </w:pPr>
      <w:r>
        <w:t>Должность:</w:t>
      </w:r>
      <w:r>
        <w:rPr>
          <w:rStyle w:val="Subst"/>
          <w:bCs/>
          <w:iCs/>
        </w:rPr>
        <w:t xml:space="preserve"> Главный бухгалтер</w:t>
      </w:r>
    </w:p>
    <w:p w:rsidR="00AA7EE0" w:rsidRDefault="00AA7EE0" w:rsidP="00BB4B93">
      <w:pPr>
        <w:pStyle w:val="1"/>
        <w:jc w:val="both"/>
      </w:pPr>
      <w:bookmarkStart w:id="9" w:name="_Toc324431721"/>
      <w:r>
        <w:t>II. Основная информация о финансово-экономическом состоянии эмитента</w:t>
      </w:r>
      <w:bookmarkEnd w:id="9"/>
    </w:p>
    <w:p w:rsidR="00AA7EE0" w:rsidRDefault="00AA7EE0" w:rsidP="00BB4B93">
      <w:pPr>
        <w:pStyle w:val="2"/>
        <w:jc w:val="both"/>
      </w:pPr>
      <w:bookmarkStart w:id="10" w:name="_Toc324431722"/>
      <w:r>
        <w:t>2.1. Показатели финансово-экономической деятельности эмитента</w:t>
      </w:r>
      <w:bookmarkEnd w:id="10"/>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7C1301">
        <w:rPr>
          <w:rStyle w:val="Subst"/>
          <w:bCs/>
          <w:iCs/>
        </w:rPr>
        <w:t>.</w:t>
      </w:r>
    </w:p>
    <w:p w:rsidR="00AA7EE0" w:rsidRDefault="00AA7EE0" w:rsidP="00BB4B93">
      <w:pPr>
        <w:pStyle w:val="2"/>
        <w:jc w:val="both"/>
      </w:pPr>
      <w:bookmarkStart w:id="11" w:name="_Toc324431723"/>
      <w:r>
        <w:t>2.2. Рыночная капитализация эмитента</w:t>
      </w:r>
      <w:bookmarkEnd w:id="11"/>
    </w:p>
    <w:p w:rsidR="00AA7EE0" w:rsidRDefault="00AA7EE0" w:rsidP="00BB4B93">
      <w:pPr>
        <w:ind w:left="200"/>
        <w:jc w:val="both"/>
      </w:pPr>
      <w:r>
        <w:t>Не указывается эмитентами, обыкновенные именные акции которых не допущены к обращению организатором торговли</w:t>
      </w:r>
      <w:r w:rsidR="007C1301">
        <w:t>.</w:t>
      </w:r>
    </w:p>
    <w:p w:rsidR="00AA7EE0" w:rsidRDefault="00AA7EE0" w:rsidP="00BB4B93">
      <w:pPr>
        <w:pStyle w:val="2"/>
        <w:jc w:val="both"/>
      </w:pPr>
      <w:bookmarkStart w:id="12" w:name="_Toc324431724"/>
      <w:r>
        <w:t>2.3. Обязательства эмитента</w:t>
      </w:r>
      <w:bookmarkEnd w:id="12"/>
    </w:p>
    <w:p w:rsidR="00AA7EE0" w:rsidRDefault="00AA7EE0" w:rsidP="00BB4B93">
      <w:pPr>
        <w:pStyle w:val="2"/>
        <w:jc w:val="both"/>
      </w:pPr>
      <w:bookmarkStart w:id="13" w:name="_Toc324431725"/>
      <w:r>
        <w:t>2.3.1. Заемные средства и кредиторская задолженность</w:t>
      </w:r>
      <w:bookmarkEnd w:id="13"/>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7C1301">
        <w:rPr>
          <w:rStyle w:val="Subst"/>
          <w:bCs/>
          <w:iCs/>
        </w:rPr>
        <w:t>.</w:t>
      </w:r>
    </w:p>
    <w:p w:rsidR="00AA7EE0" w:rsidRDefault="00AA7EE0" w:rsidP="00BB4B93">
      <w:pPr>
        <w:pStyle w:val="2"/>
        <w:jc w:val="both"/>
      </w:pPr>
      <w:bookmarkStart w:id="14" w:name="_Toc324431726"/>
      <w:r>
        <w:t>2.3.2. Кредитная история эмитента</w:t>
      </w:r>
      <w:bookmarkEnd w:id="14"/>
    </w:p>
    <w:p w:rsidR="00AA7EE0" w:rsidRDefault="00AA7EE0" w:rsidP="00BB4B93">
      <w:pPr>
        <w:ind w:left="200"/>
        <w:jc w:val="both"/>
      </w:pPr>
      <w:r>
        <w:rPr>
          <w:rStyle w:val="Subst"/>
          <w:bCs/>
          <w:iCs/>
        </w:rPr>
        <w:t>Эмитент не имел указанных обязательств</w:t>
      </w:r>
      <w:r w:rsidR="007C1301">
        <w:rPr>
          <w:rStyle w:val="Subst"/>
          <w:bCs/>
          <w:iCs/>
        </w:rPr>
        <w:t>.</w:t>
      </w:r>
    </w:p>
    <w:p w:rsidR="00AA7EE0" w:rsidRDefault="00AA7EE0" w:rsidP="00BB4B93">
      <w:pPr>
        <w:pStyle w:val="2"/>
        <w:jc w:val="both"/>
      </w:pPr>
      <w:bookmarkStart w:id="15" w:name="_Toc324431727"/>
      <w:r>
        <w:t>2.3.3. Обязательства эмитента из обеспечения, предоставленного третьим лицам</w:t>
      </w:r>
      <w:bookmarkEnd w:id="15"/>
    </w:p>
    <w:p w:rsidR="00AA7EE0" w:rsidRDefault="00AA7EE0" w:rsidP="00BB4B93">
      <w:pPr>
        <w:ind w:left="200"/>
        <w:jc w:val="both"/>
      </w:pPr>
      <w:r>
        <w:rPr>
          <w:rStyle w:val="Subst"/>
          <w:bCs/>
          <w:iCs/>
        </w:rPr>
        <w:t>Указанные обязательства отсутствуют</w:t>
      </w:r>
      <w:r w:rsidR="007C1301">
        <w:rPr>
          <w:rStyle w:val="Subst"/>
          <w:bCs/>
          <w:iCs/>
        </w:rPr>
        <w:t>.</w:t>
      </w:r>
    </w:p>
    <w:p w:rsidR="00AA7EE0" w:rsidRDefault="00AA7EE0" w:rsidP="00BB4B93">
      <w:pPr>
        <w:pStyle w:val="2"/>
        <w:jc w:val="both"/>
      </w:pPr>
      <w:bookmarkStart w:id="16" w:name="_Toc324431728"/>
      <w:r>
        <w:t>2.3.4. Прочие обязательства эмитента</w:t>
      </w:r>
      <w:bookmarkEnd w:id="16"/>
    </w:p>
    <w:p w:rsidR="00AA7EE0" w:rsidRDefault="00AA7EE0" w:rsidP="00BB4B93">
      <w:pPr>
        <w:ind w:left="200"/>
        <w:jc w:val="both"/>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r w:rsidR="007C1301">
        <w:rPr>
          <w:rStyle w:val="Subst"/>
          <w:bCs/>
          <w:iCs/>
        </w:rPr>
        <w:t>.</w:t>
      </w:r>
    </w:p>
    <w:p w:rsidR="00AA7EE0" w:rsidRDefault="00AA7EE0" w:rsidP="00BB4B93">
      <w:pPr>
        <w:pStyle w:val="2"/>
        <w:jc w:val="both"/>
      </w:pPr>
      <w:bookmarkStart w:id="17" w:name="_Toc324431729"/>
      <w:r>
        <w:t>2.4. Риски, связанные с приобретением размещаемых (размещенных) эмиссионных ценных бумаг</w:t>
      </w:r>
      <w:bookmarkEnd w:id="17"/>
    </w:p>
    <w:p w:rsidR="00AA7EE0" w:rsidRDefault="00AA7EE0" w:rsidP="00BB4B93">
      <w:pPr>
        <w:ind w:left="200"/>
        <w:jc w:val="both"/>
      </w:pPr>
      <w:r>
        <w:t>Политика эмитента в области управления рисками:</w:t>
      </w:r>
      <w:r>
        <w:br/>
      </w:r>
      <w:r>
        <w:rPr>
          <w:rStyle w:val="Subst"/>
          <w:bCs/>
          <w:iCs/>
        </w:rPr>
        <w:t xml:space="preserve">Инвестиции в ценные бумаги </w:t>
      </w:r>
      <w:r w:rsidR="007C1301">
        <w:rPr>
          <w:rStyle w:val="Subst"/>
          <w:bCs/>
          <w:iCs/>
        </w:rPr>
        <w:t>Э</w:t>
      </w:r>
      <w:r>
        <w:rPr>
          <w:rStyle w:val="Subst"/>
          <w:bCs/>
          <w:iCs/>
        </w:rPr>
        <w:t xml:space="preserve">митента связаны с определенной степенью риска, поэтому потенциальные инвесторы, прежде чем принимать любое инвестиционное решение, должны тщательно изучить указанные ниже факторы риска. Каждый из этих факторов может оказать неблагоприятное воздействие на финансовое положение и стоимость ценных бумаг </w:t>
      </w:r>
      <w:r w:rsidR="007C1301">
        <w:rPr>
          <w:rStyle w:val="Subst"/>
          <w:bCs/>
          <w:iCs/>
        </w:rPr>
        <w:t>Э</w:t>
      </w:r>
      <w:r>
        <w:rPr>
          <w:rStyle w:val="Subst"/>
          <w:bCs/>
          <w:iCs/>
        </w:rPr>
        <w:t>митента.</w:t>
      </w:r>
      <w:r>
        <w:rPr>
          <w:rStyle w:val="Subst"/>
          <w:bCs/>
          <w:iCs/>
        </w:rPr>
        <w:br/>
      </w:r>
      <w:r>
        <w:rPr>
          <w:rStyle w:val="Subst"/>
          <w:bCs/>
          <w:iCs/>
        </w:rPr>
        <w:lastRenderedPageBreak/>
        <w:t>В настоящем разделе приводится подробный анализ факторов риска, связанных с приобретением размещаемых эмиссионных ценных бумаг, в частности:</w:t>
      </w:r>
      <w:r>
        <w:rPr>
          <w:rStyle w:val="Subst"/>
          <w:bCs/>
          <w:iCs/>
        </w:rPr>
        <w:br/>
        <w:t>-</w:t>
      </w:r>
      <w:r>
        <w:rPr>
          <w:rStyle w:val="Subst"/>
          <w:bCs/>
          <w:iCs/>
        </w:rPr>
        <w:tab/>
        <w:t>отраслевых рисков;</w:t>
      </w:r>
      <w:r>
        <w:rPr>
          <w:rStyle w:val="Subst"/>
          <w:bCs/>
          <w:iCs/>
        </w:rPr>
        <w:br/>
        <w:t>-</w:t>
      </w:r>
      <w:r>
        <w:rPr>
          <w:rStyle w:val="Subst"/>
          <w:bCs/>
          <w:iCs/>
        </w:rPr>
        <w:tab/>
        <w:t>страновых и региональных рисков;</w:t>
      </w:r>
      <w:r>
        <w:rPr>
          <w:rStyle w:val="Subst"/>
          <w:bCs/>
          <w:iCs/>
        </w:rPr>
        <w:br/>
        <w:t>-</w:t>
      </w:r>
      <w:r>
        <w:rPr>
          <w:rStyle w:val="Subst"/>
          <w:bCs/>
          <w:iCs/>
        </w:rPr>
        <w:tab/>
        <w:t>финансовых рисков;</w:t>
      </w:r>
      <w:r>
        <w:rPr>
          <w:rStyle w:val="Subst"/>
          <w:bCs/>
          <w:iCs/>
        </w:rPr>
        <w:br/>
        <w:t>-</w:t>
      </w:r>
      <w:r>
        <w:rPr>
          <w:rStyle w:val="Subst"/>
          <w:bCs/>
          <w:iCs/>
        </w:rPr>
        <w:tab/>
        <w:t>правовых рисков;</w:t>
      </w:r>
      <w:r>
        <w:rPr>
          <w:rStyle w:val="Subst"/>
          <w:bCs/>
          <w:iCs/>
        </w:rPr>
        <w:br/>
        <w:t>-</w:t>
      </w:r>
      <w:r>
        <w:rPr>
          <w:rStyle w:val="Subst"/>
          <w:bCs/>
          <w:iCs/>
        </w:rPr>
        <w:tab/>
        <w:t>рисков, связанных с деятельностью эмитента.</w:t>
      </w:r>
      <w:r>
        <w:rPr>
          <w:rStyle w:val="Subst"/>
          <w:bCs/>
          <w:iCs/>
        </w:rPr>
        <w:br/>
        <w:t xml:space="preserve">Политика эмитента в области управления рисками: </w:t>
      </w:r>
      <w:r>
        <w:rPr>
          <w:rStyle w:val="Subst"/>
          <w:bCs/>
          <w:iCs/>
        </w:rPr>
        <w:br/>
        <w:t xml:space="preserve">Политика Эмитента по управлению рисками строится на основе следующих общепринятых принципов управления рисками: </w:t>
      </w:r>
      <w:r>
        <w:rPr>
          <w:rStyle w:val="Subst"/>
          <w:bCs/>
          <w:iCs/>
        </w:rPr>
        <w:br/>
        <w:t>1. Сбор информации.</w:t>
      </w:r>
      <w:r>
        <w:rPr>
          <w:rStyle w:val="Subst"/>
          <w:bCs/>
          <w:iCs/>
        </w:rPr>
        <w:br/>
        <w:t>2. Анализ  рисков  с точки зрения объективных (статистика, формулы расчета степени вероятности) и субъективных (личный опыт, интуиция) критериев.</w:t>
      </w:r>
      <w:r>
        <w:rPr>
          <w:rStyle w:val="Subst"/>
          <w:bCs/>
          <w:iCs/>
        </w:rPr>
        <w:br/>
        <w:t>3. Оценка вероятности  потерь и  сравнение размера возможных потерь с ожидаемой прибылью.</w:t>
      </w:r>
      <w:r>
        <w:rPr>
          <w:rStyle w:val="Subst"/>
          <w:bCs/>
          <w:iCs/>
        </w:rPr>
        <w:br/>
        <w:t>4. Разработка мер по увеличению благоприятных возможностей и снижению угрозы потерь.</w:t>
      </w:r>
      <w:r>
        <w:rPr>
          <w:rStyle w:val="Subst"/>
          <w:bCs/>
          <w:iCs/>
        </w:rPr>
        <w:br/>
        <w:t>5. Отслеживание рисков, которые находятся вне управления Эмитентом, и контроль появления новых рисков.</w:t>
      </w:r>
      <w:r>
        <w:rPr>
          <w:rStyle w:val="Subst"/>
          <w:bCs/>
          <w:iCs/>
        </w:rPr>
        <w:br/>
        <w:t>При возникновении кризисных ситуаций и неблагоприятном развитии ситуации в стране руководство ОАО "РН-Влакра" будет проводить риск-менеджментские мероприятия, связанные с хеджированием возникающих у Общества рисков на финансовом и товарном рынках. Конкретные риск-менеджментские мероприятия будут зависеть от обстоятельств возникновения риска и возможностей его локализации.</w:t>
      </w:r>
    </w:p>
    <w:p w:rsidR="00AA7EE0" w:rsidRDefault="00AA7EE0" w:rsidP="00BB4B93">
      <w:pPr>
        <w:pStyle w:val="2"/>
        <w:jc w:val="both"/>
      </w:pPr>
      <w:bookmarkStart w:id="18" w:name="_Toc324431730"/>
      <w:r>
        <w:t>2.4.1. Отраслевые риски</w:t>
      </w:r>
      <w:bookmarkEnd w:id="18"/>
    </w:p>
    <w:p w:rsidR="00AA7EE0" w:rsidRDefault="00AA7EE0" w:rsidP="00BB4B93">
      <w:pPr>
        <w:ind w:left="200"/>
        <w:jc w:val="both"/>
      </w:pPr>
      <w:r>
        <w:rPr>
          <w:rStyle w:val="Subst"/>
          <w:bCs/>
          <w:iCs/>
        </w:rPr>
        <w:t>Основным видом деятельности, осуществляемым Эмитентом, является сдача в аренду коммерческой недвижимости в зданиях, принадлежащих Обществу.</w:t>
      </w:r>
      <w:r>
        <w:rPr>
          <w:rStyle w:val="Subst"/>
          <w:bCs/>
          <w:iCs/>
        </w:rPr>
        <w:br/>
        <w:t xml:space="preserve">Основным риском для Эмитента в данной отрасли является снижение арендных ставок на рынке. Другим фактором риска может быть снижение спроса на аренду помещений со стороны части арендаторов, в случае ухудшения их финансового положения из-за продолжающегося экономического кризиса. Как следствие, усиливается конкуренция среди арендодателей. В этом случае ключевым фактором привлечения арендаторов является снижение арендных ставок. </w:t>
      </w:r>
      <w:r>
        <w:rPr>
          <w:rStyle w:val="Subst"/>
          <w:bCs/>
          <w:iCs/>
        </w:rPr>
        <w:br/>
        <w:t>По оценкам экспертов снижение цен и арендных ставок на офисные помещения, начавшееся в результате кризиса, в сентябре – октябре 2008 г. составило к концу 2008 года 15 – 20%. На некоторые объекты зафиксировано снижение до 30 – 40%. Снижение ставок продолжилось и в 2009 году, на 20-25%. Со 2-го пг. 2009 г. наметилась определенная стабилизация. В 2011 г. общее улучшение экономической ситуации в Москве и как следствие развитие бизнеса и рост штата сотрудников компаний-арендаторов привело к увеличению спроса на коммерческую недвижимость. Спрос превысил предложение в три раза, что привело к постепенному снижению в течение 2011 года доли вакантных площадей. Однако, как констатируют аналитики, ставки аренды по всем классам офисов пока так и не восстановились до докризисных уровней. Базовые ставки аренды (без учета операционных расходов и НДС) составили в среднем: для класса «А» - $600-850 (плюс операционные расходы $110-150), для класса «В+» - $400-600 (плюс - $80-120), для класса «В-» - $260-400 долл. (плюс - $50-95). По данным компании Knight Frank средний прирост арендных ставок с начала 2011 года в классе «А» составил 8,5%, в классах «В+» и «В-» - 5,5%.</w:t>
      </w:r>
      <w:r>
        <w:rPr>
          <w:rStyle w:val="Subst"/>
          <w:bCs/>
          <w:iCs/>
        </w:rPr>
        <w:br/>
        <w:t xml:space="preserve"> Уменьшение арендных ставок и спроса со стороны арендаторов ведет к сокращению выручки и прибыли Эмитента. В этом случае, усилия менеджмента будут направлены на поиски новых арендаторов, снижения издержек деятельности Эмитента.</w:t>
      </w:r>
      <w:r>
        <w:rPr>
          <w:rStyle w:val="Subst"/>
          <w:bCs/>
          <w:iCs/>
        </w:rPr>
        <w:br/>
      </w:r>
      <w:r>
        <w:rPr>
          <w:rStyle w:val="Subst"/>
          <w:bCs/>
          <w:iCs/>
        </w:rPr>
        <w:br/>
      </w:r>
      <w:r w:rsidRPr="007C1301">
        <w:rPr>
          <w:rStyle w:val="Subst"/>
          <w:b w:val="0"/>
          <w:bCs/>
          <w:i w:val="0"/>
          <w:iCs/>
        </w:rPr>
        <w:t>Риски, связанные с возможным изменением цен на сырье, услуги, используемые эмитентом в своей деятельности, и их влияние на деятельность эмитента и исполнение обязательств по ценным бумагам:</w:t>
      </w:r>
      <w:r>
        <w:rPr>
          <w:rStyle w:val="Subst"/>
          <w:bCs/>
          <w:iCs/>
        </w:rPr>
        <w:br/>
        <w:t>Колебание цен на сырье напрямую на деятельности эмитента не отражается, так как Эмитент не занимается производством.</w:t>
      </w:r>
      <w:r>
        <w:rPr>
          <w:rStyle w:val="Subst"/>
          <w:bCs/>
          <w:iCs/>
        </w:rPr>
        <w:br/>
        <w:t>Единственным значимым риском для Эмитента является изменение цен на услуги, используемые Эмитентом для обеспечения деятельности и поддержания помещений, сдаваемых в аренду. В случае увеличения цен на эти услуги издержки Эмитента  увеличатся.</w:t>
      </w:r>
      <w:r>
        <w:rPr>
          <w:rStyle w:val="Subst"/>
          <w:bCs/>
          <w:iCs/>
        </w:rPr>
        <w:br/>
        <w:t>Эмитент не осуществляет внешнеторговой деятельности. В связи с этим рисков, связанных с возможным изменением цен на сырье, услуги, используемые Эмитентом на внешних рынках, нет.</w:t>
      </w:r>
      <w:r>
        <w:rPr>
          <w:rStyle w:val="Subst"/>
          <w:bCs/>
          <w:iCs/>
        </w:rPr>
        <w:br/>
      </w:r>
      <w:r>
        <w:rPr>
          <w:rStyle w:val="Subst"/>
          <w:bCs/>
          <w:iCs/>
        </w:rPr>
        <w:br/>
      </w:r>
      <w:r w:rsidRPr="007C1301">
        <w:rPr>
          <w:rStyle w:val="Subst"/>
          <w:b w:val="0"/>
          <w:bCs/>
          <w:i w:val="0"/>
          <w:iCs/>
        </w:rPr>
        <w:t>Риски, связанные с возможным изменением цен на продукцию и/или услуги Эмитента, и их влияние на деятельность эмитента и исполнение обязательств по ценным бумагам:</w:t>
      </w:r>
      <w:r w:rsidRPr="007C1301">
        <w:rPr>
          <w:rStyle w:val="Subst"/>
          <w:b w:val="0"/>
          <w:bCs/>
          <w:i w:val="0"/>
          <w:iCs/>
        </w:rPr>
        <w:br/>
      </w:r>
      <w:r>
        <w:rPr>
          <w:rStyle w:val="Subst"/>
          <w:bCs/>
          <w:iCs/>
        </w:rPr>
        <w:t xml:space="preserve">Несмотря на развитие рынка недвижимости в целом по стране и в московском регионе особенно и рост </w:t>
      </w:r>
      <w:r>
        <w:rPr>
          <w:rStyle w:val="Subst"/>
          <w:bCs/>
          <w:iCs/>
        </w:rPr>
        <w:lastRenderedPageBreak/>
        <w:t xml:space="preserve">площадей, сдаваемых в аренду, кризисную ситуацию, возникшую осенью 2008 г., влияющие на изменение цен на услуги Эмитента, потребность в хорошо обустроенных помещениях всегда высока. С 2010 г. наблюдается стабилизация и рост арендных ставок. В ближайшее время значительного снижения цен на предоставление помещений в аренду не предвидится. </w:t>
      </w:r>
      <w:r>
        <w:rPr>
          <w:rStyle w:val="Subst"/>
          <w:bCs/>
          <w:iCs/>
        </w:rPr>
        <w:br/>
        <w:t>В целях минимизации кризисных последствий усилия менеджеров компании направлены на установление наиболее оптимальных арендных ставок, а также сохранение и увеличение объема сдаваемых в аренду площадей.</w:t>
      </w:r>
      <w:r>
        <w:rPr>
          <w:rStyle w:val="Subst"/>
          <w:bCs/>
          <w:iCs/>
        </w:rPr>
        <w:br/>
        <w:t>Эмитент не осуществляет внешнеторговой деятельности. В связи с этим рисков, связанных с возможным изменением цен на услуги Эмитента на внешних рынках, нет.</w:t>
      </w:r>
    </w:p>
    <w:p w:rsidR="00AA7EE0" w:rsidRDefault="00AA7EE0" w:rsidP="00BB4B93">
      <w:pPr>
        <w:pStyle w:val="2"/>
        <w:jc w:val="both"/>
      </w:pPr>
      <w:bookmarkStart w:id="19" w:name="_Toc324431731"/>
      <w:r>
        <w:t>2.4.2. Страновые и региональные риски</w:t>
      </w:r>
      <w:bookmarkEnd w:id="19"/>
    </w:p>
    <w:p w:rsidR="00AA7EE0" w:rsidRDefault="00AA7EE0" w:rsidP="00BB4B93">
      <w:pPr>
        <w:ind w:left="200"/>
        <w:jc w:val="both"/>
      </w:pPr>
      <w:r>
        <w:rPr>
          <w:rStyle w:val="Subst"/>
          <w:bCs/>
          <w:iCs/>
        </w:rPr>
        <w:t>ОАО «РН-Влакра» является российской компанией, осуществляющей свою деятельность в Московском регионе Российской Федерации, поэтому существенное  влияние на его деятельность оказывают как общие изменения в государстве, так и развитие московского региона.</w:t>
      </w:r>
      <w:r>
        <w:rPr>
          <w:rStyle w:val="Subst"/>
          <w:bCs/>
          <w:iCs/>
        </w:rPr>
        <w:br/>
        <w:t>1) Политические риски.</w:t>
      </w:r>
      <w:r>
        <w:rPr>
          <w:rStyle w:val="Subst"/>
          <w:bCs/>
          <w:iCs/>
        </w:rPr>
        <w:br/>
        <w:t>•</w:t>
      </w:r>
      <w:r>
        <w:rPr>
          <w:rStyle w:val="Subst"/>
          <w:bCs/>
          <w:iCs/>
        </w:rPr>
        <w:tab/>
        <w:t>геополитические риски (риски международных конфликтов);</w:t>
      </w:r>
      <w:r>
        <w:rPr>
          <w:rStyle w:val="Subst"/>
          <w:bCs/>
          <w:iCs/>
        </w:rPr>
        <w:br/>
        <w:t>•</w:t>
      </w:r>
      <w:r>
        <w:rPr>
          <w:rStyle w:val="Subst"/>
          <w:bCs/>
          <w:iCs/>
        </w:rPr>
        <w:tab/>
        <w:t>политическая нестабильность в стране (военные конфликты, терроризм, введение чрезвычайного положения);</w:t>
      </w:r>
      <w:r>
        <w:rPr>
          <w:rStyle w:val="Subst"/>
          <w:bCs/>
          <w:iCs/>
        </w:rPr>
        <w:br/>
        <w:t>•</w:t>
      </w:r>
      <w:r>
        <w:rPr>
          <w:rStyle w:val="Subst"/>
          <w:bCs/>
          <w:iCs/>
        </w:rPr>
        <w:tab/>
        <w:t>опасность национализации и экспроприации;</w:t>
      </w:r>
      <w:r>
        <w:rPr>
          <w:rStyle w:val="Subst"/>
          <w:bCs/>
          <w:iCs/>
        </w:rPr>
        <w:br/>
        <w:t>•</w:t>
      </w:r>
      <w:r>
        <w:rPr>
          <w:rStyle w:val="Subst"/>
          <w:bCs/>
          <w:iCs/>
        </w:rPr>
        <w:tab/>
        <w:t>социальные риски (забастовки);</w:t>
      </w:r>
      <w:r>
        <w:rPr>
          <w:rStyle w:val="Subst"/>
          <w:bCs/>
          <w:iCs/>
        </w:rPr>
        <w:br/>
        <w:t xml:space="preserve"> Инвестиции в России сопряжены с определенными рисками. Отток капитала (в 2008 году был зафиксирован чистый отток капитала из РФ в размере $ 130 млрд., в 2009 году - $56.9 млрд.) и сокращение международных резервов некоторые рейтинговые агентства рассматривают как признак ослабления финансовой устойчивости российской экономики - агентство Standard &amp; Poor's (S&amp;P) в декабре 2008 года понизило рейтинг РФ с уровня "ВВВ+" до уровня "ВВВ", агентство Fitch в феврале 2009 года также понизило рейтинг РФ с уровня "ВВВ+" до уровня "ВВВ". За январь-сентябрь 2009 года ВВП РФ, по предварительной оценке Минэкономразвития, снизился на 10%. В середине 2009 г. экономика страны начала преодолевать негативные последствия кризиса и динамика ВВП начала набирать положительные обороты, показывая в четвертом квартале всё большие темпы восстановления. Возобновление роста ВВП способствует восстановлению потока инвестиций в российскую экономику. Тенденции к усилению позиций российской экономики продолжились в 2010 г. Однако, согласно сценарию развития Минэкономразвития России, преодолеть предкризисный уровень развития экономика страны сможет только в 2013 г.</w:t>
      </w:r>
      <w:r>
        <w:rPr>
          <w:rStyle w:val="Subst"/>
          <w:bCs/>
          <w:iCs/>
        </w:rPr>
        <w:br/>
        <w:t>Оценка 2011 г. суверенного кредитного рейтинга РФ S&amp;P находится на уровне BBB по обязательствам в иностранной валюте и ВВВ+ - в национальной валюте. ВВВ -ступень инвестиционного рейтинга, обозначающая, что страна "достаточно способна" своевременно и полностью выполнять свои долговые обязательства. Согласно S&amp;P, текущий рейтинг ВВВ является результатом "взвешенной" фискальной политики "в прошлые годы" и того, что РФ остается нетто-кредитором, - то есть активы государства превышают его обязательства.</w:t>
      </w:r>
      <w:r>
        <w:rPr>
          <w:rStyle w:val="Subst"/>
          <w:bCs/>
          <w:iCs/>
        </w:rPr>
        <w:br/>
        <w:t>Политическая и социальная стабильность региона снижает риск возникновения военных конфликтов и массовых забастовок на его территории. Законодательная тенденция направлена на охрану частной собственности.</w:t>
      </w:r>
      <w:r>
        <w:rPr>
          <w:rStyle w:val="Subst"/>
          <w:bCs/>
          <w:iCs/>
        </w:rPr>
        <w:br/>
        <w:t>2) Экономические риски.</w:t>
      </w:r>
      <w:r>
        <w:rPr>
          <w:rStyle w:val="Subst"/>
          <w:bCs/>
          <w:iCs/>
        </w:rPr>
        <w:br/>
        <w:t>•</w:t>
      </w:r>
      <w:r>
        <w:rPr>
          <w:rStyle w:val="Subst"/>
          <w:bCs/>
          <w:iCs/>
        </w:rPr>
        <w:tab/>
        <w:t>изменение цен на услуги, используемые Эмитентом в своей деятельности;</w:t>
      </w:r>
      <w:r>
        <w:rPr>
          <w:rStyle w:val="Subst"/>
          <w:bCs/>
          <w:iCs/>
        </w:rPr>
        <w:br/>
        <w:t>•</w:t>
      </w:r>
      <w:r>
        <w:rPr>
          <w:rStyle w:val="Subst"/>
          <w:bCs/>
          <w:iCs/>
        </w:rPr>
        <w:tab/>
        <w:t>изменение цен на продукцию (услуги) Эмитента</w:t>
      </w:r>
      <w:r>
        <w:rPr>
          <w:rStyle w:val="Subst"/>
          <w:bCs/>
          <w:iCs/>
        </w:rPr>
        <w:br/>
        <w:t>Увеличение темпов роста цен может привести к росту затрат Эмитента (за счет роста цен на энергоресурсы, транспортировку, повышение закупочных цен на товары), замедлению оборачиваемости запасов и активов и стать причиной низких показателей рентабельности и падения прибыли. По данным Росстата инфляция в 2009 году составила 8,8% - ниже, чем годом ранее (13,3%), в 2010 году,  составила 8,8 %. За 2011 год инфляция в России составила 6,1%. Это рекордно низкий показатель за новую историю России с 1991 года. Снижение цен на предоставление помещений в аренду возможно в случае снижения платежеспособного спроса в стране и регионе, резкого обострения конкуренции. В этом случае возможно снижение маржи и ухудшение финансовых показателей Эмитента.</w:t>
      </w:r>
      <w:r>
        <w:rPr>
          <w:rStyle w:val="Subst"/>
          <w:bCs/>
          <w:iCs/>
        </w:rPr>
        <w:br/>
        <w:t>3)</w:t>
      </w:r>
      <w:r>
        <w:rPr>
          <w:rStyle w:val="Subst"/>
          <w:bCs/>
          <w:iCs/>
        </w:rPr>
        <w:tab/>
        <w:t>Региональные риски</w:t>
      </w:r>
      <w:r>
        <w:rPr>
          <w:rStyle w:val="Subst"/>
          <w:bCs/>
          <w:iCs/>
        </w:rPr>
        <w:br/>
        <w:t>Москва является наиболее благополучным и бурно развивающимся регионом России в социально-экономическом плане. Стабильно растут и доходы населения Москвы, развивается торговля и производство, укрепляется финансовое положение производителей товаров, продавцов товаров и услуг. Соответственно неизменно присутствует спрос на арендные площади.</w:t>
      </w:r>
      <w:r>
        <w:rPr>
          <w:rStyle w:val="Subst"/>
          <w:bCs/>
          <w:iCs/>
        </w:rPr>
        <w:br/>
        <w:t xml:space="preserve">Рейтинги Москвы, присвоенные тремя международными рейтинговыми агентствами Fitch, Moody’s и Standard &amp; Poor’s, соответствуют инвестиционному уровню. </w:t>
      </w:r>
      <w:r>
        <w:rPr>
          <w:rStyle w:val="Subst"/>
          <w:bCs/>
          <w:iCs/>
        </w:rPr>
        <w:br/>
      </w:r>
      <w:r>
        <w:rPr>
          <w:rStyle w:val="Subst"/>
          <w:bCs/>
          <w:iCs/>
        </w:rPr>
        <w:br/>
      </w:r>
      <w:r w:rsidRPr="007C1301">
        <w:rPr>
          <w:rStyle w:val="Subst"/>
          <w:b w:val="0"/>
          <w:bCs/>
          <w:i w:val="0"/>
          <w:iCs/>
        </w:rPr>
        <w:lastRenderedPageBreak/>
        <w:t>Предполагаемые действия эмитента на случай отрицательного влияния изменения ситуации в стране и регионе на его деятельность:</w:t>
      </w:r>
      <w:r w:rsidRPr="007C1301">
        <w:rPr>
          <w:rStyle w:val="Subst"/>
          <w:b w:val="0"/>
          <w:bCs/>
          <w:i w:val="0"/>
          <w:iCs/>
        </w:rPr>
        <w:br/>
      </w:r>
      <w:r>
        <w:rPr>
          <w:rStyle w:val="Subst"/>
          <w:bCs/>
          <w:iCs/>
        </w:rPr>
        <w:t xml:space="preserve">При возникновении кризисных ситуаций и неблагоприятном развитии общей экономической ситуации в стране руководство ОАО "РН-Влакра" будет проводить риск-менеджментские мероприятия, связанные с хеджированием возникающих у общества рисков на рынке недвижимости. Конкретные риск-менеджментские мероприятия будут зависеть от обстоятельств возникновения риска и возможностей его локализации. </w:t>
      </w:r>
      <w:r>
        <w:rPr>
          <w:rStyle w:val="Subst"/>
          <w:bCs/>
          <w:iCs/>
        </w:rPr>
        <w:br/>
      </w:r>
      <w:r>
        <w:rPr>
          <w:rStyle w:val="Subst"/>
          <w:bCs/>
          <w:iCs/>
        </w:rPr>
        <w:br/>
      </w:r>
      <w:r w:rsidRPr="007C1301">
        <w:rPr>
          <w:rStyle w:val="Subst"/>
          <w:b w:val="0"/>
          <w:bCs/>
          <w:i w:val="0"/>
          <w:iCs/>
        </w:rPr>
        <w:t>Риски, связанные с возможными военными конфликтами, введением чрезвычайного положения и забастовками в стране и регионе, в которых эмитент зарегистрирован в качестве налогоплательщика и/или осуществляет основную деятельность:</w:t>
      </w:r>
      <w:r w:rsidRPr="007C1301">
        <w:rPr>
          <w:rStyle w:val="Subst"/>
          <w:b w:val="0"/>
          <w:bCs/>
          <w:i w:val="0"/>
          <w:iCs/>
        </w:rPr>
        <w:br/>
      </w:r>
      <w:r>
        <w:rPr>
          <w:rStyle w:val="Subst"/>
          <w:bCs/>
          <w:iCs/>
        </w:rPr>
        <w:t>Эти риски можно оценить как незначительные, так как Москва является одним из наиболее стабильных регионов страны. В целом, отрицательное влияние, вызванное изменением ситуации в регионе, на деятельность Эмитента в среднесрочной перспективе маловероятно.</w:t>
      </w:r>
      <w:r>
        <w:rPr>
          <w:rStyle w:val="Subst"/>
          <w:bCs/>
          <w:iCs/>
        </w:rPr>
        <w:br/>
        <w:t xml:space="preserve">Возникновение военных конфликтов, введения чрезвычайного положения, забастовок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его возможности своевременно и в полном объеме исполнять обязательства предприятия. </w:t>
      </w:r>
      <w:r>
        <w:rPr>
          <w:rStyle w:val="Subst"/>
          <w:bCs/>
          <w:iCs/>
        </w:rPr>
        <w:br/>
      </w:r>
      <w:r w:rsidRPr="007C1301">
        <w:rPr>
          <w:rStyle w:val="Subst"/>
          <w:b w:val="0"/>
          <w:bCs/>
          <w:i w:val="0"/>
          <w:iCs/>
        </w:rPr>
        <w:br/>
        <w:t xml:space="preserve">Риски, связанные с географическими особенностями страны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w:t>
      </w:r>
      <w:r w:rsidRPr="007C1301">
        <w:rPr>
          <w:rStyle w:val="Subst"/>
          <w:b w:val="0"/>
          <w:bCs/>
          <w:i w:val="0"/>
          <w:iCs/>
        </w:rPr>
        <w:br/>
      </w:r>
      <w:r>
        <w:rPr>
          <w:rStyle w:val="Subst"/>
          <w:bCs/>
          <w:iCs/>
        </w:rPr>
        <w:t>Московский регион характеризуется отсутствием повышенной опасности стихийных бедствий, имеют устойчивый климат и в основном не подвержен природным катаклизмам. Однако последствия возможных аварии и катастроф на транспорте и дорожных сетях, в коммунальных системах жизнеобеспечения города и существенных объектах экономики может значительно ограничить возможности Эмитента, привести к наступлению форс-мажорных обстоятельств и невыполнению Эмитентом принятых на себя обязательств.</w:t>
      </w:r>
      <w:r>
        <w:rPr>
          <w:rStyle w:val="Subst"/>
          <w:bCs/>
          <w:iCs/>
        </w:rPr>
        <w:br/>
        <w:t>По мнению Эмитента, ситуация в регионе будет благоприятно сказываться на деятельности Эмитента и нет оснований ожидать, что изменения ситуации в регионе повлекут за собой неисполнение обязательств п</w:t>
      </w:r>
      <w:r w:rsidR="00EB71B3">
        <w:rPr>
          <w:rStyle w:val="Subst"/>
          <w:bCs/>
          <w:iCs/>
        </w:rPr>
        <w:t>редприятия.</w:t>
      </w:r>
    </w:p>
    <w:p w:rsidR="00AA7EE0" w:rsidRDefault="00AA7EE0" w:rsidP="00BB4B93">
      <w:pPr>
        <w:pStyle w:val="2"/>
        <w:jc w:val="both"/>
      </w:pPr>
      <w:bookmarkStart w:id="20" w:name="_Toc324431732"/>
      <w:r>
        <w:t>2.4.3. Финансовые риски</w:t>
      </w:r>
      <w:bookmarkEnd w:id="20"/>
    </w:p>
    <w:p w:rsidR="00AA7EE0" w:rsidRDefault="00AA7EE0" w:rsidP="00BB4B93">
      <w:pPr>
        <w:ind w:left="200"/>
        <w:jc w:val="both"/>
      </w:pPr>
      <w:r w:rsidRPr="007C1301">
        <w:rPr>
          <w:rStyle w:val="Subst"/>
          <w:b w:val="0"/>
          <w:bCs/>
          <w:i w:val="0"/>
          <w:iCs/>
        </w:rPr>
        <w:t>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Pr>
          <w:rStyle w:val="Subst"/>
          <w:bCs/>
          <w:iCs/>
        </w:rPr>
        <w:t xml:space="preserve"> </w:t>
      </w:r>
      <w:r>
        <w:rPr>
          <w:rStyle w:val="Subst"/>
          <w:bCs/>
          <w:iCs/>
        </w:rPr>
        <w:br/>
        <w:t>В настоящее время Общество не пользуется кредитами в качестве источника финансирования своей деятельности. Таким образом, риски, связанные с увеличением процентных ставок, для Эмитента не являются значимыми.</w:t>
      </w:r>
      <w:r>
        <w:rPr>
          <w:rStyle w:val="Subst"/>
          <w:bCs/>
          <w:iCs/>
        </w:rPr>
        <w:br/>
        <w:t>Следует отметить, что в случае если арендные ставки на помещения резко упадут, возможна ситуация, когда для финансирования  текущей и инвестиционной деятельности понадобится кредитование.</w:t>
      </w:r>
      <w:r>
        <w:rPr>
          <w:rStyle w:val="Subst"/>
          <w:bCs/>
          <w:iCs/>
        </w:rPr>
        <w:br/>
        <w:t>Расчеты Эмитентом производятся в валюте Российской Федерации, поэтому изменение курсов обмена иностранных валют на деятельность Эмитента не влияет.</w:t>
      </w:r>
      <w:r>
        <w:rPr>
          <w:rStyle w:val="Subst"/>
          <w:bCs/>
          <w:iCs/>
        </w:rPr>
        <w:br/>
      </w:r>
      <w:r>
        <w:rPr>
          <w:rStyle w:val="Subst"/>
          <w:bCs/>
          <w:iCs/>
        </w:rPr>
        <w:br/>
      </w:r>
      <w:r w:rsidRPr="007C1301">
        <w:rPr>
          <w:rStyle w:val="Subst"/>
          <w:b w:val="0"/>
          <w:bCs/>
          <w:i w:val="0"/>
          <w:iCs/>
        </w:rPr>
        <w:t>Подверженность финансового состояния эмитента (его ликвидности, источников финансирования, результатов деятельности и т.п.) изменению валютного курса:</w:t>
      </w:r>
      <w:r w:rsidRPr="007C1301">
        <w:rPr>
          <w:rStyle w:val="Subst"/>
          <w:b w:val="0"/>
          <w:bCs/>
          <w:i w:val="0"/>
          <w:iCs/>
        </w:rPr>
        <w:br/>
      </w:r>
      <w:r>
        <w:rPr>
          <w:rStyle w:val="Subst"/>
          <w:bCs/>
          <w:iCs/>
        </w:rPr>
        <w:t>Такие показатели финансового состояния как ликвидность, источники финансирования, результаты деятельности и т.п. не зависят от изменений валютного курса, потому что все расчеты с арендаторами осуществляются в рублях по зафиксированным в рублях ценам.</w:t>
      </w:r>
      <w:r>
        <w:rPr>
          <w:rStyle w:val="Subst"/>
          <w:bCs/>
          <w:iCs/>
        </w:rPr>
        <w:br/>
      </w:r>
      <w:r>
        <w:rPr>
          <w:rStyle w:val="Subst"/>
          <w:bCs/>
          <w:iCs/>
        </w:rPr>
        <w:br/>
      </w:r>
      <w:r w:rsidRPr="007C1301">
        <w:rPr>
          <w:rStyle w:val="Subst"/>
          <w:b w:val="0"/>
          <w:bCs/>
          <w:i w:val="0"/>
          <w:iCs/>
        </w:rPr>
        <w:t>Предполагаемые действия эмитента на случай отрицательного влияния изменения валютного курса и процентных ставок на деятельность эмитента:</w:t>
      </w:r>
      <w:r w:rsidRPr="007C1301">
        <w:rPr>
          <w:rStyle w:val="Subst"/>
          <w:b w:val="0"/>
          <w:bCs/>
          <w:i w:val="0"/>
          <w:iCs/>
        </w:rPr>
        <w:br/>
      </w:r>
      <w:r>
        <w:rPr>
          <w:rStyle w:val="Subst"/>
          <w:bCs/>
          <w:iCs/>
        </w:rPr>
        <w:t>Подверженность Эмитента риску изменения курса обмена иностранных валют и изменения процентных ставок незначительна, так как все расчеты с арендаторами осуществляются в рублях по зафиксированным в рублях ценам и Эмитент не использует в своей деятельности заемные средства.</w:t>
      </w:r>
      <w:r>
        <w:rPr>
          <w:rStyle w:val="Subst"/>
          <w:bCs/>
          <w:iCs/>
        </w:rPr>
        <w:br/>
        <w:t xml:space="preserve">В случае привлечения Эмитентом заемных средств и увеличения процентных ставок у Эмитента возрастут затраты по обслуживанию заемных средств. Предполагаемые действия Эмитента на случай отрицательного влияния изменения процентных ставок на его деятельность: диверсификация источников финансирования, оперативное изменение действующих цен и условий. Также Эмитент </w:t>
      </w:r>
      <w:r>
        <w:rPr>
          <w:rStyle w:val="Subst"/>
          <w:bCs/>
          <w:iCs/>
        </w:rPr>
        <w:lastRenderedPageBreak/>
        <w:t>планирует осуществлять действия по сокращению внутренних издержек</w:t>
      </w:r>
      <w:r>
        <w:rPr>
          <w:rStyle w:val="Subst"/>
          <w:bCs/>
          <w:iCs/>
        </w:rPr>
        <w:br/>
      </w:r>
      <w:r>
        <w:rPr>
          <w:rStyle w:val="Subst"/>
          <w:bCs/>
          <w:iCs/>
        </w:rPr>
        <w:br/>
      </w:r>
      <w:r w:rsidRPr="007C1301">
        <w:rPr>
          <w:rStyle w:val="Subst"/>
          <w:b w:val="0"/>
          <w:bCs/>
          <w:i w:val="0"/>
          <w:iCs/>
        </w:rPr>
        <w:t>Влияние инфляции на выплаты по ценным бумагам, критические значения инфляции, предполагаемые действия эмитента по уменьшению инфляционного риска:</w:t>
      </w:r>
      <w:r w:rsidRPr="007C1301">
        <w:rPr>
          <w:rStyle w:val="Subst"/>
          <w:b w:val="0"/>
          <w:bCs/>
          <w:i w:val="0"/>
          <w:iCs/>
        </w:rPr>
        <w:br/>
      </w:r>
      <w:r>
        <w:rPr>
          <w:rStyle w:val="Subst"/>
          <w:bCs/>
          <w:iCs/>
        </w:rPr>
        <w:t>Существующий в настоящее время уровень инфляции не оказывает существенного влияния на финансовое положение Эмитента. В соответствии с прогнозными значениями инфляции она не должна оказать существенного влияния на платежеспособность Эмитента, в частности, на выплаты по ценным бумагам. По мнению Эмитента, критическими уровнями инфляции, которые могут существенным образом повлиять на финансово-хозяйственную деятельность Эмитента, являются 25-30% годовых.</w:t>
      </w:r>
      <w:r>
        <w:rPr>
          <w:rStyle w:val="Subst"/>
          <w:bCs/>
          <w:iCs/>
        </w:rPr>
        <w:br/>
        <w:t>В целях минимизации финансовых рисков, рисков, связанных с инфляционными процессами, и оказывающими влияние на финансовые результаты деятельности, Эмитентом проводится комплексная программа мероприятий по  анализу финансовых рисков, планированию и оценке фактически сложившейся прибыльности работы, определяются показатели рентабельности, свидетельствующие об уровне доходности эмитента, нормативные значения финансовых коэффициентов, характеризующих платежеспособность и ликвидность предприятия, что дает возможность оперативно выявлять недостатки в работе предприятия и принимать меры для их ликвидации.</w:t>
      </w:r>
      <w:r>
        <w:rPr>
          <w:rStyle w:val="Subst"/>
          <w:bCs/>
          <w:iCs/>
        </w:rPr>
        <w:br/>
        <w:t xml:space="preserve">Рост инфляции может повлиять на финансовые результаты деятельности Эмитента, а именно, возможно уменьшение реальной величины прибыли Эмитента, рост дебиторской задолженности. </w:t>
      </w:r>
      <w:r>
        <w:rPr>
          <w:rStyle w:val="Subst"/>
          <w:bCs/>
          <w:iCs/>
        </w:rPr>
        <w:br/>
      </w:r>
      <w:r>
        <w:rPr>
          <w:rStyle w:val="Subst"/>
          <w:bCs/>
          <w:iCs/>
        </w:rPr>
        <w:br/>
      </w:r>
      <w:r w:rsidRPr="007C1301">
        <w:rPr>
          <w:rStyle w:val="Subst"/>
          <w:b w:val="0"/>
          <w:bCs/>
          <w:i w:val="0"/>
          <w:iCs/>
        </w:rPr>
        <w:t>Показатели финансовой отчетности эмитента, наиболее подверженные изменению в результате влияния указанных финансовых рисков:</w:t>
      </w:r>
      <w:r w:rsidRPr="007C1301">
        <w:rPr>
          <w:rStyle w:val="Subst"/>
          <w:b w:val="0"/>
          <w:bCs/>
          <w:i w:val="0"/>
          <w:iCs/>
        </w:rPr>
        <w:br/>
      </w:r>
      <w:r>
        <w:rPr>
          <w:rStyle w:val="Subst"/>
          <w:bCs/>
          <w:iCs/>
        </w:rPr>
        <w:t>Основным показателем, наиболее подверженным изменению, связанному с финансовыми рисками, являются выручка, прибыль, размер дебиторской и кредиторской задолженности. Характер изменений в отчетности: рост расходов, сокращение прибыли.</w:t>
      </w:r>
    </w:p>
    <w:p w:rsidR="00AA7EE0" w:rsidRDefault="00AA7EE0" w:rsidP="00BB4B93">
      <w:pPr>
        <w:pStyle w:val="2"/>
        <w:jc w:val="both"/>
      </w:pPr>
      <w:bookmarkStart w:id="21" w:name="_Toc324431733"/>
      <w:r>
        <w:t>2.4.4. Правовые риски</w:t>
      </w:r>
      <w:bookmarkEnd w:id="21"/>
    </w:p>
    <w:p w:rsidR="00AA7EE0" w:rsidRDefault="00AA7EE0" w:rsidP="00BB4B93">
      <w:pPr>
        <w:ind w:left="200"/>
        <w:jc w:val="both"/>
      </w:pPr>
      <w:r w:rsidRPr="007C1301">
        <w:rPr>
          <w:rStyle w:val="Subst"/>
          <w:b w:val="0"/>
          <w:bCs/>
          <w:i w:val="0"/>
          <w:iCs/>
        </w:rPr>
        <w:t>Правовые риски, связанные с деятельностью Эмитента (отдельно для внутреннего и внешнего рынков)</w:t>
      </w:r>
      <w:r w:rsidR="007C1301">
        <w:rPr>
          <w:rStyle w:val="Subst"/>
          <w:b w:val="0"/>
          <w:bCs/>
          <w:i w:val="0"/>
          <w:iCs/>
        </w:rPr>
        <w:t>:</w:t>
      </w:r>
      <w:r w:rsidRPr="007C1301">
        <w:rPr>
          <w:rStyle w:val="Subst"/>
          <w:bCs/>
          <w:iCs/>
        </w:rPr>
        <w:br/>
      </w:r>
      <w:r>
        <w:rPr>
          <w:rStyle w:val="Subst"/>
          <w:bCs/>
          <w:iCs/>
        </w:rPr>
        <w:t>Правовые риски определены, в том числе, недостатками, присущими российской правовой системе и российскому законодательству, что приводит к созданию атмосферы неопределенности в области инвестиций и коммерческой деятельности.</w:t>
      </w:r>
      <w:r>
        <w:rPr>
          <w:rStyle w:val="Subst"/>
          <w:bCs/>
          <w:iCs/>
        </w:rPr>
        <w:br/>
        <w:t>Россия продолжает разрабатывать правовую базу, необходимую для поддержки рыночной экономики. Следующие основные риски, связанные с российской правовой системой, и многие из которых не существуют в странах с более развитой рыночной экономикой, создают неуверенность в отношении принимаемых юридических и деловых решений:</w:t>
      </w:r>
      <w:r>
        <w:rPr>
          <w:rStyle w:val="Subst"/>
          <w:bCs/>
          <w:iCs/>
        </w:rPr>
        <w:br/>
        <w:t>- несоответствия, существующие между законами, указами Президента и правительственными, министерскими и местными распоряжениями, решениями, постановлениями и другими актами;</w:t>
      </w:r>
      <w:r>
        <w:rPr>
          <w:rStyle w:val="Subst"/>
          <w:bCs/>
          <w:iCs/>
        </w:rPr>
        <w:br/>
        <w:t>- противоречия между местными, региональными и федеральными правилами и положениями.</w:t>
      </w:r>
      <w:r>
        <w:rPr>
          <w:rStyle w:val="Subst"/>
          <w:bCs/>
          <w:iCs/>
        </w:rPr>
        <w:br/>
        <w:t>Для минимизации воздействия приведенных негативных факторов Эмитент приложит все усилия по выполнению всех существующих требований в полном объеме и, в случае необходимости, будет использовать все законные способы защиты своих интересов, включая обращение в российские и международные судебные инстанции.</w:t>
      </w:r>
      <w:r>
        <w:rPr>
          <w:rStyle w:val="Subst"/>
          <w:bCs/>
          <w:iCs/>
        </w:rPr>
        <w:br/>
      </w:r>
      <w:r>
        <w:rPr>
          <w:rStyle w:val="Subst"/>
          <w:bCs/>
          <w:iCs/>
        </w:rPr>
        <w:br/>
        <w:t>Риски, связанные с:</w:t>
      </w:r>
      <w:r>
        <w:rPr>
          <w:rStyle w:val="Subst"/>
          <w:bCs/>
          <w:iCs/>
        </w:rPr>
        <w:br/>
        <w:t>•</w:t>
      </w:r>
      <w:r>
        <w:rPr>
          <w:rStyle w:val="Subst"/>
          <w:bCs/>
          <w:iCs/>
        </w:rPr>
        <w:tab/>
        <w:t xml:space="preserve">изменением валютного регулирования: </w:t>
      </w:r>
      <w:r>
        <w:rPr>
          <w:rStyle w:val="Subst"/>
          <w:bCs/>
          <w:iCs/>
        </w:rPr>
        <w:br/>
        <w:t>Изменения валютного законодательства Российской Федерации не затрагивают деятельность Эмитента, поскольку Эмитент не осуществляет деятельность на внешнем рынке и все расчеты Эмитентом производятся в валюте Российской Федерации, следовательно, риски, связанные с изменением валютного регулирования, отсутствуют.</w:t>
      </w:r>
      <w:r>
        <w:rPr>
          <w:rStyle w:val="Subst"/>
          <w:bCs/>
          <w:iCs/>
        </w:rPr>
        <w:br/>
        <w:t>•</w:t>
      </w:r>
      <w:r>
        <w:rPr>
          <w:rStyle w:val="Subst"/>
          <w:bCs/>
          <w:iCs/>
        </w:rPr>
        <w:tab/>
        <w:t>изменением налогового законодательства:</w:t>
      </w:r>
      <w:r>
        <w:rPr>
          <w:rStyle w:val="Subst"/>
          <w:bCs/>
          <w:iCs/>
        </w:rPr>
        <w:br/>
        <w:t>В настоящее время Правительство Российской Федерации проводит политику снижения налогового бремени для российских налогоплательщиков, в связи с чем, в ближайшее время не ожидается внесение изменений в налоговое законодательство в части увеличения налоговых ставок. Данный риск рассматривается как незначительный.</w:t>
      </w:r>
      <w:r>
        <w:rPr>
          <w:rStyle w:val="Subst"/>
          <w:bCs/>
          <w:iCs/>
        </w:rPr>
        <w:br/>
        <w:t>В случае внесения изменений в действующие порядок и условия налогообложения Эмитент намерен планировать свою деятельность с учетом этих изменений.</w:t>
      </w:r>
      <w:r>
        <w:rPr>
          <w:rStyle w:val="Subst"/>
          <w:bCs/>
          <w:iCs/>
        </w:rPr>
        <w:br/>
        <w:t>В целях минимизации риска неправильного исчисления и/или уплаты налогов, обусловленного различной трактовкой норм законодательства, Эмитент ведет постоянную работу по расчету налоговой базы в строгом соответствии с действующим законодательством Российской Федерации.</w:t>
      </w:r>
      <w:r>
        <w:rPr>
          <w:rStyle w:val="Subst"/>
          <w:bCs/>
          <w:iCs/>
        </w:rPr>
        <w:br/>
        <w:t>•</w:t>
      </w:r>
      <w:r>
        <w:rPr>
          <w:rStyle w:val="Subst"/>
          <w:bCs/>
          <w:iCs/>
        </w:rPr>
        <w:tab/>
        <w:t>изменением правил таможенного контроля и пошлин:</w:t>
      </w:r>
      <w:r>
        <w:rPr>
          <w:rStyle w:val="Subst"/>
          <w:bCs/>
          <w:iCs/>
        </w:rPr>
        <w:br/>
      </w:r>
      <w:r>
        <w:rPr>
          <w:rStyle w:val="Subst"/>
          <w:bCs/>
          <w:iCs/>
        </w:rPr>
        <w:lastRenderedPageBreak/>
        <w:t>Правовые риски, связанные с изменением правил таможенного контроля и пошлин, оцениваются как минимальные.</w:t>
      </w:r>
      <w:r>
        <w:rPr>
          <w:rStyle w:val="Subst"/>
          <w:bCs/>
          <w:iCs/>
        </w:rPr>
        <w:br/>
        <w:t>В целом, рост пошлин на импортируемые товары может привести к увеличению их себестоимости, что может в свою очередь привести к увеличению затрат Эмитента на продукцию и материалы импортного производства, используемые Эмитентом для обеспечения своей деятельности.</w:t>
      </w:r>
      <w:r>
        <w:rPr>
          <w:rStyle w:val="Subst"/>
          <w:bCs/>
          <w:iCs/>
        </w:rPr>
        <w:br/>
        <w:t>•</w:t>
      </w:r>
      <w:r>
        <w:rPr>
          <w:rStyle w:val="Subst"/>
          <w:bCs/>
          <w:iCs/>
        </w:rPr>
        <w:tab/>
        <w:t>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bCs/>
          <w:iCs/>
        </w:rPr>
        <w:br/>
        <w:t>В настоящее время хозяйственная деятельность Эмитента не требует лицензирования. При изменении требований по лицензированию Эмитент сможет получить лицензии, необходимые для  осуществления его деятельности.</w:t>
      </w:r>
      <w:r>
        <w:rPr>
          <w:rStyle w:val="Subst"/>
          <w:bCs/>
          <w:iCs/>
        </w:rPr>
        <w:br/>
        <w:t>•</w:t>
      </w:r>
      <w:r>
        <w:rPr>
          <w:rStyle w:val="Subst"/>
          <w:bCs/>
          <w:iCs/>
        </w:rPr>
        <w:tab/>
        <w:t xml:space="preserve">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w:t>
      </w:r>
      <w:r>
        <w:rPr>
          <w:rStyle w:val="Subst"/>
          <w:bCs/>
          <w:iCs/>
        </w:rPr>
        <w:br/>
        <w:t>Судебных процессов, которые могут негативно сказаться на результа</w:t>
      </w:r>
      <w:r w:rsidR="00EB71B3">
        <w:rPr>
          <w:rStyle w:val="Subst"/>
          <w:bCs/>
          <w:iCs/>
        </w:rPr>
        <w:t>тах деятельности Эмитента, нет.</w:t>
      </w:r>
    </w:p>
    <w:p w:rsidR="00AA7EE0" w:rsidRDefault="00AA7EE0" w:rsidP="00BB4B93">
      <w:pPr>
        <w:pStyle w:val="2"/>
        <w:jc w:val="both"/>
      </w:pPr>
      <w:bookmarkStart w:id="22" w:name="_Toc324431734"/>
      <w:r>
        <w:t>2.4.5. Риски, связанные с деятельностью эмитента</w:t>
      </w:r>
      <w:bookmarkEnd w:id="22"/>
    </w:p>
    <w:p w:rsidR="00AA7EE0" w:rsidRDefault="00AA7EE0" w:rsidP="00BB4B93">
      <w:pPr>
        <w:ind w:left="200"/>
        <w:jc w:val="both"/>
      </w:pPr>
      <w:r>
        <w:rPr>
          <w:rStyle w:val="Subst"/>
          <w:bCs/>
          <w:iCs/>
        </w:rPr>
        <w:t>Риски, связанные с:</w:t>
      </w:r>
      <w:r>
        <w:rPr>
          <w:rStyle w:val="Subst"/>
          <w:bCs/>
          <w:iCs/>
        </w:rPr>
        <w:br/>
        <w:t>•</w:t>
      </w:r>
      <w:r>
        <w:rPr>
          <w:rStyle w:val="Subst"/>
          <w:bCs/>
          <w:iCs/>
        </w:rPr>
        <w:tab/>
        <w:t xml:space="preserve">текущими судебными процессами, в которых участвует Эмитент:  </w:t>
      </w:r>
      <w:r>
        <w:rPr>
          <w:rStyle w:val="Subst"/>
          <w:bCs/>
          <w:iCs/>
        </w:rPr>
        <w:br/>
        <w:t>Текущих судебных процессов, которые могут повлиять на финансово-хозяйственную деятельность Эмитента, нет.</w:t>
      </w:r>
      <w:r>
        <w:rPr>
          <w:rStyle w:val="Subst"/>
          <w:bCs/>
          <w:iCs/>
        </w:rPr>
        <w:br/>
        <w:t>•</w:t>
      </w:r>
      <w:r>
        <w:rPr>
          <w:rStyle w:val="Subst"/>
          <w:bCs/>
          <w:iCs/>
        </w:rPr>
        <w:tab/>
        <w:t>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bCs/>
          <w:iCs/>
        </w:rPr>
        <w:br/>
        <w:t>Деятельность Эмитента не требует получения разрешений или лицензий, однако в случае возникновения такой потребности Эмитент сможет получить все необходимые для осуществления своей деятельности разрешительные документы.</w:t>
      </w:r>
      <w:r>
        <w:rPr>
          <w:rStyle w:val="Subst"/>
          <w:bCs/>
          <w:iCs/>
        </w:rPr>
        <w:br/>
        <w:t>•</w:t>
      </w:r>
      <w:r>
        <w:rPr>
          <w:rStyle w:val="Subst"/>
          <w:bCs/>
          <w:iCs/>
        </w:rPr>
        <w:tab/>
        <w:t>возможной ответственностью Эмитента по долгам третьих лиц, в том числе дочерних обществ Эмитента:</w:t>
      </w:r>
      <w:r>
        <w:rPr>
          <w:rStyle w:val="Subst"/>
          <w:bCs/>
          <w:iCs/>
        </w:rPr>
        <w:br/>
        <w:t>ОАО «РН-Влакра» не имеет в настоящее время дочерних обществ.</w:t>
      </w:r>
      <w:r>
        <w:rPr>
          <w:rStyle w:val="Subst"/>
          <w:bCs/>
          <w:iCs/>
        </w:rPr>
        <w:br/>
        <w:t>•</w:t>
      </w:r>
      <w:r>
        <w:rPr>
          <w:rStyle w:val="Subst"/>
          <w:bCs/>
          <w:iCs/>
        </w:rPr>
        <w:tab/>
        <w:t xml:space="preserve">возможностью потери потребителей, на оборот с которыми приходится не менее чем 10 процентов общей выручки от продажи продукции (работ, услуг) Эмитента: </w:t>
      </w:r>
      <w:r>
        <w:rPr>
          <w:rStyle w:val="Subst"/>
          <w:bCs/>
          <w:iCs/>
        </w:rPr>
        <w:br/>
        <w:t>Потребителей, на оборот с которыми приходится 10 и более процентов, Эмитент не имеет.</w:t>
      </w:r>
      <w:r>
        <w:rPr>
          <w:rStyle w:val="Subst"/>
          <w:bCs/>
          <w:iCs/>
        </w:rPr>
        <w:br/>
        <w:t>Иные риски, связанные с деятельностью Эмитента и свойственные исключительно Эмитенту, отсутствуют.</w:t>
      </w:r>
    </w:p>
    <w:p w:rsidR="00AA7EE0" w:rsidRDefault="00AA7EE0" w:rsidP="00BB4B93">
      <w:pPr>
        <w:pStyle w:val="1"/>
        <w:jc w:val="both"/>
      </w:pPr>
      <w:bookmarkStart w:id="23" w:name="_Toc324431735"/>
      <w:r>
        <w:t>III. Подробная информация об эмитенте</w:t>
      </w:r>
      <w:bookmarkEnd w:id="23"/>
    </w:p>
    <w:p w:rsidR="00AA7EE0" w:rsidRDefault="00AA7EE0" w:rsidP="00BB4B93">
      <w:pPr>
        <w:pStyle w:val="2"/>
        <w:jc w:val="both"/>
      </w:pPr>
      <w:bookmarkStart w:id="24" w:name="_Toc324431736"/>
      <w:r>
        <w:t>3.1. История создания и развитие эмитента</w:t>
      </w:r>
      <w:bookmarkEnd w:id="24"/>
    </w:p>
    <w:p w:rsidR="00AA7EE0" w:rsidRDefault="00AA7EE0" w:rsidP="00BB4B93">
      <w:pPr>
        <w:pStyle w:val="2"/>
        <w:jc w:val="both"/>
      </w:pPr>
      <w:bookmarkStart w:id="25" w:name="_Toc324431737"/>
      <w:r>
        <w:t>3.1.1. Данные о фирменном наименовании (наименовании) эмитента</w:t>
      </w:r>
      <w:bookmarkEnd w:id="25"/>
    </w:p>
    <w:p w:rsidR="00AA7EE0" w:rsidRDefault="00AA7EE0" w:rsidP="00BB4B93">
      <w:pPr>
        <w:ind w:left="200"/>
        <w:jc w:val="both"/>
      </w:pPr>
      <w:r>
        <w:t>Полное фирменное наименование эмитента:</w:t>
      </w:r>
      <w:r>
        <w:rPr>
          <w:rStyle w:val="Subst"/>
          <w:bCs/>
          <w:iCs/>
        </w:rPr>
        <w:t xml:space="preserve"> Открытое акционерное общество "РН-Влакра"</w:t>
      </w:r>
    </w:p>
    <w:p w:rsidR="00AA7EE0" w:rsidRDefault="00AA7EE0" w:rsidP="00BB4B93">
      <w:pPr>
        <w:ind w:left="200"/>
        <w:jc w:val="both"/>
      </w:pPr>
      <w:r>
        <w:t>Дата введения действующего полного фирменного наименования:</w:t>
      </w:r>
      <w:r>
        <w:rPr>
          <w:rStyle w:val="Subst"/>
          <w:bCs/>
          <w:iCs/>
        </w:rPr>
        <w:t xml:space="preserve"> 28.04.2008</w:t>
      </w:r>
    </w:p>
    <w:p w:rsidR="00AA7EE0" w:rsidRDefault="00AA7EE0" w:rsidP="00BB4B93">
      <w:pPr>
        <w:ind w:left="200"/>
        <w:jc w:val="both"/>
      </w:pPr>
      <w:r>
        <w:t>Сокращенное фирменное наименование эмитента:</w:t>
      </w:r>
      <w:r>
        <w:rPr>
          <w:rStyle w:val="Subst"/>
          <w:bCs/>
          <w:iCs/>
        </w:rPr>
        <w:t xml:space="preserve"> ОАО "РН-Влакра"</w:t>
      </w:r>
    </w:p>
    <w:p w:rsidR="00AA7EE0" w:rsidRDefault="00AA7EE0" w:rsidP="00BB4B93">
      <w:pPr>
        <w:ind w:left="200"/>
        <w:jc w:val="both"/>
      </w:pPr>
      <w:r>
        <w:t>Дата введения действующего сокращенного фирменного наименования:</w:t>
      </w:r>
      <w:r>
        <w:rPr>
          <w:rStyle w:val="Subst"/>
          <w:bCs/>
          <w:iCs/>
        </w:rPr>
        <w:t xml:space="preserve"> 28.04.2008</w:t>
      </w:r>
    </w:p>
    <w:p w:rsidR="00AA7EE0" w:rsidRDefault="00AA7EE0" w:rsidP="00BB4B93">
      <w:pPr>
        <w:pStyle w:val="SubHeading"/>
        <w:ind w:left="200"/>
        <w:jc w:val="both"/>
      </w:pPr>
      <w:r>
        <w:t>Все предшествующие наименования эмитента в течение времени его существования</w:t>
      </w:r>
    </w:p>
    <w:p w:rsidR="00AA7EE0" w:rsidRDefault="00AA7EE0" w:rsidP="00BB4B93">
      <w:pPr>
        <w:ind w:left="400"/>
        <w:jc w:val="both"/>
      </w:pPr>
      <w:r>
        <w:rPr>
          <w:rStyle w:val="Subst"/>
          <w:bCs/>
          <w:iCs/>
        </w:rPr>
        <w:t>Наименование эмитента в течение времени его существования не менялось</w:t>
      </w:r>
      <w:r w:rsidR="00EB71B3">
        <w:rPr>
          <w:rStyle w:val="Subst"/>
          <w:bCs/>
          <w:iCs/>
        </w:rPr>
        <w:t>.</w:t>
      </w:r>
    </w:p>
    <w:p w:rsidR="00AA7EE0" w:rsidRDefault="00AA7EE0" w:rsidP="00BB4B93">
      <w:pPr>
        <w:pStyle w:val="2"/>
        <w:jc w:val="both"/>
      </w:pPr>
      <w:bookmarkStart w:id="26" w:name="_Toc324431738"/>
      <w:r>
        <w:t>3.1.2. Сведения о государственной регистрации эмитента</w:t>
      </w:r>
      <w:bookmarkEnd w:id="26"/>
    </w:p>
    <w:p w:rsidR="00AA7EE0" w:rsidRDefault="00AA7EE0" w:rsidP="00BB4B93">
      <w:pPr>
        <w:ind w:left="200"/>
        <w:jc w:val="both"/>
      </w:pPr>
      <w:r>
        <w:t>Основной государственный регистрационный номер юридического лица:</w:t>
      </w:r>
      <w:r>
        <w:rPr>
          <w:rStyle w:val="Subst"/>
          <w:bCs/>
          <w:iCs/>
        </w:rPr>
        <w:t xml:space="preserve"> 1087746574057</w:t>
      </w:r>
    </w:p>
    <w:p w:rsidR="00AA7EE0" w:rsidRDefault="00AA7EE0" w:rsidP="00BB4B93">
      <w:pPr>
        <w:ind w:left="200"/>
        <w:jc w:val="both"/>
      </w:pPr>
      <w:r>
        <w:t xml:space="preserve">Дата внесения записи о юридическом лице, зарегистрированном </w:t>
      </w:r>
      <w:r w:rsidR="00834E38">
        <w:t>после</w:t>
      </w:r>
      <w:r>
        <w:t xml:space="preserve"> 1 июля 2002 года, в единый государственный реестр юридических лиц:</w:t>
      </w:r>
      <w:r>
        <w:rPr>
          <w:rStyle w:val="Subst"/>
          <w:bCs/>
          <w:iCs/>
        </w:rPr>
        <w:t xml:space="preserve"> 28.04.2008</w:t>
      </w:r>
    </w:p>
    <w:p w:rsidR="00AA7EE0" w:rsidRDefault="00AA7EE0" w:rsidP="00BB4B93">
      <w:pPr>
        <w:ind w:left="200"/>
        <w:jc w:val="both"/>
      </w:pPr>
      <w:r>
        <w:t>Наименование регистрирующего органа:</w:t>
      </w:r>
      <w:r>
        <w:rPr>
          <w:rStyle w:val="Subst"/>
          <w:bCs/>
          <w:iCs/>
        </w:rPr>
        <w:t xml:space="preserve"> Межрайонная ИФНС России № 46 по г. Москве.</w:t>
      </w:r>
    </w:p>
    <w:p w:rsidR="00AA7EE0" w:rsidRDefault="00AA7EE0" w:rsidP="00BB4B93">
      <w:pPr>
        <w:pStyle w:val="2"/>
        <w:jc w:val="both"/>
      </w:pPr>
      <w:bookmarkStart w:id="27" w:name="_Toc324431739"/>
      <w:r>
        <w:lastRenderedPageBreak/>
        <w:t>3.1.3. Сведения о создании и развитии эмитента</w:t>
      </w:r>
      <w:bookmarkEnd w:id="27"/>
    </w:p>
    <w:p w:rsidR="00AA7EE0" w:rsidRDefault="00AA7EE0" w:rsidP="00BB4B93">
      <w:pPr>
        <w:ind w:left="200"/>
        <w:jc w:val="both"/>
      </w:pPr>
      <w:r>
        <w:t>Эмитент создан на неопределенный срок</w:t>
      </w:r>
    </w:p>
    <w:p w:rsidR="00AA7EE0" w:rsidRDefault="00AA7EE0" w:rsidP="00BB4B93">
      <w:pPr>
        <w:ind w:left="200"/>
        <w:jc w:val="both"/>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 xml:space="preserve">Открытое акционерное общество «РН-Влакра» зарегистрировано МИ ФНС № 46 по г. Москве 28 апреля 2008 г. в результате реализации решения акционеров о разделении ОАО «Красный пролетарий», принятого на внеочередном общем собрании акционеров ОАО «Красный пролетарий» 30 ноября 2007 г., на два юридических лица – ОАО «КП» и ОАО «РН-Влакра». </w:t>
      </w:r>
      <w:r>
        <w:rPr>
          <w:rStyle w:val="Subst"/>
          <w:bCs/>
          <w:iCs/>
        </w:rPr>
        <w:br/>
        <w:t xml:space="preserve">28 апреля 2008 года в Единый государственный реестр юридических лиц внесена запись о государственной регистрации Открытого акционерного общества «РН-Влакра» в связи с государственной регистрацией юридического лица при создании путем реорганизации  в форме разделения (запись в ЕГРЮЛ № 1087746574057 от  28 апреля 2008 года). </w:t>
      </w:r>
      <w:r>
        <w:rPr>
          <w:rStyle w:val="Subst"/>
          <w:bCs/>
          <w:iCs/>
        </w:rPr>
        <w:br/>
        <w:t>Согласно Разделительному балансу к ОАО «РН-Влакра» перешло, в том числе, право собственности на следующие объекты недвижимости:</w:t>
      </w:r>
      <w:r>
        <w:rPr>
          <w:rStyle w:val="Subst"/>
          <w:bCs/>
          <w:iCs/>
        </w:rPr>
        <w:br/>
        <w:t>Здание, расположенное по адресу: г.Москва, ул. Малая Калужская, д.15, стр.1, площадью: 6370,2 кв.м.</w:t>
      </w:r>
      <w:r>
        <w:rPr>
          <w:rStyle w:val="Subst"/>
          <w:bCs/>
          <w:iCs/>
        </w:rPr>
        <w:br/>
        <w:t>Здание, расположенное по адресу: г.Москва, ул. Малая Калужская, д.15, стр.17, площадью: 10458,0 кв.м.</w:t>
      </w:r>
      <w:r>
        <w:rPr>
          <w:rStyle w:val="Subst"/>
          <w:bCs/>
          <w:iCs/>
        </w:rPr>
        <w:br/>
        <w:t>Помещения, расположенные по адресу: г.Москва, ул. Малая Калужская, д.15, стр.18, площадью: 2829,8 кв.м.</w:t>
      </w:r>
      <w:r>
        <w:rPr>
          <w:rStyle w:val="Subst"/>
          <w:bCs/>
          <w:iCs/>
        </w:rPr>
        <w:br/>
        <w:t>Помещения, расположенные по адресу: г.Москва, ул. Малая Калужская, д.15, стр.19, площадью: 2140,7 кв.м.</w:t>
      </w:r>
      <w:r>
        <w:rPr>
          <w:rStyle w:val="Subst"/>
          <w:bCs/>
          <w:iCs/>
        </w:rPr>
        <w:br/>
        <w:t>Помещения, расположенные по адресу: г.Москва, ул. Донская,  дом 28  площадью: 897,9 кв.м.</w:t>
      </w:r>
      <w:r>
        <w:rPr>
          <w:rStyle w:val="Subst"/>
          <w:bCs/>
          <w:iCs/>
        </w:rPr>
        <w:br/>
      </w:r>
      <w:r>
        <w:rPr>
          <w:rStyle w:val="Subst"/>
          <w:bCs/>
          <w:iCs/>
        </w:rPr>
        <w:br/>
        <w:t>19 февраля 2009 года была произведена государственная регистрация права собственности Обществом на первые четыре объекта недвижимости, и произведены соответствующие записи в Едином государственном реестре прав на недвижимое имущество и сделок с ним.</w:t>
      </w:r>
      <w:r>
        <w:rPr>
          <w:rStyle w:val="Subst"/>
          <w:bCs/>
          <w:iCs/>
        </w:rPr>
        <w:br/>
        <w:t xml:space="preserve">Передача недвижимого имущества в аренду является главным источником доходов Общества.  </w:t>
      </w:r>
      <w:r>
        <w:rPr>
          <w:rStyle w:val="Subst"/>
          <w:bCs/>
          <w:iCs/>
        </w:rPr>
        <w:br/>
      </w:r>
      <w:r>
        <w:rPr>
          <w:rStyle w:val="Subst"/>
          <w:bCs/>
          <w:iCs/>
        </w:rPr>
        <w:br/>
        <w:t>29 апреля 2011 г. к Эмитенту было присоединено ЗАО «КП Донская».</w:t>
      </w:r>
      <w:r>
        <w:rPr>
          <w:rStyle w:val="Subst"/>
          <w:bCs/>
          <w:iCs/>
        </w:rPr>
        <w:br/>
      </w:r>
      <w:r>
        <w:rPr>
          <w:rStyle w:val="Subst"/>
          <w:bCs/>
          <w:iCs/>
        </w:rPr>
        <w:br/>
      </w:r>
      <w:r w:rsidRPr="00F71CBD">
        <w:rPr>
          <w:rStyle w:val="Subst"/>
          <w:b w:val="0"/>
          <w:bCs/>
          <w:i w:val="0"/>
          <w:iCs/>
        </w:rPr>
        <w:t>Цели создания эмитента:</w:t>
      </w:r>
      <w:r>
        <w:rPr>
          <w:rStyle w:val="Subst"/>
          <w:bCs/>
          <w:iCs/>
        </w:rPr>
        <w:t xml:space="preserve"> В соответствии с пунктом 1. ст. 4 Устава Эмитента основной целью Общества является получение прибыли.</w:t>
      </w:r>
      <w:r>
        <w:rPr>
          <w:rStyle w:val="Subst"/>
          <w:bCs/>
          <w:iCs/>
        </w:rPr>
        <w:br/>
      </w:r>
      <w:r>
        <w:rPr>
          <w:rStyle w:val="Subst"/>
          <w:bCs/>
          <w:iCs/>
        </w:rPr>
        <w:br/>
      </w:r>
      <w:r w:rsidRPr="00F71CBD">
        <w:rPr>
          <w:rStyle w:val="Subst"/>
          <w:b w:val="0"/>
          <w:bCs/>
          <w:i w:val="0"/>
          <w:iCs/>
        </w:rPr>
        <w:t>Миссия эмитента:</w:t>
      </w:r>
      <w:r>
        <w:rPr>
          <w:rStyle w:val="Subst"/>
          <w:bCs/>
          <w:iCs/>
        </w:rPr>
        <w:t xml:space="preserve"> внутренними документами не определена.</w:t>
      </w:r>
      <w:r>
        <w:rPr>
          <w:rStyle w:val="Subst"/>
          <w:bCs/>
          <w:iCs/>
        </w:rPr>
        <w:br/>
        <w:t>Иная информация о деятельности эмитента, имеющая значение для принятия решения о приобретении ценных бумаг эмитента, отсутствует.</w:t>
      </w:r>
    </w:p>
    <w:p w:rsidR="00AA7EE0" w:rsidRDefault="00AA7EE0" w:rsidP="00BB4B93">
      <w:pPr>
        <w:pStyle w:val="2"/>
        <w:jc w:val="both"/>
      </w:pPr>
      <w:bookmarkStart w:id="28" w:name="_Toc324431740"/>
      <w:r>
        <w:t>3.1.4. Контактная информация</w:t>
      </w:r>
      <w:bookmarkEnd w:id="28"/>
    </w:p>
    <w:p w:rsidR="00AA7EE0" w:rsidRDefault="00AA7EE0" w:rsidP="00EB71B3">
      <w:pPr>
        <w:pStyle w:val="SubHeading"/>
        <w:jc w:val="both"/>
      </w:pPr>
      <w:r>
        <w:t>Место нахождения эмитента</w:t>
      </w:r>
      <w:r w:rsidR="00EB71B3">
        <w:t xml:space="preserve"> </w:t>
      </w:r>
      <w:r>
        <w:rPr>
          <w:rStyle w:val="Subst"/>
          <w:bCs/>
          <w:iCs/>
        </w:rPr>
        <w:t>119071 Россия, Москва, Малая Калужская 15 стр. 1</w:t>
      </w:r>
    </w:p>
    <w:p w:rsidR="00AA7EE0" w:rsidRDefault="00AA7EE0" w:rsidP="00BB4B93">
      <w:pPr>
        <w:jc w:val="both"/>
      </w:pPr>
      <w:r>
        <w:t>Телефон:</w:t>
      </w:r>
      <w:r>
        <w:rPr>
          <w:rStyle w:val="Subst"/>
          <w:bCs/>
          <w:iCs/>
        </w:rPr>
        <w:t xml:space="preserve"> +7 (495) 955-92-43</w:t>
      </w:r>
    </w:p>
    <w:p w:rsidR="00AA7EE0" w:rsidRDefault="00AA7EE0" w:rsidP="00BB4B93">
      <w:pPr>
        <w:jc w:val="both"/>
      </w:pPr>
      <w:r>
        <w:t>Факс:</w:t>
      </w:r>
      <w:r>
        <w:rPr>
          <w:rStyle w:val="Subst"/>
          <w:bCs/>
          <w:iCs/>
        </w:rPr>
        <w:t xml:space="preserve"> +7 (495) 955-92-43</w:t>
      </w:r>
    </w:p>
    <w:p w:rsidR="00AA7EE0" w:rsidRDefault="00AA7EE0" w:rsidP="00BB4B93">
      <w:pPr>
        <w:jc w:val="both"/>
      </w:pPr>
      <w:r>
        <w:t>Адрес электронной почты:</w:t>
      </w:r>
      <w:r>
        <w:rPr>
          <w:rStyle w:val="Subst"/>
          <w:bCs/>
          <w:iCs/>
        </w:rPr>
        <w:t xml:space="preserve"> info@rnvlakra.ru</w:t>
      </w:r>
    </w:p>
    <w:p w:rsidR="00790531" w:rsidRDefault="00AA7EE0" w:rsidP="00BB4B93">
      <w:pPr>
        <w:jc w:val="both"/>
        <w:rPr>
          <w:rStyle w:val="Subst"/>
          <w:bCs/>
          <w:iCs/>
        </w:rPr>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t>
      </w:r>
    </w:p>
    <w:p w:rsidR="00AA7EE0" w:rsidRDefault="00790531" w:rsidP="00BB4B93">
      <w:pPr>
        <w:jc w:val="both"/>
      </w:pPr>
      <w:hyperlink r:id="rId9" w:history="1">
        <w:r w:rsidRPr="00B83F34">
          <w:rPr>
            <w:rStyle w:val="a5"/>
          </w:rPr>
          <w:t>http://disclosure.1prime.ru/portal/default.aspx?emid=7725636702</w:t>
        </w:r>
      </w:hyperlink>
    </w:p>
    <w:p w:rsidR="00AA7EE0" w:rsidRDefault="00AA7EE0" w:rsidP="00BB4B93">
      <w:pPr>
        <w:pStyle w:val="ThinDelim"/>
        <w:jc w:val="both"/>
      </w:pPr>
    </w:p>
    <w:p w:rsidR="00AA7EE0" w:rsidRDefault="00AA7EE0" w:rsidP="00BB4B93">
      <w:pPr>
        <w:pStyle w:val="2"/>
        <w:jc w:val="both"/>
      </w:pPr>
      <w:bookmarkStart w:id="29" w:name="_Toc324431741"/>
      <w:r>
        <w:t>3.1.5. Идентификационный номер налогоплательщика</w:t>
      </w:r>
      <w:bookmarkEnd w:id="29"/>
    </w:p>
    <w:p w:rsidR="00AA7EE0" w:rsidRDefault="00AA7EE0" w:rsidP="00BB4B93">
      <w:pPr>
        <w:ind w:left="200"/>
        <w:jc w:val="both"/>
      </w:pPr>
      <w:r>
        <w:rPr>
          <w:rStyle w:val="Subst"/>
          <w:bCs/>
          <w:iCs/>
        </w:rPr>
        <w:t>7725636702</w:t>
      </w:r>
    </w:p>
    <w:p w:rsidR="00AA7EE0" w:rsidRDefault="00AA7EE0" w:rsidP="00BB4B93">
      <w:pPr>
        <w:pStyle w:val="2"/>
        <w:jc w:val="both"/>
      </w:pPr>
      <w:bookmarkStart w:id="30" w:name="_Toc324431742"/>
      <w:r>
        <w:t>3.1.6. Филиалы и представительства эмитента</w:t>
      </w:r>
      <w:bookmarkEnd w:id="30"/>
    </w:p>
    <w:p w:rsidR="00AA7EE0" w:rsidRDefault="00AA7EE0" w:rsidP="00BB4B93">
      <w:pPr>
        <w:ind w:left="200"/>
        <w:jc w:val="both"/>
      </w:pPr>
      <w:r>
        <w:rPr>
          <w:rStyle w:val="Subst"/>
          <w:bCs/>
          <w:iCs/>
        </w:rPr>
        <w:t>Эмитент не имеет филиалов и представительств</w:t>
      </w:r>
    </w:p>
    <w:p w:rsidR="00AA7EE0" w:rsidRDefault="00AA7EE0" w:rsidP="00BB4B93">
      <w:pPr>
        <w:pStyle w:val="2"/>
        <w:jc w:val="both"/>
      </w:pPr>
      <w:bookmarkStart w:id="31" w:name="_Toc324431743"/>
      <w:r>
        <w:t>3.2. Основная хозяйственная деятельность эмитента</w:t>
      </w:r>
      <w:bookmarkEnd w:id="31"/>
    </w:p>
    <w:p w:rsidR="00AA7EE0" w:rsidRDefault="00AA7EE0" w:rsidP="00BB4B93">
      <w:pPr>
        <w:pStyle w:val="2"/>
        <w:jc w:val="both"/>
      </w:pPr>
      <w:bookmarkStart w:id="32" w:name="_Toc324431744"/>
      <w:r>
        <w:t>3.2.1. Отраслевая принадлежность эмитента</w:t>
      </w:r>
      <w:bookmarkEnd w:id="32"/>
    </w:p>
    <w:p w:rsidR="00AA7EE0" w:rsidRDefault="00AA7EE0" w:rsidP="00BB4B93">
      <w:pPr>
        <w:ind w:left="200"/>
        <w:jc w:val="both"/>
      </w:pPr>
      <w:r>
        <w:lastRenderedPageBreak/>
        <w:t>Основное отраслевое направление деятельности эмитента согласно ОКВЭД.:</w:t>
      </w:r>
      <w:r>
        <w:rPr>
          <w:rStyle w:val="Subst"/>
          <w:bCs/>
          <w:iCs/>
        </w:rPr>
        <w:t xml:space="preserve"> 70.20</w:t>
      </w:r>
    </w:p>
    <w:p w:rsidR="00AA7EE0" w:rsidRDefault="00AA7EE0" w:rsidP="00BB4B93">
      <w:pPr>
        <w:pStyle w:val="2"/>
        <w:jc w:val="both"/>
      </w:pPr>
      <w:bookmarkStart w:id="33" w:name="_Toc324431745"/>
      <w:r>
        <w:t>3.2.2. Основная хозяйственная деятельность эмитента</w:t>
      </w:r>
      <w:bookmarkEnd w:id="33"/>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CE1090">
        <w:rPr>
          <w:rStyle w:val="Subst"/>
          <w:bCs/>
          <w:iCs/>
        </w:rPr>
        <w:t>.</w:t>
      </w:r>
    </w:p>
    <w:p w:rsidR="00AA7EE0" w:rsidRDefault="00AA7EE0" w:rsidP="00BB4B93">
      <w:pPr>
        <w:pStyle w:val="2"/>
        <w:jc w:val="both"/>
      </w:pPr>
      <w:bookmarkStart w:id="34" w:name="_Toc324431746"/>
      <w:r>
        <w:t>3.2.3. Материалы, товары (сырье) и поставщики эмитента</w:t>
      </w:r>
      <w:bookmarkEnd w:id="34"/>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CE1090">
        <w:rPr>
          <w:rStyle w:val="Subst"/>
          <w:bCs/>
          <w:iCs/>
        </w:rPr>
        <w:t>.</w:t>
      </w:r>
    </w:p>
    <w:p w:rsidR="00AA7EE0" w:rsidRDefault="00AA7EE0" w:rsidP="00BB4B93">
      <w:pPr>
        <w:pStyle w:val="2"/>
        <w:jc w:val="both"/>
      </w:pPr>
      <w:bookmarkStart w:id="35" w:name="_Toc324431747"/>
      <w:r>
        <w:t>3.2.4. Рынки сбыта продукции (работ, услуг) эмитента</w:t>
      </w:r>
      <w:bookmarkEnd w:id="35"/>
    </w:p>
    <w:p w:rsidR="00AA7EE0" w:rsidRDefault="00AA7EE0" w:rsidP="00BB4B93">
      <w:pPr>
        <w:ind w:left="200"/>
        <w:jc w:val="both"/>
      </w:pPr>
      <w:r>
        <w:t>Основные рынки, на которых эмитент осуществляет свою деятельность:</w:t>
      </w:r>
      <w:r>
        <w:br/>
      </w:r>
      <w:r>
        <w:rPr>
          <w:rStyle w:val="Subst"/>
          <w:bCs/>
          <w:iCs/>
        </w:rPr>
        <w:t>Рынок коммерческой недвижимости, г. Москва.</w:t>
      </w:r>
    </w:p>
    <w:p w:rsidR="00AA7EE0" w:rsidRDefault="00AA7EE0" w:rsidP="00BB4B93">
      <w:pPr>
        <w:ind w:left="200"/>
        <w:jc w:val="both"/>
      </w:pPr>
      <w:r>
        <w:rPr>
          <w:rStyle w:val="Subst"/>
          <w:bCs/>
          <w:iCs/>
        </w:rPr>
        <w:br/>
      </w:r>
      <w:r w:rsidRPr="00790531">
        <w:rPr>
          <w:rStyle w:val="Subst"/>
          <w:b w:val="0"/>
          <w:bCs/>
          <w:i w:val="0"/>
          <w:iCs/>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790531">
        <w:rPr>
          <w:rStyle w:val="Subst"/>
          <w:b w:val="0"/>
          <w:bCs/>
          <w:i w:val="0"/>
          <w:iCs/>
        </w:rPr>
        <w:br/>
      </w:r>
      <w:r>
        <w:rPr>
          <w:rStyle w:val="Subst"/>
          <w:bCs/>
          <w:iCs/>
        </w:rPr>
        <w:t xml:space="preserve">Основным направлением деятельности ОАО "РН-Влакра" является сдача в аренду коммерческой недвижимости в зданиях, принадлежащих Обществу. </w:t>
      </w:r>
      <w:r>
        <w:rPr>
          <w:rStyle w:val="Subst"/>
          <w:bCs/>
          <w:iCs/>
        </w:rPr>
        <w:br/>
        <w:t>Главными преимуществами данных объектов недвижимости является их удобное месторасположение, близость двух станций метро, основных магистралей Москвы (Садового кольца, Ленинского проспекта, близость Третьего Транспортного Кольца) наличие офисных и складских помещений.</w:t>
      </w:r>
      <w:r>
        <w:rPr>
          <w:rStyle w:val="Subst"/>
          <w:bCs/>
          <w:iCs/>
        </w:rPr>
        <w:br/>
        <w:t>Главными факторам, которые негативно могут повлиять на сбыт Эмитентом услуг, являются падение спроса и снижение цен на услуги Эмитента.</w:t>
      </w:r>
      <w:r>
        <w:rPr>
          <w:rStyle w:val="Subst"/>
          <w:bCs/>
          <w:iCs/>
        </w:rPr>
        <w:br/>
      </w:r>
      <w:r>
        <w:rPr>
          <w:rStyle w:val="Subst"/>
          <w:bCs/>
          <w:iCs/>
        </w:rPr>
        <w:br/>
        <w:t xml:space="preserve">После кризиса 2008-2009 гг. в течение 2010 года спрос на недвижимость со стороны потенциальных арендаторов начал восстанавливаться. Несмотря на то, что Общество не обладает торговыми площадями и площадями востребованного сегмента стрит-ритейла, менеджмент Общества добился того, что за 2010 год не было осуществлено дальнейшее понижение арендных ставок, а также полного заполнения арендных площадей к концу 2010 г. </w:t>
      </w:r>
      <w:r>
        <w:rPr>
          <w:rStyle w:val="Subst"/>
          <w:bCs/>
          <w:iCs/>
        </w:rPr>
        <w:br/>
      </w:r>
      <w:r>
        <w:rPr>
          <w:rStyle w:val="Subst"/>
          <w:bCs/>
          <w:iCs/>
        </w:rPr>
        <w:br/>
        <w:t>В 2011 г. общее улучшение экономической ситуации в Москве и как следствие развитие бизнеса и рост штата сотрудников компаний-арендаторов привело к увеличению спроса на коммерческую недвижимость. Спрос превысил предложение в три раза, что привело к постепенному снижению в течение 2011 года доли вакантных площадей. Однако ставки аренды по всем классам офисов пока так и не восстановились до докризисных уровней. Базовые ставки аренды (без учета операционных расходов и НДС) составили в среднем: для класса «А» - $600-850 (плюс операционные расходы $110-150), для класса «В+» - $400-600 (плюс - $80-120), для класса «В-» - $260-400 долл. (плюс - $50-95). По данным компании Knight Frank средний прирост арендных ставок с начала 2011 года в классе «А» составил 8,5%, в классах «В+» и «В-» - 5,5%.</w:t>
      </w:r>
      <w:r>
        <w:rPr>
          <w:rStyle w:val="Subst"/>
          <w:bCs/>
          <w:iCs/>
        </w:rPr>
        <w:br/>
        <w:t>В случае наступления указанных выше факторов усилия менеджеров компании будут направлены на установление наиболее оптимальных арендных ставок, а также сохранение и увеличение объема сдаваемых в аренду площадей.</w:t>
      </w:r>
      <w:r>
        <w:rPr>
          <w:rStyle w:val="Subst"/>
          <w:bCs/>
          <w:iCs/>
        </w:rPr>
        <w:br/>
      </w:r>
      <w:r>
        <w:rPr>
          <w:rStyle w:val="Subst"/>
          <w:bCs/>
          <w:iCs/>
        </w:rPr>
        <w:br/>
        <w:t>Негативное влияние на деятельность Эмитента может оказать также понижение платежеспособности контрагентов. В этом случае Эмитент будет уменьшать издержки своей деятельности и осуществлять поиск новых арендаторов.</w:t>
      </w:r>
    </w:p>
    <w:p w:rsidR="00AA7EE0" w:rsidRDefault="00AA7EE0" w:rsidP="00BB4B93">
      <w:pPr>
        <w:pStyle w:val="2"/>
        <w:jc w:val="both"/>
      </w:pPr>
      <w:bookmarkStart w:id="36" w:name="_Toc324431748"/>
      <w:r>
        <w:t>3.2.5. Сведения о наличии у эмитента разрешений (лицензий) или допусков к отдельным видам работ</w:t>
      </w:r>
      <w:bookmarkEnd w:id="36"/>
    </w:p>
    <w:p w:rsidR="00AA7EE0" w:rsidRDefault="00AA7EE0" w:rsidP="00BB4B93">
      <w:pPr>
        <w:ind w:left="200"/>
        <w:jc w:val="both"/>
      </w:pPr>
      <w:r>
        <w:rPr>
          <w:rStyle w:val="Subst"/>
          <w:bCs/>
          <w:iCs/>
        </w:rPr>
        <w:t>Эмитент не имеет разрешений (лицензий)</w:t>
      </w:r>
      <w:r w:rsidR="00790531">
        <w:rPr>
          <w:rStyle w:val="Subst"/>
          <w:bCs/>
          <w:iCs/>
        </w:rPr>
        <w:t>,</w:t>
      </w:r>
      <w:r>
        <w:rPr>
          <w:rStyle w:val="Subst"/>
          <w:bCs/>
          <w:iCs/>
        </w:rPr>
        <w:t xml:space="preserve"> сведения </w:t>
      </w:r>
      <w:r w:rsidR="00790531">
        <w:rPr>
          <w:rStyle w:val="Subst"/>
          <w:bCs/>
          <w:iCs/>
        </w:rPr>
        <w:t xml:space="preserve">о </w:t>
      </w:r>
      <w:r>
        <w:rPr>
          <w:rStyle w:val="Subst"/>
          <w:bCs/>
          <w:iCs/>
        </w:rPr>
        <w:t>которых обязательно указывать в ежеквартальном отчете</w:t>
      </w:r>
      <w:r w:rsidR="00790531">
        <w:rPr>
          <w:rStyle w:val="Subst"/>
          <w:bCs/>
          <w:iCs/>
        </w:rPr>
        <w:t>.</w:t>
      </w:r>
    </w:p>
    <w:p w:rsidR="00AA7EE0" w:rsidRDefault="00AA7EE0" w:rsidP="00BB4B93">
      <w:pPr>
        <w:pStyle w:val="2"/>
        <w:jc w:val="both"/>
      </w:pPr>
      <w:bookmarkStart w:id="37" w:name="_Toc324431749"/>
      <w:r>
        <w:lastRenderedPageBreak/>
        <w:t>3.2.6. 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bookmarkEnd w:id="37"/>
    </w:p>
    <w:p w:rsidR="00790531" w:rsidRPr="00790531" w:rsidRDefault="00790531" w:rsidP="00114960">
      <w:pPr>
        <w:pStyle w:val="2"/>
        <w:spacing w:before="120"/>
        <w:ind w:firstLine="284"/>
        <w:jc w:val="both"/>
        <w:rPr>
          <w:b w:val="0"/>
          <w:bCs w:val="0"/>
          <w:sz w:val="20"/>
          <w:szCs w:val="20"/>
        </w:rPr>
      </w:pPr>
      <w:r w:rsidRPr="00790531">
        <w:rPr>
          <w:b w:val="0"/>
          <w:bCs w:val="0"/>
          <w:sz w:val="20"/>
          <w:szCs w:val="20"/>
        </w:rPr>
        <w:t>Эмитент не является акционерным инвестиционным фондом, страховой или кредитной организацией, ипотечным агентом.</w:t>
      </w:r>
    </w:p>
    <w:p w:rsidR="00AA7EE0" w:rsidRDefault="00AA7EE0" w:rsidP="00BB4B93">
      <w:pPr>
        <w:pStyle w:val="2"/>
        <w:jc w:val="both"/>
      </w:pPr>
      <w:bookmarkStart w:id="38" w:name="_Toc324431750"/>
      <w:r>
        <w:t>3.2.7. Дополнительные требования к эмитентам, основной деятельностью которых является добыча полезных ископаемых</w:t>
      </w:r>
      <w:bookmarkEnd w:id="38"/>
    </w:p>
    <w:p w:rsidR="00AA7EE0" w:rsidRDefault="00AA7EE0" w:rsidP="00BB4B93">
      <w:pPr>
        <w:ind w:left="200"/>
        <w:jc w:val="both"/>
      </w:pPr>
      <w:r>
        <w:t>Основной деятельностью эмитента не является добыча полезных ископаемых</w:t>
      </w:r>
    </w:p>
    <w:p w:rsidR="00AA7EE0" w:rsidRDefault="00AA7EE0" w:rsidP="00BB4B93">
      <w:pPr>
        <w:pStyle w:val="2"/>
        <w:jc w:val="both"/>
      </w:pPr>
      <w:bookmarkStart w:id="39" w:name="_Toc324431751"/>
      <w:r>
        <w:t>3.2.8. Дополнительные требования к эмитентам, основной деятельностью которых является оказание услуг связи</w:t>
      </w:r>
      <w:bookmarkEnd w:id="39"/>
    </w:p>
    <w:p w:rsidR="00AA7EE0" w:rsidRDefault="00AA7EE0" w:rsidP="00BB4B93">
      <w:pPr>
        <w:ind w:left="200"/>
        <w:jc w:val="both"/>
      </w:pPr>
      <w:r>
        <w:t>Основной деятельностью эмитента не является оказание услуг связи</w:t>
      </w:r>
    </w:p>
    <w:p w:rsidR="00AA7EE0" w:rsidRDefault="00AA7EE0" w:rsidP="00BB4B93">
      <w:pPr>
        <w:pStyle w:val="2"/>
        <w:jc w:val="both"/>
      </w:pPr>
      <w:bookmarkStart w:id="40" w:name="_Toc324431752"/>
      <w:r>
        <w:t>3.3. Планы будущей деятельности эмитента</w:t>
      </w:r>
      <w:bookmarkEnd w:id="40"/>
    </w:p>
    <w:p w:rsidR="00AA7EE0" w:rsidRDefault="00AA7EE0" w:rsidP="00BB4B93">
      <w:pPr>
        <w:ind w:left="200"/>
        <w:jc w:val="both"/>
      </w:pPr>
      <w:r w:rsidRPr="00114960">
        <w:rPr>
          <w:rStyle w:val="Subst"/>
          <w:b w:val="0"/>
          <w:bCs/>
          <w:i w:val="0"/>
          <w:iCs/>
        </w:rPr>
        <w:t>Планы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r w:rsidRPr="00114960">
        <w:rPr>
          <w:rStyle w:val="Subst"/>
          <w:b w:val="0"/>
          <w:bCs/>
          <w:i w:val="0"/>
          <w:iCs/>
        </w:rPr>
        <w:br/>
      </w:r>
      <w:r>
        <w:rPr>
          <w:rStyle w:val="Subst"/>
          <w:bCs/>
          <w:iCs/>
        </w:rPr>
        <w:t>Планы,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 отсутствуют.</w:t>
      </w:r>
      <w:r>
        <w:rPr>
          <w:rStyle w:val="Subst"/>
          <w:bCs/>
          <w:iCs/>
        </w:rPr>
        <w:br/>
        <w:t xml:space="preserve">Завершение реорганизационных процедур, связанных с присоединением к Обществу двух других обществ, позволит увеличить площадь сдаваемых в аренду помещений в несколько раз. Объединение недвижимого имущества в руках единого менеджмента улучшит управляемость процессом, положительно отразится на балансе с точки зрения экономики, позволит создать перспективы развития объединенной площадки. </w:t>
      </w:r>
    </w:p>
    <w:p w:rsidR="00AA7EE0" w:rsidRDefault="00AA7EE0" w:rsidP="00BB4B93">
      <w:pPr>
        <w:pStyle w:val="2"/>
        <w:jc w:val="both"/>
      </w:pPr>
      <w:bookmarkStart w:id="41" w:name="_Toc324431753"/>
      <w:r>
        <w:t>3.4. Участие эмитента в банковских группах, банковских холдингах, холдингах и ассоциациях</w:t>
      </w:r>
      <w:bookmarkEnd w:id="41"/>
    </w:p>
    <w:p w:rsidR="00AA7EE0" w:rsidRDefault="00AA7EE0" w:rsidP="00BB4B93">
      <w:pPr>
        <w:ind w:left="200"/>
        <w:jc w:val="both"/>
      </w:pPr>
      <w:r>
        <w:rPr>
          <w:rStyle w:val="Subst"/>
          <w:bCs/>
          <w:iCs/>
        </w:rPr>
        <w:t>Эмитент не участвует в банковских группах, банковских холдингах, холдингах и ассоциациях</w:t>
      </w:r>
      <w:r w:rsidR="00CE1090">
        <w:rPr>
          <w:rStyle w:val="Subst"/>
          <w:bCs/>
          <w:iCs/>
        </w:rPr>
        <w:t>.</w:t>
      </w:r>
    </w:p>
    <w:p w:rsidR="00AA7EE0" w:rsidRDefault="00AA7EE0" w:rsidP="00BB4B93">
      <w:pPr>
        <w:pStyle w:val="2"/>
        <w:jc w:val="both"/>
      </w:pPr>
      <w:bookmarkStart w:id="42" w:name="_Toc324431754"/>
      <w:r>
        <w:t>3.5. Подконтрольные эмитенту организации, имеющие для него существенное значение</w:t>
      </w:r>
      <w:bookmarkEnd w:id="42"/>
    </w:p>
    <w:p w:rsidR="00AA7EE0" w:rsidRDefault="00AA7EE0" w:rsidP="00BB4B93">
      <w:pPr>
        <w:ind w:left="200"/>
        <w:jc w:val="both"/>
      </w:pPr>
      <w:r>
        <w:rPr>
          <w:rStyle w:val="Subst"/>
          <w:bCs/>
          <w:iCs/>
        </w:rPr>
        <w:t>Эмитент не имеет подконтрольных организаций, имеющих для него существенное значение</w:t>
      </w:r>
      <w:r w:rsidR="00CE1090">
        <w:rPr>
          <w:rStyle w:val="Subst"/>
          <w:bCs/>
          <w:iCs/>
        </w:rPr>
        <w:t>.</w:t>
      </w:r>
    </w:p>
    <w:p w:rsidR="00AA7EE0" w:rsidRDefault="00AA7EE0" w:rsidP="00BB4B93">
      <w:pPr>
        <w:pStyle w:val="2"/>
        <w:jc w:val="both"/>
      </w:pPr>
      <w:bookmarkStart w:id="43" w:name="_Toc324431755"/>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3"/>
    </w:p>
    <w:p w:rsidR="00AA7EE0" w:rsidRDefault="00AA7EE0" w:rsidP="00BB4B93">
      <w:pPr>
        <w:pStyle w:val="2"/>
        <w:jc w:val="both"/>
      </w:pPr>
      <w:bookmarkStart w:id="44" w:name="_Toc324431756"/>
      <w:r>
        <w:t>3.6.1. Основные средства</w:t>
      </w:r>
      <w:bookmarkEnd w:id="44"/>
    </w:p>
    <w:p w:rsidR="00AA7EE0" w:rsidRDefault="00AA7EE0" w:rsidP="00CE1090">
      <w:pPr>
        <w:pStyle w:val="SubHeading"/>
        <w:spacing w:before="120"/>
        <w:ind w:left="198"/>
        <w:jc w:val="both"/>
      </w:pPr>
      <w:r>
        <w:t>За 2011 г.</w:t>
      </w:r>
    </w:p>
    <w:p w:rsidR="00AA7EE0" w:rsidRDefault="00AA7EE0" w:rsidP="00BB4B93">
      <w:pPr>
        <w:ind w:left="400"/>
        <w:jc w:val="both"/>
      </w:pPr>
      <w:r>
        <w:t>Единица измерения:</w:t>
      </w:r>
      <w:r>
        <w:rPr>
          <w:rStyle w:val="Subst"/>
          <w:bCs/>
          <w:iCs/>
        </w:rPr>
        <w:t xml:space="preserve"> руб.</w:t>
      </w:r>
    </w:p>
    <w:tbl>
      <w:tblPr>
        <w:tblW w:w="0" w:type="auto"/>
        <w:tblLayout w:type="fixed"/>
        <w:tblCellMar>
          <w:left w:w="72" w:type="dxa"/>
          <w:right w:w="72" w:type="dxa"/>
        </w:tblCellMar>
        <w:tblLook w:val="0000"/>
      </w:tblPr>
      <w:tblGrid>
        <w:gridCol w:w="6309"/>
        <w:gridCol w:w="1985"/>
        <w:gridCol w:w="1400"/>
      </w:tblGrid>
      <w:tr w:rsidR="00AA7EE0" w:rsidRPr="00BB4B93" w:rsidTr="00114960">
        <w:tblPrEx>
          <w:tblCellMar>
            <w:top w:w="0" w:type="dxa"/>
            <w:bottom w:w="0" w:type="dxa"/>
          </w:tblCellMar>
        </w:tblPrEx>
        <w:tc>
          <w:tcPr>
            <w:tcW w:w="6309"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группы объектов основных средств</w:t>
            </w:r>
          </w:p>
        </w:tc>
        <w:tc>
          <w:tcPr>
            <w:tcW w:w="1985"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Сумма начисленной амортизации</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Здания</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15 360 649.96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1 930 637.1</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Машины и оборудование</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22 776 321.04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5 160 908.28</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основные фонды</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952 944.51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505 708.47</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Сооружения</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2 403 721.04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200 402.75</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Транспортные средства</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368 220.34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30 182</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w:t>
            </w:r>
          </w:p>
        </w:tc>
        <w:tc>
          <w:tcPr>
            <w:tcW w:w="1985"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41 861 856.89</w:t>
            </w: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7 827 838.6</w:t>
            </w:r>
          </w:p>
        </w:tc>
      </w:tr>
    </w:tbl>
    <w:p w:rsidR="00AA7EE0" w:rsidRDefault="00AA7EE0" w:rsidP="00BB4B93">
      <w:pPr>
        <w:jc w:val="both"/>
      </w:pPr>
    </w:p>
    <w:p w:rsidR="00AA7EE0" w:rsidRDefault="00AA7EE0" w:rsidP="00BB4B93">
      <w:pPr>
        <w:ind w:left="400"/>
        <w:jc w:val="both"/>
      </w:pPr>
      <w:r>
        <w:t>Сведения о способах начисления амортизационных отчислений по группам объектов основных средств:</w:t>
      </w:r>
      <w:r>
        <w:br/>
      </w:r>
      <w:r>
        <w:rPr>
          <w:rStyle w:val="Subst"/>
          <w:bCs/>
          <w:iCs/>
        </w:rPr>
        <w:t xml:space="preserve">Для начисления амортизационных отчислений, по всем группам основных средств используется </w:t>
      </w:r>
      <w:r>
        <w:rPr>
          <w:rStyle w:val="Subst"/>
          <w:bCs/>
          <w:iCs/>
        </w:rPr>
        <w:lastRenderedPageBreak/>
        <w:t>линейный метод начисления амортизации.</w:t>
      </w:r>
    </w:p>
    <w:p w:rsidR="00AA7EE0" w:rsidRDefault="00AA7EE0" w:rsidP="00BB4B93">
      <w:pPr>
        <w:ind w:left="400"/>
        <w:jc w:val="both"/>
      </w:pPr>
      <w:r>
        <w:t>Отчетная дата:</w:t>
      </w:r>
      <w:r>
        <w:rPr>
          <w:rStyle w:val="Subst"/>
          <w:bCs/>
          <w:iCs/>
        </w:rPr>
        <w:t xml:space="preserve"> 31.12.2011</w:t>
      </w:r>
    </w:p>
    <w:p w:rsidR="00AA7EE0" w:rsidRDefault="00AA7EE0" w:rsidP="00BB4B93">
      <w:pPr>
        <w:pStyle w:val="SubHeading"/>
        <w:ind w:left="200"/>
        <w:jc w:val="both"/>
      </w:pPr>
      <w:r>
        <w:t>На дату окончания отчетного квартала</w:t>
      </w:r>
    </w:p>
    <w:p w:rsidR="00AA7EE0" w:rsidRDefault="00AA7EE0" w:rsidP="00BB4B93">
      <w:pPr>
        <w:ind w:left="400"/>
        <w:jc w:val="both"/>
      </w:pPr>
      <w:r>
        <w:t>Единица измерения:</w:t>
      </w:r>
      <w:r>
        <w:rPr>
          <w:rStyle w:val="Subst"/>
          <w:bCs/>
          <w:iCs/>
        </w:rPr>
        <w:t xml:space="preserve"> руб.</w:t>
      </w:r>
    </w:p>
    <w:tbl>
      <w:tblPr>
        <w:tblW w:w="0" w:type="auto"/>
        <w:tblLayout w:type="fixed"/>
        <w:tblCellMar>
          <w:left w:w="72" w:type="dxa"/>
          <w:right w:w="72" w:type="dxa"/>
        </w:tblCellMar>
        <w:tblLook w:val="0000"/>
      </w:tblPr>
      <w:tblGrid>
        <w:gridCol w:w="6309"/>
        <w:gridCol w:w="1985"/>
        <w:gridCol w:w="1400"/>
      </w:tblGrid>
      <w:tr w:rsidR="00AA7EE0" w:rsidRPr="00BB4B93" w:rsidTr="00114960">
        <w:tblPrEx>
          <w:tblCellMar>
            <w:top w:w="0" w:type="dxa"/>
            <w:bottom w:w="0" w:type="dxa"/>
          </w:tblCellMar>
        </w:tblPrEx>
        <w:tc>
          <w:tcPr>
            <w:tcW w:w="6309"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группы объектов основных средств</w:t>
            </w:r>
          </w:p>
        </w:tc>
        <w:tc>
          <w:tcPr>
            <w:tcW w:w="1985"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Сумма начисленной амортизации</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Здания</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15 360 649.96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2 058 287.91</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Машины и оборудование</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22 776 321.04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5 725 610.46</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основные фонды</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952 944.51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559 797.65</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Сооружения</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2 403 721.04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235 660.73</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Транспортные средства</w:t>
            </w:r>
          </w:p>
        </w:tc>
        <w:tc>
          <w:tcPr>
            <w:tcW w:w="1985"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368 220.34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48 291.2</w:t>
            </w:r>
          </w:p>
        </w:tc>
      </w:tr>
      <w:tr w:rsidR="00AA7EE0" w:rsidRPr="00BB4B93" w:rsidTr="00114960">
        <w:tblPrEx>
          <w:tblCellMar>
            <w:top w:w="0" w:type="dxa"/>
            <w:bottom w:w="0" w:type="dxa"/>
          </w:tblCellMar>
        </w:tblPrEx>
        <w:tc>
          <w:tcPr>
            <w:tcW w:w="6309"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w:t>
            </w:r>
          </w:p>
        </w:tc>
        <w:tc>
          <w:tcPr>
            <w:tcW w:w="1985"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41 861 856.89</w:t>
            </w: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8 627 647.95</w:t>
            </w:r>
          </w:p>
        </w:tc>
      </w:tr>
    </w:tbl>
    <w:p w:rsidR="00AA7EE0" w:rsidRDefault="00AA7EE0" w:rsidP="00BB4B93">
      <w:pPr>
        <w:jc w:val="both"/>
      </w:pPr>
    </w:p>
    <w:p w:rsidR="00AA7EE0" w:rsidRDefault="00AA7EE0" w:rsidP="00BB4B93">
      <w:pPr>
        <w:ind w:left="400"/>
        <w:jc w:val="both"/>
      </w:pPr>
      <w:r>
        <w:t>Сведения о способах начисления амортизационных отчислений по группам объектов основных средств:</w:t>
      </w:r>
      <w:r>
        <w:br/>
      </w:r>
      <w:r>
        <w:rPr>
          <w:rStyle w:val="Subst"/>
          <w:bCs/>
          <w:iCs/>
        </w:rPr>
        <w:t>Для начисления амортизационных отчислений, по всем группам основных средств используется линейный метод начисления амортизации.</w:t>
      </w:r>
    </w:p>
    <w:p w:rsidR="00AA7EE0" w:rsidRDefault="00AA7EE0" w:rsidP="00BB4B93">
      <w:pPr>
        <w:ind w:left="400"/>
        <w:jc w:val="both"/>
      </w:pPr>
      <w:r>
        <w:t>Отчетная дата:</w:t>
      </w:r>
      <w:r>
        <w:rPr>
          <w:rStyle w:val="Subst"/>
          <w:bCs/>
          <w:iCs/>
        </w:rPr>
        <w:t xml:space="preserve"> 31.03.2012</w:t>
      </w:r>
    </w:p>
    <w:p w:rsidR="00AA7EE0" w:rsidRDefault="00AA7EE0" w:rsidP="00BB4B93">
      <w:pPr>
        <w:ind w:left="200"/>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AA7EE0" w:rsidRDefault="00AA7EE0" w:rsidP="00BB4B93">
      <w:pPr>
        <w:ind w:left="200"/>
        <w:jc w:val="both"/>
      </w:pPr>
      <w:r>
        <w:rPr>
          <w:rStyle w:val="Subst"/>
          <w:bCs/>
          <w:iCs/>
        </w:rPr>
        <w:t>Переоценка основных средств за указанный период не проводилась</w:t>
      </w:r>
    </w:p>
    <w:p w:rsidR="00AA7EE0" w:rsidRDefault="00AA7EE0" w:rsidP="00BB4B93">
      <w:pPr>
        <w:ind w:left="200"/>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bCs/>
          <w:iCs/>
        </w:rPr>
        <w:t>Планы по приобретению, замене, выбытию  основных средств, стоимость которых составляет 10 и более процентов стоимости основных средств эмитента на дату окончания последнего завершенного отчетного периода, отсутствуют.</w:t>
      </w:r>
    </w:p>
    <w:p w:rsidR="00AA7EE0" w:rsidRDefault="00AA7EE0" w:rsidP="00BB4B93">
      <w:pPr>
        <w:pStyle w:val="1"/>
        <w:jc w:val="both"/>
      </w:pPr>
      <w:bookmarkStart w:id="45" w:name="_Toc324431757"/>
      <w:r>
        <w:t>IV. Сведения о финансово-хозяйственной деятельности эмитента</w:t>
      </w:r>
      <w:bookmarkEnd w:id="45"/>
    </w:p>
    <w:p w:rsidR="00AA7EE0" w:rsidRDefault="00AA7EE0" w:rsidP="00BB4B93">
      <w:pPr>
        <w:pStyle w:val="2"/>
        <w:jc w:val="both"/>
      </w:pPr>
      <w:bookmarkStart w:id="46" w:name="_Toc324431758"/>
      <w:r>
        <w:t>4.1. Результаты финансово-хозяйственной деятельности эмитента</w:t>
      </w:r>
      <w:bookmarkEnd w:id="46"/>
    </w:p>
    <w:p w:rsidR="00AA7EE0" w:rsidRDefault="00AA7EE0" w:rsidP="009723C8">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9723C8">
        <w:rPr>
          <w:rStyle w:val="Subst"/>
          <w:bCs/>
          <w:iCs/>
        </w:rPr>
        <w:t>.</w:t>
      </w:r>
    </w:p>
    <w:p w:rsidR="00AA7EE0" w:rsidRDefault="00AA7EE0" w:rsidP="00BB4B93">
      <w:pPr>
        <w:pStyle w:val="2"/>
        <w:jc w:val="both"/>
      </w:pPr>
      <w:bookmarkStart w:id="47" w:name="_Toc324431759"/>
      <w:r>
        <w:t>4.2. Ликвидность эмитента, достаточность капитала и оборотных средств</w:t>
      </w:r>
      <w:bookmarkEnd w:id="47"/>
    </w:p>
    <w:p w:rsidR="00AA7EE0" w:rsidRDefault="00AA7EE0" w:rsidP="009723C8">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9723C8">
        <w:rPr>
          <w:rStyle w:val="Subst"/>
          <w:bCs/>
          <w:iCs/>
        </w:rPr>
        <w:t>.</w:t>
      </w:r>
    </w:p>
    <w:p w:rsidR="00AA7EE0" w:rsidRDefault="00AA7EE0" w:rsidP="00BB4B93">
      <w:pPr>
        <w:pStyle w:val="2"/>
        <w:jc w:val="both"/>
      </w:pPr>
      <w:bookmarkStart w:id="48" w:name="_Toc324431760"/>
      <w:r>
        <w:lastRenderedPageBreak/>
        <w:t>4.3. Финансовые вложения эмитента</w:t>
      </w:r>
      <w:bookmarkEnd w:id="48"/>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CE1090">
        <w:rPr>
          <w:rStyle w:val="Subst"/>
          <w:bCs/>
          <w:iCs/>
        </w:rPr>
        <w:t>.</w:t>
      </w:r>
    </w:p>
    <w:p w:rsidR="00AA7EE0" w:rsidRDefault="00AA7EE0" w:rsidP="00BB4B93">
      <w:pPr>
        <w:pStyle w:val="2"/>
        <w:jc w:val="both"/>
      </w:pPr>
      <w:bookmarkStart w:id="49" w:name="_Toc324431761"/>
      <w:r>
        <w:t>4.4. Нематериальные активы эмитента</w:t>
      </w:r>
      <w:bookmarkEnd w:id="49"/>
    </w:p>
    <w:p w:rsidR="00AA7EE0" w:rsidRDefault="00AA7EE0" w:rsidP="00BB4B93">
      <w:pPr>
        <w:pStyle w:val="SubHeading"/>
        <w:ind w:left="200"/>
        <w:jc w:val="both"/>
      </w:pPr>
      <w:r>
        <w:t>За 2011 г.</w:t>
      </w:r>
    </w:p>
    <w:p w:rsidR="00AA7EE0" w:rsidRDefault="00AA7EE0" w:rsidP="00BB4B93">
      <w:pPr>
        <w:ind w:left="400"/>
        <w:jc w:val="both"/>
      </w:pPr>
      <w:r>
        <w:rPr>
          <w:rStyle w:val="Subst"/>
          <w:bCs/>
          <w:iCs/>
        </w:rPr>
        <w:t>Нематериальные активы у эмитента отсутствуют</w:t>
      </w:r>
    </w:p>
    <w:p w:rsidR="00AA7EE0" w:rsidRDefault="00AA7EE0" w:rsidP="00BB4B93">
      <w:pPr>
        <w:pStyle w:val="SubHeading"/>
        <w:ind w:left="200"/>
        <w:jc w:val="both"/>
      </w:pPr>
      <w:r>
        <w:t>На дату окончания отчетного квартала</w:t>
      </w:r>
    </w:p>
    <w:p w:rsidR="00AA7EE0" w:rsidRDefault="00AA7EE0" w:rsidP="00BB4B93">
      <w:pPr>
        <w:ind w:left="400"/>
        <w:jc w:val="both"/>
      </w:pPr>
      <w:r>
        <w:rPr>
          <w:rStyle w:val="Subst"/>
          <w:bCs/>
          <w:iCs/>
        </w:rPr>
        <w:t>Нематериальные активы у эмитента отсутствуют</w:t>
      </w:r>
    </w:p>
    <w:p w:rsidR="00AA7EE0" w:rsidRDefault="00AA7EE0" w:rsidP="00BB4B93">
      <w:pPr>
        <w:pStyle w:val="2"/>
        <w:jc w:val="both"/>
      </w:pPr>
      <w:bookmarkStart w:id="50" w:name="_Toc324431762"/>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AA7EE0" w:rsidRDefault="00AA7EE0" w:rsidP="00BB4B93">
      <w:pPr>
        <w:ind w:left="200"/>
        <w:jc w:val="both"/>
      </w:pPr>
      <w:r w:rsidRPr="00DC469A">
        <w:rPr>
          <w:rStyle w:val="Subst"/>
          <w:b w:val="0"/>
          <w:bCs/>
          <w:i w:val="0"/>
          <w:iCs/>
        </w:rPr>
        <w:t>Политика эмитента в области научно - технического развития на соответствующий отчетный период, предшествующий дате окончания последнего отчетного квартала:</w:t>
      </w:r>
      <w:r>
        <w:rPr>
          <w:rStyle w:val="Subst"/>
          <w:bCs/>
          <w:iCs/>
        </w:rPr>
        <w:t xml:space="preserve"> отсутствует.</w:t>
      </w:r>
      <w:r>
        <w:rPr>
          <w:rStyle w:val="Subst"/>
          <w:bCs/>
          <w:iCs/>
        </w:rPr>
        <w:br/>
      </w:r>
      <w:r w:rsidRPr="00DC469A">
        <w:rPr>
          <w:rStyle w:val="Subst"/>
          <w:b w:val="0"/>
          <w:bCs/>
          <w:i w:val="0"/>
          <w:iCs/>
        </w:rPr>
        <w:t>Затраты на осуществление научно-технической деятельности за счет собственных средств эмитента в такой отчетный период:</w:t>
      </w:r>
      <w:r>
        <w:rPr>
          <w:rStyle w:val="Subst"/>
          <w:bCs/>
          <w:iCs/>
        </w:rPr>
        <w:t xml:space="preserve"> затраты отсутствует.</w:t>
      </w:r>
      <w:r>
        <w:rPr>
          <w:rStyle w:val="Subst"/>
          <w:bCs/>
          <w:iCs/>
        </w:rPr>
        <w:br/>
      </w:r>
      <w:r w:rsidRPr="00DC469A">
        <w:rPr>
          <w:rStyle w:val="Subst"/>
          <w:b w:val="0"/>
          <w:bCs/>
          <w:i w:val="0"/>
          <w:iCs/>
        </w:rPr>
        <w:t>Создание и получение эмитентом правовой охраны основных объектов интеллектуальной собственности:</w:t>
      </w:r>
      <w:r>
        <w:rPr>
          <w:rStyle w:val="Subst"/>
          <w:bCs/>
          <w:iCs/>
        </w:rPr>
        <w:t xml:space="preserve"> объекты интеллектуальной собственности отсутствуют</w:t>
      </w:r>
      <w:r w:rsidR="00DC469A">
        <w:rPr>
          <w:rStyle w:val="Subst"/>
          <w:bCs/>
          <w:iCs/>
        </w:rPr>
        <w:t>.</w:t>
      </w:r>
      <w:r>
        <w:rPr>
          <w:rStyle w:val="Subst"/>
          <w:bCs/>
          <w:iCs/>
        </w:rPr>
        <w:br/>
      </w:r>
      <w:r w:rsidRPr="00CE1090">
        <w:rPr>
          <w:rStyle w:val="Subst"/>
          <w:b w:val="0"/>
          <w:bCs/>
          <w:i w:val="0"/>
          <w:iCs/>
        </w:rPr>
        <w:t>Основные направления и результаты использования основных для эмитента объектов интеллектуальной собственности:</w:t>
      </w:r>
      <w:r>
        <w:rPr>
          <w:rStyle w:val="Subst"/>
          <w:bCs/>
          <w:iCs/>
        </w:rPr>
        <w:t xml:space="preserve"> объекты интеллектуальной собственности отсутствуют</w:t>
      </w:r>
      <w:r w:rsidR="00DC469A">
        <w:rPr>
          <w:rStyle w:val="Subst"/>
          <w:bCs/>
          <w:iCs/>
        </w:rPr>
        <w:t>.</w:t>
      </w:r>
      <w:r>
        <w:rPr>
          <w:rStyle w:val="Subst"/>
          <w:bCs/>
          <w:iCs/>
        </w:rPr>
        <w:br/>
      </w:r>
      <w:r w:rsidRPr="00CE1090">
        <w:rPr>
          <w:rStyle w:val="Subst"/>
          <w:b w:val="0"/>
          <w:bCs/>
          <w:i w:val="0"/>
          <w:iCs/>
        </w:rPr>
        <w:t>Факторы риска, связанные с возможностью истечения сроков действия основных для эмитента патентов, лицензий на использование товарных знаков:</w:t>
      </w:r>
      <w:r>
        <w:rPr>
          <w:rStyle w:val="Subst"/>
          <w:bCs/>
          <w:iCs/>
        </w:rPr>
        <w:t xml:space="preserve"> объекты интеллектуальной собственности отсутствуют</w:t>
      </w:r>
      <w:r w:rsidR="00CE1090">
        <w:rPr>
          <w:rStyle w:val="Subst"/>
          <w:bCs/>
          <w:iCs/>
        </w:rPr>
        <w:t>.</w:t>
      </w:r>
    </w:p>
    <w:p w:rsidR="00AA7EE0" w:rsidRDefault="00AA7EE0" w:rsidP="00BB4B93">
      <w:pPr>
        <w:pStyle w:val="2"/>
        <w:jc w:val="both"/>
      </w:pPr>
      <w:bookmarkStart w:id="51" w:name="_Toc324431763"/>
      <w:r>
        <w:t>4.6. Анализ тенденций развития в сфере основной деятельности эмитента</w:t>
      </w:r>
      <w:bookmarkEnd w:id="51"/>
    </w:p>
    <w:p w:rsidR="00AA7EE0" w:rsidRDefault="00AA7EE0" w:rsidP="00BB4B93">
      <w:pPr>
        <w:ind w:left="200"/>
        <w:jc w:val="both"/>
      </w:pPr>
      <w:r>
        <w:rPr>
          <w:rStyle w:val="Subst"/>
          <w:bCs/>
          <w:iCs/>
        </w:rPr>
        <w:t>Несмотря на то, что 2010 год оказался гораздо более успешным для арендодателей, нежели 2009г: прекратилось снижение арендных ставок, уменьшился уровень вакантных площадей, уровень арендных ставок все еще был ниже докризисного в  офисном и производственно-складском секторе - на 30-35%.</w:t>
      </w:r>
      <w:r>
        <w:rPr>
          <w:rStyle w:val="Subst"/>
          <w:bCs/>
          <w:iCs/>
        </w:rPr>
        <w:br/>
        <w:t>2011 год стал продолжением основных тенденций 2010 года. Остаточное влияние кризиса сказывалось все меньше: уровень вакантных площадей снизился, а ставки и цены стабилизировались. В отдельных сегментах можно было наблюдать рост ставок. По отношению к началу 2011 года арендные ставки выросли в среднем на 3?5%, в отдельных случаях до 20%.  Общее улучшение экономической ситуации в Москве и как следствие развитие бизнеса и рост штата сотрудников компаний-арендаторов привело к увеличению спроса на коммерческую недвижимость. Спрос превысил предложение в три раза. Однако ставки аренды по всем классам офисов пока так и не восстановились до докризисных уровней. Базовые ставки аренды (без учета операционных расходов и НДС) составили в среднем: для класса «А» - $600-850 (плюс операционные расходы $110-150), для класса «В+» - $400-600 (плюс - $80-120), для класса «В-» - $260-400 долл. (плюс - $50-95). По данным компании Knight Frank средний прирост арендных ставок с начала 2011 года в классе «А» составил 8,5%, в классах «В+» и «В-» - 5,5%.</w:t>
      </w:r>
      <w:r>
        <w:rPr>
          <w:rStyle w:val="Subst"/>
          <w:bCs/>
          <w:iCs/>
        </w:rPr>
        <w:br/>
        <w:t>Эмитент с самого начала существования прикладывает все усилия по занятию достойного места на рынке недвижимости. В настоящее время в связи с тем, что Эмитент уже не имеет вакантных площадей, а также с учетом того, что более востребованными являются площади с отделкой, нежели в состоянии shell&amp;core, основным направлением деятельности будет являться улучшение имеющихся площадей, повышение уровня и класса сдаваемой в аренду недвижимости с целью получения более высокого дохода.</w:t>
      </w:r>
      <w:r>
        <w:rPr>
          <w:rStyle w:val="Subst"/>
          <w:bCs/>
          <w:iCs/>
        </w:rPr>
        <w:br/>
      </w:r>
      <w:r>
        <w:rPr>
          <w:rStyle w:val="Subst"/>
          <w:bCs/>
          <w:iCs/>
        </w:rPr>
        <w:br/>
        <w:t xml:space="preserve">Эмитент оценивает результаты своей деятельности как успешные. Результаты деятельности эмитента сильно не пострадали от негативных тенденций в отрасли, связанных с последствиями мирового кризиса в экономике 2008-2009гг. </w:t>
      </w:r>
      <w:r>
        <w:rPr>
          <w:rStyle w:val="Subst"/>
          <w:bCs/>
          <w:iCs/>
        </w:rPr>
        <w:br/>
        <w:t>Основные причины, обосновывающие полученные Эмитентом результаты:</w:t>
      </w:r>
      <w:r>
        <w:rPr>
          <w:rStyle w:val="Subst"/>
          <w:bCs/>
          <w:iCs/>
        </w:rPr>
        <w:br/>
        <w:t>Удовлетворительные финансовые результаты Эмитента во многом объясняются эффектом от эффективного управления и выгодного расположения сдаваемого в аренду имущества.</w:t>
      </w:r>
      <w:r>
        <w:rPr>
          <w:rStyle w:val="Subst"/>
          <w:bCs/>
          <w:iCs/>
        </w:rPr>
        <w:br/>
      </w:r>
      <w:r>
        <w:rPr>
          <w:rStyle w:val="Subst"/>
          <w:bCs/>
          <w:iCs/>
        </w:rPr>
        <w:br/>
        <w:t>Мнения органов управления Эмитента относительно предс</w:t>
      </w:r>
      <w:r w:rsidR="009723C8">
        <w:rPr>
          <w:rStyle w:val="Subst"/>
          <w:bCs/>
          <w:iCs/>
        </w:rPr>
        <w:t>тавленной информации совпадают.</w:t>
      </w:r>
    </w:p>
    <w:p w:rsidR="00AA7EE0" w:rsidRDefault="00AA7EE0" w:rsidP="00BB4B93">
      <w:pPr>
        <w:pStyle w:val="2"/>
        <w:jc w:val="both"/>
      </w:pPr>
      <w:bookmarkStart w:id="52" w:name="_Toc324431764"/>
      <w:r>
        <w:lastRenderedPageBreak/>
        <w:t>4.6.1. Анализ факторов и условий, влияющих на деятельность эмитента</w:t>
      </w:r>
      <w:bookmarkEnd w:id="52"/>
    </w:p>
    <w:p w:rsidR="00AA7EE0" w:rsidRDefault="00AA7EE0" w:rsidP="00BB4B93">
      <w:pPr>
        <w:ind w:left="200"/>
        <w:jc w:val="both"/>
      </w:pPr>
      <w:r w:rsidRPr="00DC469A">
        <w:rPr>
          <w:rStyle w:val="Subst"/>
          <w:b w:val="0"/>
          <w:bCs/>
          <w:i w:val="0"/>
          <w:iCs/>
        </w:rPr>
        <w:t>Факторы и условия, влияющие на деятельность Эмитента и результаты такой деятельности:</w:t>
      </w:r>
      <w:r w:rsidRPr="00DC469A">
        <w:rPr>
          <w:rStyle w:val="Subst"/>
          <w:b w:val="0"/>
          <w:bCs/>
          <w:i w:val="0"/>
          <w:iCs/>
        </w:rPr>
        <w:br/>
      </w:r>
      <w:r>
        <w:rPr>
          <w:rStyle w:val="Subst"/>
          <w:bCs/>
          <w:iCs/>
        </w:rPr>
        <w:t>Ключевыми факторами, влияющими на деятельность Эмитента, являются арендные ставки и наличие арендаторов. На колебания арендных ставок влияют макроэкономических тенденции развития рынка. Во многом динамику ставок аренды в отрасли могут определять колебания курса доллара.  Также факторами, влияющими на ставку аренды по помещениям, предоставляемым Эмитентом, являются срок аренды, валюта договора аренды и условия выхода из договора.</w:t>
      </w:r>
      <w:r>
        <w:rPr>
          <w:rStyle w:val="Subst"/>
          <w:bCs/>
          <w:iCs/>
        </w:rPr>
        <w:br/>
      </w:r>
      <w:r w:rsidRPr="00DC469A">
        <w:rPr>
          <w:rStyle w:val="Subst"/>
          <w:b w:val="0"/>
          <w:bCs/>
          <w:i w:val="0"/>
          <w:iCs/>
        </w:rPr>
        <w:t>Прогноз в отношении продолжительности действия указанных факторов и условий:</w:t>
      </w:r>
      <w:r w:rsidRPr="00DC469A">
        <w:rPr>
          <w:rStyle w:val="Subst"/>
          <w:b w:val="0"/>
          <w:bCs/>
          <w:i w:val="0"/>
          <w:iCs/>
        </w:rPr>
        <w:br/>
      </w:r>
      <w:r>
        <w:rPr>
          <w:rStyle w:val="Subst"/>
          <w:bCs/>
          <w:iCs/>
        </w:rPr>
        <w:t>По прогнозам Эмитента указанные факторы будут оказывать влияние на его деятельность на протяжении всего периода деятельности Общества.</w:t>
      </w:r>
      <w:r>
        <w:rPr>
          <w:rStyle w:val="Subst"/>
          <w:bCs/>
          <w:iCs/>
        </w:rPr>
        <w:br/>
      </w:r>
      <w:r w:rsidRPr="00DC469A">
        <w:rPr>
          <w:rStyle w:val="Subst"/>
          <w:b w:val="0"/>
          <w:bCs/>
          <w:i w:val="0"/>
          <w:iCs/>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sidRPr="00DC469A">
        <w:rPr>
          <w:rStyle w:val="Subst"/>
          <w:b w:val="0"/>
          <w:bCs/>
          <w:i w:val="0"/>
          <w:iCs/>
        </w:rPr>
        <w:br/>
      </w:r>
      <w:r>
        <w:rPr>
          <w:rStyle w:val="Subst"/>
          <w:bCs/>
          <w:iCs/>
        </w:rPr>
        <w:t xml:space="preserve">Эмитент </w:t>
      </w:r>
      <w:r w:rsidR="00DC469A">
        <w:rPr>
          <w:rStyle w:val="Subst"/>
          <w:bCs/>
          <w:iCs/>
        </w:rPr>
        <w:t xml:space="preserve">предпринимает и </w:t>
      </w:r>
      <w:r>
        <w:rPr>
          <w:rStyle w:val="Subst"/>
          <w:bCs/>
          <w:iCs/>
        </w:rPr>
        <w:t xml:space="preserve">будет </w:t>
      </w:r>
      <w:r w:rsidR="00DC469A">
        <w:rPr>
          <w:rStyle w:val="Subst"/>
          <w:bCs/>
          <w:iCs/>
        </w:rPr>
        <w:t xml:space="preserve">в дальнейшем </w:t>
      </w:r>
      <w:r>
        <w:rPr>
          <w:rStyle w:val="Subst"/>
          <w:bCs/>
          <w:iCs/>
        </w:rPr>
        <w:t>предпринимать действия для отслеживания тенденций рынка, эффективного поиска арендаторов и взаимовыгодного взаимодействия с ними после сдачи помещений в аренду.</w:t>
      </w:r>
      <w:r>
        <w:rPr>
          <w:rStyle w:val="Subst"/>
          <w:bCs/>
          <w:iCs/>
        </w:rPr>
        <w:br/>
      </w:r>
      <w:r w:rsidRPr="00DC469A">
        <w:rPr>
          <w:rStyle w:val="Subst"/>
          <w:b w:val="0"/>
          <w:bCs/>
          <w:i w:val="0"/>
          <w:iCs/>
        </w:rPr>
        <w:t>Существенные события /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r w:rsidRPr="00DC469A">
        <w:rPr>
          <w:rStyle w:val="Subst"/>
          <w:b w:val="0"/>
          <w:bCs/>
          <w:i w:val="0"/>
          <w:iCs/>
        </w:rPr>
        <w:br/>
      </w:r>
      <w:r>
        <w:rPr>
          <w:rStyle w:val="Subst"/>
          <w:bCs/>
          <w:iCs/>
        </w:rPr>
        <w:t>Негативное влияние на деятельность Эмитента в этой сфере может оказать общий кризис на рынке недвижимости, спад спроса на аренду помещений и понижение платежеспособности контрагентов. В этом случае Эмитент будет уменьшать издержки своей деятельности и осуществлять поиск новых арендаторов. Наступления таких событий в ближайшем будущем Эмитент расценивает как маловероятное.</w:t>
      </w:r>
      <w:r>
        <w:rPr>
          <w:rStyle w:val="Subst"/>
          <w:bCs/>
          <w:iCs/>
        </w:rPr>
        <w:br/>
      </w:r>
      <w:r w:rsidRPr="00791796">
        <w:rPr>
          <w:rStyle w:val="Subst"/>
          <w:b w:val="0"/>
          <w:bCs/>
          <w:i w:val="0"/>
          <w:iCs/>
        </w:rPr>
        <w:t>Существенные события/факторы, которые могут улучшить результаты деятельности эмитента. Вероятность наступления таких событий (возникновения факторов) и продолжительность их действия:</w:t>
      </w:r>
      <w:r w:rsidRPr="00791796">
        <w:rPr>
          <w:rStyle w:val="Subst"/>
          <w:b w:val="0"/>
          <w:bCs/>
          <w:i w:val="0"/>
          <w:iCs/>
        </w:rPr>
        <w:br/>
      </w:r>
      <w:r>
        <w:rPr>
          <w:rStyle w:val="Subst"/>
          <w:bCs/>
          <w:iCs/>
        </w:rPr>
        <w:t>- отсутствие кризисных явлений,</w:t>
      </w:r>
      <w:r>
        <w:rPr>
          <w:rStyle w:val="Subst"/>
          <w:bCs/>
          <w:iCs/>
        </w:rPr>
        <w:br/>
        <w:t>- стабильность рынка,</w:t>
      </w:r>
      <w:r>
        <w:rPr>
          <w:rStyle w:val="Subst"/>
          <w:bCs/>
          <w:iCs/>
        </w:rPr>
        <w:br/>
        <w:t>- повышение спроса на предлагаемые помещения и услуги Эмитента,</w:t>
      </w:r>
      <w:r>
        <w:rPr>
          <w:rStyle w:val="Subst"/>
          <w:bCs/>
          <w:iCs/>
        </w:rPr>
        <w:br/>
        <w:t>- увеличение арендных ставок при сохранении платежеспособности контрагентов.</w:t>
      </w:r>
      <w:r>
        <w:rPr>
          <w:rStyle w:val="Subst"/>
          <w:bCs/>
          <w:iCs/>
        </w:rPr>
        <w:br/>
        <w:t>Вероятность возникновения таких факторов оценивается Обществом как средняя. Предвидеть продолжительность указанных событий не представляется возможным в виду неопределенности развития экономической ситуации в России и в мире в целом.</w:t>
      </w:r>
    </w:p>
    <w:p w:rsidR="00AA7EE0" w:rsidRDefault="00AA7EE0" w:rsidP="00BB4B93">
      <w:pPr>
        <w:pStyle w:val="2"/>
        <w:jc w:val="both"/>
      </w:pPr>
      <w:bookmarkStart w:id="53" w:name="_Toc324431765"/>
      <w:r>
        <w:t>4.6.2. Конкуренты эмитента</w:t>
      </w:r>
      <w:bookmarkEnd w:id="53"/>
    </w:p>
    <w:p w:rsidR="00AA7EE0" w:rsidRDefault="00AA7EE0" w:rsidP="00BB4B93">
      <w:pPr>
        <w:ind w:left="200"/>
        <w:jc w:val="both"/>
      </w:pPr>
      <w:r>
        <w:rPr>
          <w:rStyle w:val="Subst"/>
          <w:bCs/>
          <w:iCs/>
        </w:rPr>
        <w:t>Рынок аренды помещений г. Москвы достаточно конкурентен, в том числе и в районе расположения Эмитента. Однако выгодное положение,  цены, соответствующие качеству помещений, позволяют привлекать арендаторов, в том числе и в условиях экономического кризиса.</w:t>
      </w:r>
    </w:p>
    <w:p w:rsidR="00AA7EE0" w:rsidRDefault="00AA7EE0" w:rsidP="00BB4B93">
      <w:pPr>
        <w:pStyle w:val="1"/>
        <w:jc w:val="both"/>
      </w:pPr>
      <w:bookmarkStart w:id="54" w:name="_Toc324431766"/>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4"/>
    </w:p>
    <w:p w:rsidR="00AA7EE0" w:rsidRDefault="00AA7EE0" w:rsidP="00BB4B93">
      <w:pPr>
        <w:pStyle w:val="2"/>
        <w:jc w:val="both"/>
      </w:pPr>
      <w:bookmarkStart w:id="55" w:name="_Toc324431767"/>
      <w:r>
        <w:t>5.1. Сведения о структуре и компетенции органов управления эмитента</w:t>
      </w:r>
      <w:bookmarkEnd w:id="55"/>
    </w:p>
    <w:p w:rsidR="00AA7EE0" w:rsidRDefault="00AA7EE0" w:rsidP="009723C8">
      <w:pPr>
        <w:ind w:left="200"/>
        <w:jc w:val="both"/>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В соответствии с положениями Устава Эмитента органами управления являются:</w:t>
      </w:r>
      <w:r>
        <w:rPr>
          <w:rStyle w:val="Subst"/>
          <w:bCs/>
          <w:iCs/>
        </w:rPr>
        <w:br/>
      </w:r>
      <w:r>
        <w:rPr>
          <w:rStyle w:val="Subst"/>
          <w:bCs/>
          <w:iCs/>
        </w:rPr>
        <w:tab/>
        <w:t>общее собрание акционеров – высший орган управления Обществом;</w:t>
      </w:r>
      <w:r>
        <w:rPr>
          <w:rStyle w:val="Subst"/>
          <w:bCs/>
          <w:iCs/>
        </w:rPr>
        <w:br/>
      </w:r>
      <w:r>
        <w:rPr>
          <w:rStyle w:val="Subst"/>
          <w:bCs/>
          <w:iCs/>
        </w:rPr>
        <w:tab/>
        <w:t>Совет директоров, осуществляющий общее руководство деятельностью Общества;</w:t>
      </w:r>
      <w:r>
        <w:rPr>
          <w:rStyle w:val="Subst"/>
          <w:bCs/>
          <w:iCs/>
        </w:rPr>
        <w:br/>
      </w:r>
      <w:r>
        <w:rPr>
          <w:rStyle w:val="Subst"/>
          <w:bCs/>
          <w:iCs/>
        </w:rPr>
        <w:tab/>
        <w:t>единоличный исполнительный орган – Генеральный директор.</w:t>
      </w:r>
      <w:r>
        <w:rPr>
          <w:rStyle w:val="Subst"/>
          <w:bCs/>
          <w:iCs/>
        </w:rPr>
        <w:br/>
      </w:r>
      <w:r>
        <w:rPr>
          <w:rStyle w:val="Subst"/>
          <w:bCs/>
          <w:iCs/>
        </w:rPr>
        <w:br/>
        <w:t>В соответствии со ст. 22 Устава Эмитента к компетенции общего собрания акционеров относятся следующие вопросы:</w:t>
      </w:r>
      <w:r>
        <w:rPr>
          <w:rStyle w:val="Subst"/>
          <w:bCs/>
          <w:iCs/>
        </w:rPr>
        <w:br/>
        <w:t>1)</w:t>
      </w:r>
      <w:r>
        <w:rPr>
          <w:rStyle w:val="Subst"/>
          <w:bCs/>
          <w:iCs/>
        </w:rPr>
        <w:tab/>
        <w:t>Внесение изменений и дополнений в Устав общества, утверждение Устава общества в новой редакции за исключением случаев, предусмотренных пунктами 2-4 статьи 60 Устава общества.</w:t>
      </w:r>
      <w:r>
        <w:rPr>
          <w:rStyle w:val="Subst"/>
          <w:bCs/>
          <w:iCs/>
        </w:rPr>
        <w:br/>
        <w:t>2)</w:t>
      </w:r>
      <w:r>
        <w:rPr>
          <w:rStyle w:val="Subst"/>
          <w:bCs/>
          <w:iCs/>
        </w:rPr>
        <w:tab/>
        <w:t>Реорганизация общества.</w:t>
      </w:r>
      <w:r>
        <w:rPr>
          <w:rStyle w:val="Subst"/>
          <w:bCs/>
          <w:iCs/>
        </w:rPr>
        <w:br/>
      </w:r>
      <w:r>
        <w:rPr>
          <w:rStyle w:val="Subst"/>
          <w:bCs/>
          <w:iCs/>
        </w:rPr>
        <w:lastRenderedPageBreak/>
        <w:t>3)</w:t>
      </w:r>
      <w:r>
        <w:rPr>
          <w:rStyle w:val="Subst"/>
          <w:bCs/>
          <w:iCs/>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bCs/>
          <w:iCs/>
        </w:rPr>
        <w:br/>
        <w:t>4) Выплата (объявление) дивидендов по результатам первого квартала, полугодия, девяти месяцев финансового года.</w:t>
      </w:r>
      <w:r>
        <w:rPr>
          <w:rStyle w:val="Subst"/>
          <w:bCs/>
          <w:iCs/>
        </w:rPr>
        <w:br/>
        <w:t>5)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bCs/>
          <w:iCs/>
        </w:rPr>
        <w:br/>
        <w:t>6) Избрание членов Совета директоров, досрочное прекращение их полномочий, установление вознаграждений членам Совета директоров.</w:t>
      </w:r>
      <w:r>
        <w:rPr>
          <w:rStyle w:val="Subst"/>
          <w:bCs/>
          <w:iCs/>
        </w:rPr>
        <w:br/>
        <w:t>7) Избрание ревизора, досрочное прекращение его полномочий, установление вознаграждений на основе рекомендации Совета директоров.</w:t>
      </w:r>
      <w:r>
        <w:rPr>
          <w:rStyle w:val="Subst"/>
          <w:bCs/>
          <w:iCs/>
        </w:rPr>
        <w:br/>
        <w:t>8) Определение порядка ведения общего собрания акционеров.</w:t>
      </w:r>
      <w:r>
        <w:rPr>
          <w:rStyle w:val="Subst"/>
          <w:bCs/>
          <w:iCs/>
        </w:rPr>
        <w:br/>
        <w:t>9) Утверждение аудитора общества.</w:t>
      </w:r>
      <w:r>
        <w:rPr>
          <w:rStyle w:val="Subst"/>
          <w:bCs/>
          <w:iCs/>
        </w:rPr>
        <w:br/>
        <w:t>10)</w:t>
      </w:r>
      <w:r>
        <w:rPr>
          <w:rStyle w:val="Subst"/>
          <w:bCs/>
          <w:iCs/>
        </w:rPr>
        <w:tab/>
        <w:t>Определение количества, номинальной стоимости, категории (типа) объявленных акций и прав, предоставляемых этими акциями.</w:t>
      </w:r>
      <w:r>
        <w:rPr>
          <w:rStyle w:val="Subst"/>
          <w:bCs/>
          <w:iCs/>
        </w:rPr>
        <w:br/>
        <w:t>11)</w:t>
      </w:r>
      <w:r>
        <w:rPr>
          <w:rStyle w:val="Subst"/>
          <w:bCs/>
          <w:iCs/>
        </w:rPr>
        <w:tab/>
        <w:t>Увеличение уставного капитала общества путем увеличения номинальной стоимости акций;</w:t>
      </w:r>
      <w:r>
        <w:rPr>
          <w:rStyle w:val="Subst"/>
          <w:bCs/>
          <w:iCs/>
        </w:rPr>
        <w:br/>
        <w:t>12)</w:t>
      </w:r>
      <w:r>
        <w:rPr>
          <w:rStyle w:val="Subst"/>
          <w:bCs/>
          <w:iCs/>
        </w:rPr>
        <w:tab/>
        <w:t>Увеличение уставного капитала общества путем размещения дополнительных акций за счет имущества общества, когда размещение дополнительных акций осуществляется посредством распределения их среди акционеров.</w:t>
      </w:r>
      <w:r>
        <w:rPr>
          <w:rStyle w:val="Subst"/>
          <w:bCs/>
          <w:iCs/>
        </w:rPr>
        <w:br/>
        <w:t>13) Увеличение уставного капитала общества путем размещения дополнительных акций посредством подписки, за исключением размещения посредством открытой подписки обыкновенных акций, составляющих 25 и менее процентов ранее размещенных обыкновенных акций, которое осуществляется по решению совета директоров;</w:t>
      </w:r>
      <w:r>
        <w:rPr>
          <w:rStyle w:val="Subst"/>
          <w:bCs/>
          <w:iCs/>
        </w:rPr>
        <w:br/>
        <w:t>14) Увеличение уставного капитала общества путем размещения посредством открытой или закрытой подписки эмиссионных ценных бумаг, конвертируемых в обыкновенные акции.</w:t>
      </w:r>
      <w:r>
        <w:rPr>
          <w:rStyle w:val="Subst"/>
          <w:bCs/>
          <w:iCs/>
        </w:rPr>
        <w:br/>
        <w:t>15) Размещение облигаций и иных эмиссионных ценных бумаг, конвертируемых в акции.</w:t>
      </w:r>
      <w:r>
        <w:rPr>
          <w:rStyle w:val="Subst"/>
          <w:bCs/>
          <w:iCs/>
        </w:rPr>
        <w:br/>
        <w:t>16) Уменьшение уставного капитала общества путем уменьшения номинальной стоимости акций.</w:t>
      </w:r>
      <w:r>
        <w:rPr>
          <w:rStyle w:val="Subst"/>
          <w:bCs/>
          <w:iCs/>
        </w:rPr>
        <w:br/>
        <w:t>17) Уменьшение уставного капитала путем приобретения по решению общего собрания размещенных акций общества в целях сокращения их общего количества.</w:t>
      </w:r>
      <w:r>
        <w:rPr>
          <w:rStyle w:val="Subst"/>
          <w:bCs/>
          <w:iCs/>
        </w:rPr>
        <w:br/>
        <w:t>18) Уменьшение уставного капитала общества путем погашения акций, приобретенных обществом в соответствии с пунктом 2 статьи 41 Устава общества и не реализованных в течение года с даты их приобретения.</w:t>
      </w:r>
      <w:r>
        <w:rPr>
          <w:rStyle w:val="Subst"/>
          <w:bCs/>
          <w:iCs/>
        </w:rPr>
        <w:br/>
        <w:t>19)</w:t>
      </w:r>
      <w:r>
        <w:rPr>
          <w:rStyle w:val="Subst"/>
          <w:bCs/>
          <w:iCs/>
        </w:rPr>
        <w:tab/>
        <w:t>Уменьшение уставного капитала общества путем погашения акций, выкупленных обществом по требованию акционеров в соответствии со статьей 43 Устава общества и не реализованных в течении года с даты их выкупа.</w:t>
      </w:r>
      <w:r>
        <w:rPr>
          <w:rStyle w:val="Subst"/>
          <w:bCs/>
          <w:iCs/>
        </w:rPr>
        <w:br/>
        <w:t>20) Дробление и консолидация акций;</w:t>
      </w:r>
      <w:r>
        <w:rPr>
          <w:rStyle w:val="Subst"/>
          <w:bCs/>
          <w:iCs/>
        </w:rPr>
        <w:br/>
        <w:t>21) Принятие решений об одобрении крупных сделок в случае, предусмотренном пунктом 2 статьи 47 Устава общества.</w:t>
      </w:r>
      <w:r>
        <w:rPr>
          <w:rStyle w:val="Subst"/>
          <w:bCs/>
          <w:iCs/>
        </w:rPr>
        <w:br/>
        <w:t>22) Принятие решений об одобрении крупных сделок в случае, предусмотренном пунктом 3 статьи 47 Устава общества.</w:t>
      </w:r>
      <w:r>
        <w:rPr>
          <w:rStyle w:val="Subst"/>
          <w:bCs/>
          <w:iCs/>
        </w:rPr>
        <w:br/>
        <w:t>23)</w:t>
      </w:r>
      <w:r>
        <w:rPr>
          <w:rStyle w:val="Subst"/>
          <w:bCs/>
          <w:iCs/>
        </w:rPr>
        <w:tab/>
        <w:t>Принятие решений об одобрении сделок в случаях, предусмотренных статьей 50 Устава</w:t>
      </w:r>
      <w:r>
        <w:rPr>
          <w:rStyle w:val="Subst"/>
          <w:bCs/>
          <w:iCs/>
        </w:rPr>
        <w:br/>
        <w:t>общества.</w:t>
      </w:r>
      <w:r>
        <w:rPr>
          <w:rStyle w:val="Subst"/>
          <w:bCs/>
          <w:iCs/>
        </w:rPr>
        <w:br/>
        <w:t>24) Принятие решения о приобретении обществом размещенных акций в случае, предусмотренном пунктом 2 статьи 41 Устава общества.</w:t>
      </w:r>
      <w:r>
        <w:rPr>
          <w:rStyle w:val="Subst"/>
          <w:bCs/>
          <w:iCs/>
        </w:rPr>
        <w:br/>
        <w:t>25) Принятие решения о проверке финансово-хозяйственной деятельности общества ревизором за год, а также во всякое время.</w:t>
      </w:r>
      <w:r>
        <w:rPr>
          <w:rStyle w:val="Subst"/>
          <w:bCs/>
          <w:iCs/>
        </w:rPr>
        <w:br/>
        <w:t>26)</w:t>
      </w:r>
      <w:r>
        <w:rPr>
          <w:rStyle w:val="Subst"/>
          <w:bCs/>
          <w:iCs/>
        </w:rPr>
        <w:tab/>
        <w:t>Принятие решения о возмещении расходов по подготовке и проведению внеочередного</w:t>
      </w:r>
      <w:r>
        <w:rPr>
          <w:rStyle w:val="Subst"/>
          <w:bCs/>
          <w:iCs/>
        </w:rPr>
        <w:br/>
        <w:t>собрания - инициаторам его проведения.</w:t>
      </w:r>
      <w:r>
        <w:rPr>
          <w:rStyle w:val="Subst"/>
          <w:bCs/>
          <w:iCs/>
        </w:rPr>
        <w:br/>
        <w:t>27) Принятие решения об участии общества в финансово-промышленных группах, ассоциациях и иных объединениях коммерческих организаций.</w:t>
      </w:r>
      <w:r>
        <w:rPr>
          <w:rStyle w:val="Subst"/>
          <w:bCs/>
          <w:iCs/>
        </w:rPr>
        <w:br/>
        <w:t>28) Утверждение внутренних документов, регулирующих деятельность органов общества.</w:t>
      </w:r>
      <w:r>
        <w:rPr>
          <w:rStyle w:val="Subst"/>
          <w:bCs/>
          <w:iCs/>
        </w:rPr>
        <w:br/>
        <w:t>29) Решение иных вопросов, предусмотренных Федеральным законом «Об акционерных обществах» и Уставом общества.</w:t>
      </w:r>
      <w:r>
        <w:rPr>
          <w:rStyle w:val="Subst"/>
          <w:bCs/>
          <w:iCs/>
        </w:rPr>
        <w:br/>
        <w:t>2. Вопросы, отнесенные к компетенции Общего собрания, не могут быть переданы на решение исполнительным органам общества.</w:t>
      </w:r>
      <w:r>
        <w:rPr>
          <w:rStyle w:val="Subst"/>
          <w:bCs/>
          <w:iCs/>
        </w:rPr>
        <w:br/>
        <w:t>Вопросы, отнесенные к компетенции Общего собрания, не могут быть переданы на решение Совету директоров общества, за исключением вопросов, предусмотренных Федеральным законом «Об акционерных обществах».</w:t>
      </w:r>
      <w:r>
        <w:rPr>
          <w:rStyle w:val="Subst"/>
          <w:bCs/>
          <w:iCs/>
        </w:rPr>
        <w:br/>
      </w:r>
      <w:r>
        <w:rPr>
          <w:rStyle w:val="Subst"/>
          <w:bCs/>
          <w:iCs/>
        </w:rPr>
        <w:br/>
        <w:t xml:space="preserve">В соответствии со ст. 35 Устава Эмитента к компетенции Совета директоров относятся </w:t>
      </w:r>
      <w:r>
        <w:rPr>
          <w:rStyle w:val="Subst"/>
          <w:bCs/>
          <w:iCs/>
        </w:rPr>
        <w:lastRenderedPageBreak/>
        <w:t>следующие вопросы:</w:t>
      </w:r>
      <w:r>
        <w:rPr>
          <w:rStyle w:val="Subst"/>
          <w:bCs/>
          <w:iCs/>
        </w:rPr>
        <w:br/>
        <w:t>1)</w:t>
      </w:r>
      <w:r>
        <w:rPr>
          <w:rStyle w:val="Subst"/>
          <w:bCs/>
          <w:iCs/>
        </w:rPr>
        <w:tab/>
        <w:t>Определение приоритетных направлений деятельности общества.</w:t>
      </w:r>
      <w:r>
        <w:rPr>
          <w:rStyle w:val="Subst"/>
          <w:bCs/>
          <w:iCs/>
        </w:rPr>
        <w:br/>
        <w:t>2)</w:t>
      </w:r>
      <w:r>
        <w:rPr>
          <w:rStyle w:val="Subst"/>
          <w:bCs/>
          <w:iCs/>
        </w:rPr>
        <w:tab/>
        <w:t>Принятие решения о созыве годового и внеочередного Общих собраний, за исключением</w:t>
      </w:r>
      <w:r>
        <w:rPr>
          <w:rStyle w:val="Subst"/>
          <w:bCs/>
          <w:iCs/>
        </w:rPr>
        <w:br/>
        <w:t>случаев, предусмотренных пунктом 8 статьи 28 настоящего Устава.</w:t>
      </w:r>
      <w:r>
        <w:rPr>
          <w:rStyle w:val="Subst"/>
          <w:bCs/>
          <w:iCs/>
        </w:rPr>
        <w:br/>
        <w:t>3)</w:t>
      </w:r>
      <w:r>
        <w:rPr>
          <w:rStyle w:val="Subst"/>
          <w:bCs/>
          <w:iCs/>
        </w:rPr>
        <w:tab/>
        <w:t>Утверждение повестки дня Общего собрания.</w:t>
      </w:r>
      <w:r>
        <w:rPr>
          <w:rStyle w:val="Subst"/>
          <w:bCs/>
          <w:iCs/>
        </w:rPr>
        <w:br/>
        <w:t>4)</w:t>
      </w:r>
      <w:r>
        <w:rPr>
          <w:rStyle w:val="Subst"/>
          <w:bCs/>
          <w:iCs/>
        </w:rPr>
        <w:tab/>
        <w:t>Определение даты составления списка лиц, имеющих право на участие в Общем собрании, и другие вопросы, отнесенные к компетенции Совета директоров в соответствии с положениями главы VI настоящего Устава и связанные с подготовкой и проведением Общего собрания.</w:t>
      </w:r>
      <w:r>
        <w:rPr>
          <w:rStyle w:val="Subst"/>
          <w:bCs/>
          <w:iCs/>
        </w:rPr>
        <w:br/>
        <w:t>5)</w:t>
      </w:r>
      <w:r>
        <w:rPr>
          <w:rStyle w:val="Subst"/>
          <w:bCs/>
          <w:iCs/>
        </w:rPr>
        <w:tab/>
        <w:t>Совет директоров предлагает для включения в повестку дня Общего собрания вопросы:</w:t>
      </w:r>
      <w:r>
        <w:rPr>
          <w:rStyle w:val="Subst"/>
          <w:bCs/>
          <w:iCs/>
        </w:rPr>
        <w:br/>
      </w:r>
      <w:r>
        <w:rPr>
          <w:rStyle w:val="Subst"/>
          <w:bCs/>
          <w:iCs/>
        </w:rPr>
        <w:tab/>
        <w:t>о реорганизации общества;</w:t>
      </w:r>
      <w:r>
        <w:rPr>
          <w:rStyle w:val="Subst"/>
          <w:bCs/>
          <w:iCs/>
        </w:rPr>
        <w:br/>
      </w:r>
      <w:r>
        <w:rPr>
          <w:rStyle w:val="Subst"/>
          <w:bCs/>
          <w:iCs/>
        </w:rPr>
        <w:tab/>
        <w:t>об увеличении уставного капитала общества путем увеличения номинальной стоимости акций;</w:t>
      </w:r>
      <w:r>
        <w:rPr>
          <w:rStyle w:val="Subst"/>
          <w:bCs/>
          <w:iCs/>
        </w:rPr>
        <w:br/>
      </w:r>
      <w:r>
        <w:rPr>
          <w:rStyle w:val="Subst"/>
          <w:bCs/>
          <w:iCs/>
        </w:rPr>
        <w:tab/>
        <w:t>об увеличении уставного капитала общества путем размещения дополнительных акций за счет имущества общества, когда размещение дополнительных акций осуществляется посредством распределения их среди акционеров;</w:t>
      </w:r>
      <w:r>
        <w:rPr>
          <w:rStyle w:val="Subst"/>
          <w:bCs/>
          <w:iCs/>
        </w:rPr>
        <w:br/>
      </w:r>
      <w:r>
        <w:rPr>
          <w:rStyle w:val="Subst"/>
          <w:bCs/>
          <w:iCs/>
        </w:rPr>
        <w:tab/>
        <w:t>об увеличении уставного капитала общества путем размещения дополнительных акций по открытой или закрытой подписке;</w:t>
      </w:r>
      <w:r>
        <w:rPr>
          <w:rStyle w:val="Subst"/>
          <w:bCs/>
          <w:iCs/>
        </w:rPr>
        <w:br/>
      </w:r>
      <w:r>
        <w:rPr>
          <w:rStyle w:val="Subst"/>
          <w:bCs/>
          <w:iCs/>
        </w:rPr>
        <w:tab/>
        <w:t>об увеличении уставного капитала общества путем размещения посредством открытой или закрытой подписки эмиссионных ценных бумаг, конвертируемых в обыкновенные акции;</w:t>
      </w:r>
      <w:r>
        <w:rPr>
          <w:rStyle w:val="Subst"/>
          <w:bCs/>
          <w:iCs/>
        </w:rPr>
        <w:br/>
      </w:r>
      <w:r>
        <w:rPr>
          <w:rStyle w:val="Subst"/>
          <w:bCs/>
          <w:iCs/>
        </w:rPr>
        <w:tab/>
        <w:t>о размещении облигаций и иных эмиссионных ценных бумаг, конвертируемых в акции;</w:t>
      </w:r>
      <w:r>
        <w:rPr>
          <w:rStyle w:val="Subst"/>
          <w:bCs/>
          <w:iCs/>
        </w:rPr>
        <w:br/>
      </w:r>
      <w:r>
        <w:rPr>
          <w:rStyle w:val="Subst"/>
          <w:bCs/>
          <w:iCs/>
        </w:rPr>
        <w:tab/>
        <w:t>о дроблении и консолидации акций;</w:t>
      </w:r>
      <w:r>
        <w:rPr>
          <w:rStyle w:val="Subst"/>
          <w:bCs/>
          <w:iCs/>
        </w:rPr>
        <w:br/>
      </w:r>
      <w:r>
        <w:rPr>
          <w:rStyle w:val="Subst"/>
          <w:bCs/>
          <w:iCs/>
        </w:rPr>
        <w:tab/>
        <w:t>об одобрении крупных сделок в случаях, предусмотренных пунктом 2 статьи 47 Устава общества;</w:t>
      </w:r>
      <w:r>
        <w:rPr>
          <w:rStyle w:val="Subst"/>
          <w:bCs/>
          <w:iCs/>
        </w:rPr>
        <w:br/>
      </w:r>
      <w:r>
        <w:rPr>
          <w:rStyle w:val="Subst"/>
          <w:bCs/>
          <w:iCs/>
        </w:rPr>
        <w:tab/>
        <w:t>об одобрении крупных сделок и случаях, предусмотренных пунктом 3 статьи 47 Устава общества;</w:t>
      </w:r>
      <w:r>
        <w:rPr>
          <w:rStyle w:val="Subst"/>
          <w:bCs/>
          <w:iCs/>
        </w:rPr>
        <w:br/>
      </w:r>
      <w:r>
        <w:rPr>
          <w:rStyle w:val="Subst"/>
          <w:bCs/>
          <w:iCs/>
        </w:rPr>
        <w:tab/>
        <w:t>об одобрении сделок в случаях, предусмотренных статьей 50 Устава общества;</w:t>
      </w:r>
      <w:r>
        <w:rPr>
          <w:rStyle w:val="Subst"/>
          <w:bCs/>
          <w:iCs/>
        </w:rPr>
        <w:br/>
      </w:r>
      <w:r>
        <w:rPr>
          <w:rStyle w:val="Subst"/>
          <w:bCs/>
          <w:iCs/>
        </w:rPr>
        <w:tab/>
        <w:t>о приобретении обществом размещенных акций в случае, предусмотренном пунктом 2 статьи 41 Устава общества;</w:t>
      </w:r>
      <w:r>
        <w:rPr>
          <w:rStyle w:val="Subst"/>
          <w:bCs/>
          <w:iCs/>
        </w:rPr>
        <w:br/>
      </w:r>
      <w:r>
        <w:rPr>
          <w:rStyle w:val="Subst"/>
          <w:bCs/>
          <w:iCs/>
        </w:rPr>
        <w:tab/>
        <w:t>об участии общества в финансово-промышленных группах, ассоциациях и иных объединениях коммерческих организаций;</w:t>
      </w:r>
      <w:r>
        <w:rPr>
          <w:rStyle w:val="Subst"/>
          <w:bCs/>
          <w:iCs/>
        </w:rPr>
        <w:br/>
      </w:r>
      <w:r>
        <w:rPr>
          <w:rStyle w:val="Subst"/>
          <w:bCs/>
          <w:iCs/>
        </w:rPr>
        <w:tab/>
        <w:t>о ликвидации общества, назначении ликвидационной комиссии и утверждении ликвидационных балансов (в случае добровольной ликвидации общества);</w:t>
      </w:r>
      <w:r>
        <w:rPr>
          <w:rStyle w:val="Subst"/>
          <w:bCs/>
          <w:iCs/>
        </w:rPr>
        <w:br/>
      </w:r>
      <w:r>
        <w:rPr>
          <w:rStyle w:val="Subst"/>
          <w:bCs/>
          <w:iCs/>
        </w:rPr>
        <w:tab/>
        <w:t>утверждение годового отчета, годовой бухгалтерской отчетности, в том числе отчета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r>
        <w:rPr>
          <w:rStyle w:val="Subst"/>
          <w:bCs/>
          <w:iCs/>
        </w:rPr>
        <w:br/>
      </w:r>
      <w:r>
        <w:rPr>
          <w:rStyle w:val="Subst"/>
          <w:bCs/>
          <w:iCs/>
        </w:rPr>
        <w:tab/>
        <w:t>установление вознаграждения и его размера ревизору общества;</w:t>
      </w:r>
      <w:r>
        <w:rPr>
          <w:rStyle w:val="Subst"/>
          <w:bCs/>
          <w:iCs/>
        </w:rPr>
        <w:br/>
      </w:r>
      <w:r>
        <w:rPr>
          <w:rStyle w:val="Subst"/>
          <w:bCs/>
          <w:iCs/>
        </w:rPr>
        <w:tab/>
        <w:t>об утверждении внутренних документов, регулирующих деятельность органов общества, внесение изменений и дополнений в них;</w:t>
      </w:r>
      <w:r>
        <w:rPr>
          <w:rStyle w:val="Subst"/>
          <w:bCs/>
          <w:iCs/>
        </w:rPr>
        <w:br/>
      </w:r>
      <w:r>
        <w:rPr>
          <w:rStyle w:val="Subst"/>
          <w:bCs/>
          <w:iCs/>
        </w:rPr>
        <w:tab/>
        <w:t>иные вопросы по усмотрению Совета директоров в случаях, предусмотренных пунктом 7 статьи 27 Устава общества.</w:t>
      </w:r>
      <w:r>
        <w:rPr>
          <w:rStyle w:val="Subst"/>
          <w:bCs/>
          <w:iCs/>
        </w:rPr>
        <w:br/>
        <w:t>6) Принятие решения об отказе в созыве внеочередного Общего собрания, инициируемого аудитором, ревизором общества или акционерами по основаниям, предусмотренным Федеральным законом «Об акционерных обществах».</w:t>
      </w:r>
      <w:r>
        <w:rPr>
          <w:rStyle w:val="Subst"/>
          <w:bCs/>
          <w:iCs/>
        </w:rPr>
        <w:br/>
        <w:t>7) Принятие решения о включении в повестку дня Общего собрания или об отказе во включении в указанную повестку дня предложений, выдвинутых акционерами.</w:t>
      </w:r>
      <w:r>
        <w:rPr>
          <w:rStyle w:val="Subst"/>
          <w:bCs/>
          <w:iCs/>
        </w:rPr>
        <w:br/>
        <w:t>8)</w:t>
      </w:r>
      <w:r>
        <w:rPr>
          <w:rStyle w:val="Subst"/>
          <w:bCs/>
          <w:iCs/>
        </w:rPr>
        <w:tab/>
        <w:t>Утверждение списка кандидатов для включения в бюллетени для голосования по выборам членов Совета директоров и ревизора общества.</w:t>
      </w:r>
      <w:r>
        <w:rPr>
          <w:rStyle w:val="Subst"/>
          <w:bCs/>
          <w:iCs/>
        </w:rPr>
        <w:br/>
        <w:t>9)</w:t>
      </w:r>
      <w:r>
        <w:rPr>
          <w:rStyle w:val="Subst"/>
          <w:bCs/>
          <w:iCs/>
        </w:rPr>
        <w:tab/>
        <w:t>Предварительное утверждение и представление Общему собранию годового отчета.</w:t>
      </w:r>
      <w:r>
        <w:rPr>
          <w:rStyle w:val="Subst"/>
          <w:bCs/>
          <w:iCs/>
        </w:rPr>
        <w:br/>
        <w:t>10)</w:t>
      </w:r>
      <w:r>
        <w:rPr>
          <w:rStyle w:val="Subst"/>
          <w:bCs/>
          <w:iCs/>
        </w:rPr>
        <w:tab/>
        <w:t>Назначение Генерального директора - единоличного исполнительного органа общества.</w:t>
      </w:r>
      <w:r>
        <w:rPr>
          <w:rStyle w:val="Subst"/>
          <w:bCs/>
          <w:iCs/>
        </w:rPr>
        <w:br/>
        <w:t>Принятие решения о досрочном прекращении полномочий Генерального директора и назначении нового исполнительного органа (генерального директора).</w:t>
      </w:r>
      <w:r>
        <w:rPr>
          <w:rStyle w:val="Subst"/>
          <w:bCs/>
          <w:iCs/>
        </w:rPr>
        <w:br/>
        <w:t xml:space="preserve">Принятие решения о заключении договора с Генеральным директором. </w:t>
      </w:r>
      <w:r>
        <w:rPr>
          <w:rStyle w:val="Subst"/>
          <w:bCs/>
          <w:iCs/>
        </w:rPr>
        <w:br/>
        <w:t>Принятие решения о прекращении договора с Генеральным директором.</w:t>
      </w:r>
      <w:r>
        <w:rPr>
          <w:rStyle w:val="Subst"/>
          <w:bCs/>
          <w:iCs/>
        </w:rPr>
        <w:br/>
        <w:t>11)</w:t>
      </w:r>
      <w:r>
        <w:rPr>
          <w:rStyle w:val="Subst"/>
          <w:bCs/>
          <w:iCs/>
        </w:rPr>
        <w:tab/>
        <w:t>Избрание председателя Совета директоров.</w:t>
      </w:r>
      <w:r>
        <w:rPr>
          <w:rStyle w:val="Subst"/>
          <w:bCs/>
          <w:iCs/>
        </w:rPr>
        <w:br/>
        <w:t>12)</w:t>
      </w:r>
      <w:r>
        <w:rPr>
          <w:rStyle w:val="Subst"/>
          <w:bCs/>
          <w:iCs/>
        </w:rPr>
        <w:tab/>
        <w:t>Принятие решения по рекомендации о размере выплачиваемых ревизору общества</w:t>
      </w:r>
      <w:r>
        <w:rPr>
          <w:rStyle w:val="Subst"/>
          <w:bCs/>
          <w:iCs/>
        </w:rPr>
        <w:br/>
        <w:t>вознаграждений.</w:t>
      </w:r>
      <w:r>
        <w:rPr>
          <w:rStyle w:val="Subst"/>
          <w:bCs/>
          <w:iCs/>
        </w:rPr>
        <w:br/>
        <w:t>13)</w:t>
      </w:r>
      <w:r>
        <w:rPr>
          <w:rStyle w:val="Subst"/>
          <w:bCs/>
          <w:iCs/>
        </w:rPr>
        <w:tab/>
        <w:t>Определение размера оплаты услуг аудитора.</w:t>
      </w:r>
      <w:r>
        <w:rPr>
          <w:rStyle w:val="Subst"/>
          <w:bCs/>
          <w:iCs/>
        </w:rPr>
        <w:br/>
        <w:t>14)</w:t>
      </w:r>
      <w:r>
        <w:rPr>
          <w:rStyle w:val="Subst"/>
          <w:bCs/>
          <w:iCs/>
        </w:rPr>
        <w:tab/>
        <w:t>Внесение по своему усмотрению в повестку дня Общего собрания вопросов, помимо вопросов, предложенных для включения в повестку дня Общего собрания акционерами, а также в случае отсутствия таких предложений.</w:t>
      </w:r>
      <w:r>
        <w:rPr>
          <w:rStyle w:val="Subst"/>
          <w:bCs/>
          <w:iCs/>
        </w:rPr>
        <w:br/>
        <w:t>15) Внесение по своему усмотрению кандидатов в списки кандидатур по выборам в состав Совета директоров и ревизором общества в случае отсутствия или недостаточного количества кандидатов, предложенных акционерами для образования соответствующих органов.</w:t>
      </w:r>
      <w:r>
        <w:rPr>
          <w:rStyle w:val="Subst"/>
          <w:bCs/>
          <w:iCs/>
        </w:rPr>
        <w:br/>
      </w:r>
      <w:r>
        <w:rPr>
          <w:rStyle w:val="Subst"/>
          <w:bCs/>
          <w:iCs/>
        </w:rPr>
        <w:lastRenderedPageBreak/>
        <w:t>16) Принятие решения по рекомендации о размере дивиденда по акциям и порядке его выплаты.</w:t>
      </w:r>
      <w:r>
        <w:rPr>
          <w:rStyle w:val="Subst"/>
          <w:bCs/>
          <w:iCs/>
        </w:rPr>
        <w:br/>
        <w:t>17) Принятие решения о приобретении размещенных обществом акций в соответствии с пунктом 2 статьи 41 Устава общества.</w:t>
      </w:r>
      <w:r>
        <w:rPr>
          <w:rStyle w:val="Subst"/>
          <w:bCs/>
          <w:iCs/>
        </w:rPr>
        <w:br/>
        <w:t>18) Утверждение отчета об итогах приобретения акций общества.</w:t>
      </w:r>
      <w:r>
        <w:rPr>
          <w:rStyle w:val="Subst"/>
          <w:bCs/>
          <w:iCs/>
        </w:rPr>
        <w:br/>
        <w:t>19) Утверждение решений о выпуске акций и иных эмиссионных ценных бумаг.</w:t>
      </w:r>
      <w:r>
        <w:rPr>
          <w:rStyle w:val="Subst"/>
          <w:bCs/>
          <w:iCs/>
        </w:rPr>
        <w:br/>
        <w:t>20) Принятие решения об увеличении уставного капитала общества путем размещения посредством открытой подписки обыкновенных акций, составляющих 25 процентов и менее ранее размещенных обыкновенных акций.</w:t>
      </w:r>
      <w:r>
        <w:rPr>
          <w:rStyle w:val="Subst"/>
          <w:bCs/>
          <w:iCs/>
        </w:rPr>
        <w:br/>
        <w:t>21)</w:t>
      </w:r>
      <w:r>
        <w:rPr>
          <w:rStyle w:val="Subst"/>
          <w:bCs/>
          <w:iCs/>
        </w:rPr>
        <w:tab/>
        <w:t>Принятие решения о приобретении размешенных обществом акций, облигаций и иных ценных бумаг в случаях, предусмотренных Федеральным законом «Об акционерных обществах» и Уставом общества.</w:t>
      </w:r>
      <w:r>
        <w:rPr>
          <w:rStyle w:val="Subst"/>
          <w:bCs/>
          <w:iCs/>
        </w:rPr>
        <w:br/>
        <w:t>22) Принятие решения о создании и ликвидации филиалов, открытии и ликвидации представительств общества, утверждение, внесение изменений и дополнений в положения о филиалах и представительствах.</w:t>
      </w:r>
      <w:r>
        <w:rPr>
          <w:rStyle w:val="Subst"/>
          <w:bCs/>
          <w:iCs/>
        </w:rPr>
        <w:br/>
        <w:t>23) Внесение в Устав общества изменений, связанных с созданием филиалов, открытием представительств общества и их ликвидацией.</w:t>
      </w:r>
      <w:r>
        <w:rPr>
          <w:rStyle w:val="Subst"/>
          <w:bCs/>
          <w:iCs/>
        </w:rPr>
        <w:br/>
        <w:t>24)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и Уставом общества к компетенции Общего собрания.</w:t>
      </w:r>
      <w:r>
        <w:rPr>
          <w:rStyle w:val="Subst"/>
          <w:bCs/>
          <w:iCs/>
        </w:rPr>
        <w:br/>
        <w:t>25) Принятие решения о даче согласия на совмещение генеральным директором общества и членами правления общества должностей в органах управления других акционерных обществ, иных организаций.</w:t>
      </w:r>
      <w:r>
        <w:rPr>
          <w:rStyle w:val="Subst"/>
          <w:bCs/>
          <w:iCs/>
        </w:rPr>
        <w:br/>
        <w:t>26)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 и Уставом общества.</w:t>
      </w:r>
      <w:r>
        <w:rPr>
          <w:rStyle w:val="Subst"/>
          <w:bCs/>
          <w:iCs/>
        </w:rPr>
        <w:br/>
        <w:t>27) Принятие решения об одобрении крупной сделки, предметом которой является имущество, стоимость которого составляет от 25 до 50 процентов балансовой стоимости активов общества.</w:t>
      </w:r>
      <w:r>
        <w:rPr>
          <w:rStyle w:val="Subst"/>
          <w:bCs/>
          <w:iCs/>
        </w:rPr>
        <w:br/>
        <w:t>28) Принятие решений об одобрении сделок, предусмотренных главой X Устава общества.</w:t>
      </w:r>
      <w:r>
        <w:rPr>
          <w:rStyle w:val="Subst"/>
          <w:bCs/>
          <w:iCs/>
        </w:rPr>
        <w:br/>
        <w:t>29) Принятие решения об использовании резервного фонда и иных фондов общества.</w:t>
      </w:r>
      <w:r>
        <w:rPr>
          <w:rStyle w:val="Subst"/>
          <w:bCs/>
          <w:iCs/>
        </w:rPr>
        <w:br/>
        <w:t>30)</w:t>
      </w:r>
      <w:r>
        <w:rPr>
          <w:rStyle w:val="Subst"/>
          <w:bCs/>
          <w:iCs/>
        </w:rPr>
        <w:tab/>
        <w:t>Утверждение регистратора общества и условий договора с ним, а также расторжение договора с ним.</w:t>
      </w:r>
      <w:r>
        <w:rPr>
          <w:rStyle w:val="Subst"/>
          <w:bCs/>
          <w:iCs/>
        </w:rPr>
        <w:br/>
        <w:t>31)</w:t>
      </w:r>
      <w:r>
        <w:rPr>
          <w:rStyle w:val="Subst"/>
          <w:bCs/>
          <w:iCs/>
        </w:rPr>
        <w:tab/>
        <w:t>Принятие во всякое время решения о проверке финансово-хозяйственной деятельности</w:t>
      </w:r>
      <w:r>
        <w:rPr>
          <w:rStyle w:val="Subst"/>
          <w:bCs/>
          <w:iCs/>
        </w:rPr>
        <w:br/>
        <w:t>общества.</w:t>
      </w:r>
      <w:r>
        <w:rPr>
          <w:rStyle w:val="Subst"/>
          <w:bCs/>
          <w:iCs/>
        </w:rPr>
        <w:br/>
        <w:t>32) Принятие решений об участии и о прекращении участия общества в других организациях (за исключением организаций, указанных в подпункте 27) пункта 1 статьи 22 настоящего Устава).</w:t>
      </w:r>
      <w:r>
        <w:rPr>
          <w:rStyle w:val="Subst"/>
          <w:bCs/>
          <w:iCs/>
        </w:rPr>
        <w:br/>
        <w:t>33) Принятие решений о заключении сделок, предметом которых является имущество, стоимость которого превышает 10 % балансовой стоимости активов общества, определенной по данным его бухгалтерской отчетности на последнюю отчетную дату. Принятие такого решения не требуется для заключения сделок, совершаемых в процессе обычной хозяйственной деятельности Общества, сделок, связанных с размещением посредством подписки (реализацией) обыкновенных акций общества, и сделок, связанных с размещением эмиссионных ценных бумаг, конвертируемых в обыкновенные акции общества.</w:t>
      </w:r>
      <w:r>
        <w:rPr>
          <w:rStyle w:val="Subst"/>
          <w:bCs/>
          <w:iCs/>
        </w:rPr>
        <w:br/>
        <w:t>34) Решение иных вопросов, предусмотренных Федеральным законом «Об акционерных обществах» и Уставом общества.</w:t>
      </w:r>
      <w:r>
        <w:rPr>
          <w:rStyle w:val="Subst"/>
          <w:bCs/>
          <w:iCs/>
        </w:rPr>
        <w:br/>
      </w:r>
      <w:r>
        <w:rPr>
          <w:rStyle w:val="Subst"/>
          <w:bCs/>
          <w:iCs/>
        </w:rPr>
        <w:br/>
        <w:t>В соответствии со ст. 39 Устава Эмитента к компетенции Генерального директора относятся следующие вопросы:</w:t>
      </w:r>
      <w:r>
        <w:rPr>
          <w:rStyle w:val="Subst"/>
          <w:bCs/>
          <w:iCs/>
        </w:rPr>
        <w:br/>
        <w:t>К компетенции исполнительных органов общества относятся все вопросы руководства текущей деятельностью общества за исключением вопросов, внесенных Уставом общества к компетенции Общего собрания и Совета директоров общества.</w:t>
      </w:r>
      <w:r>
        <w:rPr>
          <w:rStyle w:val="Subst"/>
          <w:bCs/>
          <w:iCs/>
        </w:rPr>
        <w:br/>
        <w:t>Генеральный директор общества:</w:t>
      </w:r>
      <w:r>
        <w:rPr>
          <w:rStyle w:val="Subst"/>
          <w:bCs/>
          <w:iCs/>
        </w:rPr>
        <w:br/>
        <w:t>•</w:t>
      </w:r>
      <w:r>
        <w:rPr>
          <w:rStyle w:val="Subst"/>
          <w:bCs/>
          <w:iCs/>
        </w:rPr>
        <w:tab/>
        <w:t>действует от имени общества без доверенности;</w:t>
      </w:r>
      <w:r>
        <w:rPr>
          <w:rStyle w:val="Subst"/>
          <w:bCs/>
          <w:iCs/>
        </w:rPr>
        <w:br/>
        <w:t>•</w:t>
      </w:r>
      <w:r>
        <w:rPr>
          <w:rStyle w:val="Subst"/>
          <w:bCs/>
          <w:iCs/>
        </w:rPr>
        <w:tab/>
        <w:t>осуществляет руководство текущей деятельностью общества;</w:t>
      </w:r>
      <w:r>
        <w:rPr>
          <w:rStyle w:val="Subst"/>
          <w:bCs/>
          <w:iCs/>
        </w:rPr>
        <w:br/>
        <w:t>•</w:t>
      </w:r>
      <w:r>
        <w:rPr>
          <w:rStyle w:val="Subst"/>
          <w:bCs/>
          <w:iCs/>
        </w:rPr>
        <w:tab/>
        <w:t>представляет интересы общества как в Российской Федерации, так за пределами ее территории;</w:t>
      </w:r>
      <w:r>
        <w:rPr>
          <w:rStyle w:val="Subst"/>
          <w:bCs/>
          <w:iCs/>
        </w:rPr>
        <w:br/>
        <w:t>•</w:t>
      </w:r>
      <w:r>
        <w:rPr>
          <w:rStyle w:val="Subst"/>
          <w:bCs/>
          <w:iCs/>
        </w:rPr>
        <w:tab/>
        <w:t>имеет право первой подписи под финансовыми документами общества;</w:t>
      </w:r>
      <w:r>
        <w:rPr>
          <w:rStyle w:val="Subst"/>
          <w:bCs/>
          <w:iCs/>
        </w:rPr>
        <w:br/>
        <w:t>•</w:t>
      </w:r>
      <w:r>
        <w:rPr>
          <w:rStyle w:val="Subst"/>
          <w:bCs/>
          <w:iCs/>
        </w:rPr>
        <w:tab/>
        <w:t>утверждает структуру управления предприятием;</w:t>
      </w:r>
      <w:r>
        <w:rPr>
          <w:rStyle w:val="Subst"/>
          <w:bCs/>
          <w:iCs/>
        </w:rPr>
        <w:br/>
        <w:t>•</w:t>
      </w:r>
      <w:r>
        <w:rPr>
          <w:rStyle w:val="Subst"/>
          <w:bCs/>
          <w:iCs/>
        </w:rPr>
        <w:tab/>
        <w:t>утверждает штатное расписание;</w:t>
      </w:r>
      <w:r>
        <w:rPr>
          <w:rStyle w:val="Subst"/>
          <w:bCs/>
          <w:iCs/>
        </w:rPr>
        <w:br/>
        <w:t>•</w:t>
      </w:r>
      <w:r>
        <w:rPr>
          <w:rStyle w:val="Subst"/>
          <w:bCs/>
          <w:iCs/>
        </w:rPr>
        <w:tab/>
        <w:t>утверждает должностные инструкции;</w:t>
      </w:r>
      <w:r>
        <w:rPr>
          <w:rStyle w:val="Subst"/>
          <w:bCs/>
          <w:iCs/>
        </w:rPr>
        <w:br/>
        <w:t>•</w:t>
      </w:r>
      <w:r>
        <w:rPr>
          <w:rStyle w:val="Subst"/>
          <w:bCs/>
          <w:iCs/>
        </w:rPr>
        <w:tab/>
        <w:t>утверждает положения об оплате труда;</w:t>
      </w:r>
      <w:r>
        <w:rPr>
          <w:rStyle w:val="Subst"/>
          <w:bCs/>
          <w:iCs/>
        </w:rPr>
        <w:br/>
        <w:t>•</w:t>
      </w:r>
      <w:r>
        <w:rPr>
          <w:rStyle w:val="Subst"/>
          <w:bCs/>
          <w:iCs/>
        </w:rPr>
        <w:tab/>
        <w:t>заключает соглашения, договоры, трудовые договоры;</w:t>
      </w:r>
      <w:r>
        <w:rPr>
          <w:rStyle w:val="Subst"/>
          <w:bCs/>
          <w:iCs/>
        </w:rPr>
        <w:br/>
        <w:t>•</w:t>
      </w:r>
      <w:r>
        <w:rPr>
          <w:rStyle w:val="Subst"/>
          <w:bCs/>
          <w:iCs/>
        </w:rPr>
        <w:tab/>
        <w:t>заключает от имени общества коллективный договор;</w:t>
      </w:r>
      <w:r>
        <w:rPr>
          <w:rStyle w:val="Subst"/>
          <w:bCs/>
          <w:iCs/>
        </w:rPr>
        <w:br/>
        <w:t>•</w:t>
      </w:r>
      <w:r>
        <w:rPr>
          <w:rStyle w:val="Subst"/>
          <w:bCs/>
          <w:iCs/>
        </w:rPr>
        <w:tab/>
        <w:t>утверждает отчеты об итогах выпуска акций и иных эмиссионных ценных бумаг.</w:t>
      </w:r>
      <w:r>
        <w:rPr>
          <w:rStyle w:val="Subst"/>
          <w:bCs/>
          <w:iCs/>
        </w:rPr>
        <w:br/>
      </w:r>
      <w:r>
        <w:rPr>
          <w:rStyle w:val="Subst"/>
          <w:bCs/>
          <w:iCs/>
        </w:rPr>
        <w:lastRenderedPageBreak/>
        <w:t>•</w:t>
      </w:r>
      <w:r>
        <w:rPr>
          <w:rStyle w:val="Subst"/>
          <w:bCs/>
          <w:iCs/>
        </w:rPr>
        <w:tab/>
        <w:t>распоряжается имуществом общества, совершает сделки от имени общества, за исключением случаев, предусмотренных Федеральным законом «Об акционерных обществах» и настоящим Уставом;</w:t>
      </w:r>
      <w:r>
        <w:rPr>
          <w:rStyle w:val="Subst"/>
          <w:bCs/>
          <w:iCs/>
        </w:rPr>
        <w:br/>
        <w:t>•</w:t>
      </w:r>
      <w:r>
        <w:rPr>
          <w:rStyle w:val="Subst"/>
          <w:bCs/>
          <w:iCs/>
        </w:rPr>
        <w:tab/>
        <w:t>подписывает документы от имени общества;</w:t>
      </w:r>
      <w:r>
        <w:rPr>
          <w:rStyle w:val="Subst"/>
          <w:bCs/>
          <w:iCs/>
        </w:rPr>
        <w:br/>
        <w:t>•</w:t>
      </w:r>
      <w:r>
        <w:rPr>
          <w:rStyle w:val="Subst"/>
          <w:bCs/>
          <w:iCs/>
        </w:rPr>
        <w:tab/>
        <w:t>выдает доверенности на действия от имени общества:</w:t>
      </w:r>
      <w:r>
        <w:rPr>
          <w:rStyle w:val="Subst"/>
          <w:bCs/>
          <w:iCs/>
        </w:rPr>
        <w:br/>
        <w:t>•</w:t>
      </w:r>
      <w:r>
        <w:rPr>
          <w:rStyle w:val="Subst"/>
          <w:bCs/>
          <w:iCs/>
        </w:rPr>
        <w:tab/>
        <w:t>открывает в банках и других кредитных учреждениях счета общества;</w:t>
      </w:r>
      <w:r>
        <w:rPr>
          <w:rStyle w:val="Subst"/>
          <w:bCs/>
          <w:iCs/>
        </w:rPr>
        <w:br/>
        <w:t>•</w:t>
      </w:r>
      <w:r>
        <w:rPr>
          <w:rStyle w:val="Subst"/>
          <w:bCs/>
          <w:iCs/>
        </w:rPr>
        <w:tab/>
        <w:t>организует ведение бухгалтерского учета и отчетности общества;</w:t>
      </w:r>
      <w:r>
        <w:rPr>
          <w:rStyle w:val="Subst"/>
          <w:bCs/>
          <w:iCs/>
        </w:rPr>
        <w:br/>
        <w:t>•</w:t>
      </w:r>
      <w:r>
        <w:rPr>
          <w:rStyle w:val="Subst"/>
          <w:bCs/>
          <w:iCs/>
        </w:rPr>
        <w:tab/>
        <w:t>издает приказы, распоряжения и дает указания, обязательные для исполнения всеми работниками общества;</w:t>
      </w:r>
      <w:r>
        <w:rPr>
          <w:rStyle w:val="Subst"/>
          <w:bCs/>
          <w:iCs/>
        </w:rPr>
        <w:br/>
        <w:t>•</w:t>
      </w:r>
      <w:r>
        <w:rPr>
          <w:rStyle w:val="Subst"/>
          <w:bCs/>
          <w:iCs/>
        </w:rPr>
        <w:tab/>
        <w:t>организует выполнение решений Общего собрания и Совета директоров общества;</w:t>
      </w:r>
      <w:r>
        <w:rPr>
          <w:rStyle w:val="Subst"/>
          <w:bCs/>
          <w:iCs/>
        </w:rPr>
        <w:br/>
        <w:t>•</w:t>
      </w:r>
      <w:r>
        <w:rPr>
          <w:rStyle w:val="Subst"/>
          <w:bCs/>
          <w:iCs/>
        </w:rPr>
        <w:tab/>
        <w:t>совершает иные действия, необходимые для достижения целей общества и обеспечения его нормальной деятельности, в соответствии с действующим законодательством Российской Федерации, Уставом общества, его внутренними документами.</w:t>
      </w:r>
    </w:p>
    <w:p w:rsidR="00AA7EE0" w:rsidRDefault="00AA7EE0" w:rsidP="00BB4B93">
      <w:pPr>
        <w:pStyle w:val="2"/>
        <w:jc w:val="both"/>
      </w:pPr>
      <w:bookmarkStart w:id="56" w:name="_Toc324431768"/>
      <w:r>
        <w:t>5.2. Информация о лицах, входящих в состав органов управления эмитента</w:t>
      </w:r>
      <w:bookmarkEnd w:id="56"/>
    </w:p>
    <w:p w:rsidR="00AA7EE0" w:rsidRDefault="00AA7EE0" w:rsidP="00BB4B93">
      <w:pPr>
        <w:pStyle w:val="2"/>
        <w:jc w:val="both"/>
      </w:pPr>
      <w:bookmarkStart w:id="57" w:name="_Toc324431769"/>
      <w:r>
        <w:t>5.2.1. Состав совета директоров (наблюдательного совета) эмитента</w:t>
      </w:r>
      <w:bookmarkEnd w:id="57"/>
    </w:p>
    <w:p w:rsidR="00AA7EE0" w:rsidRDefault="00AA7EE0" w:rsidP="008C0BBF">
      <w:pPr>
        <w:spacing w:before="120"/>
        <w:ind w:left="198"/>
        <w:jc w:val="both"/>
      </w:pPr>
      <w:r>
        <w:t>ФИО:</w:t>
      </w:r>
      <w:r>
        <w:rPr>
          <w:rStyle w:val="Subst"/>
          <w:bCs/>
          <w:iCs/>
        </w:rPr>
        <w:t xml:space="preserve"> Трегуб Сергей Вадимович</w:t>
      </w:r>
    </w:p>
    <w:p w:rsidR="00AA7EE0" w:rsidRDefault="00AA7EE0" w:rsidP="00BB4B93">
      <w:pPr>
        <w:ind w:left="200"/>
        <w:jc w:val="both"/>
      </w:pPr>
      <w:r>
        <w:rPr>
          <w:rStyle w:val="Subst"/>
          <w:bCs/>
          <w:iCs/>
        </w:rPr>
        <w:t>(председатель)</w:t>
      </w:r>
    </w:p>
    <w:p w:rsidR="00AA7EE0" w:rsidRDefault="00AA7EE0" w:rsidP="009723C8">
      <w:pPr>
        <w:ind w:left="200"/>
        <w:jc w:val="both"/>
      </w:pPr>
      <w:r>
        <w:t>Год рождения:</w:t>
      </w:r>
      <w:r>
        <w:rPr>
          <w:rStyle w:val="Subst"/>
          <w:bCs/>
          <w:iCs/>
        </w:rPr>
        <w:t xml:space="preserve"> 1959</w:t>
      </w:r>
    </w:p>
    <w:p w:rsidR="00AA7EE0" w:rsidRDefault="00AA7EE0" w:rsidP="00BB4B93">
      <w:pPr>
        <w:ind w:left="200"/>
        <w:jc w:val="both"/>
      </w:pPr>
      <w:r>
        <w:t>Образование:</w:t>
      </w:r>
      <w:r w:rsidR="009723C8">
        <w:t xml:space="preserve"> </w:t>
      </w:r>
      <w:r>
        <w:rPr>
          <w:rStyle w:val="Subst"/>
          <w:bCs/>
          <w:iCs/>
        </w:rPr>
        <w:t>Послевузовское профессиональное</w:t>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2006</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"ЮКОС РМ"</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Президент</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Вице-президент</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"ВБРР"</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Председатель  Наблюдательного Совета</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Правления</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Председатель Совета директоров</w:t>
            </w:r>
          </w:p>
        </w:tc>
      </w:tr>
    </w:tbl>
    <w:p w:rsidR="00AA7EE0" w:rsidRDefault="00AA7EE0" w:rsidP="00BB4B93">
      <w:pPr>
        <w:pStyle w:val="ThinDelim"/>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AA7EE0" w:rsidRDefault="00AA7EE0" w:rsidP="008C0BBF">
      <w:pPr>
        <w:pStyle w:val="SubHeading"/>
        <w:spacing w:before="120"/>
        <w:ind w:left="200"/>
        <w:jc w:val="both"/>
      </w:pPr>
      <w:r>
        <w:t>Доли участия лица в уставном (складочном) капитале (паевом фонде) дочерних и зависимых обществ эмитента</w:t>
      </w:r>
      <w:r w:rsidR="008C0BBF">
        <w:t xml:space="preserve">: </w:t>
      </w:r>
      <w:r>
        <w:rPr>
          <w:rStyle w:val="Subst"/>
          <w:bCs/>
          <w:iCs/>
        </w:rPr>
        <w:t>Лицо указанных долей не имеет</w:t>
      </w:r>
    </w:p>
    <w:p w:rsidR="00AA7EE0" w:rsidRDefault="00AA7EE0"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AA7EE0" w:rsidRDefault="00AA7EE0"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AA7EE0" w:rsidRDefault="00AA7EE0" w:rsidP="008C0BBF">
      <w:pPr>
        <w:spacing w:before="120"/>
        <w:ind w:left="200"/>
        <w:jc w:val="both"/>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008C0BBF">
        <w:t xml:space="preserve"> </w:t>
      </w:r>
      <w:r>
        <w:rPr>
          <w:rStyle w:val="Subst"/>
          <w:bCs/>
          <w:iCs/>
        </w:rPr>
        <w:t>Лицо указанных должностей не занимало</w:t>
      </w:r>
    </w:p>
    <w:p w:rsidR="00AA7EE0" w:rsidRDefault="00AA7EE0" w:rsidP="00BB4B93">
      <w:pPr>
        <w:ind w:left="200"/>
        <w:jc w:val="both"/>
      </w:pPr>
    </w:p>
    <w:p w:rsidR="00AA7EE0" w:rsidRDefault="00AA7EE0" w:rsidP="00BB4B93">
      <w:pPr>
        <w:ind w:left="200"/>
        <w:jc w:val="both"/>
      </w:pPr>
      <w:r>
        <w:t>ФИО:</w:t>
      </w:r>
      <w:r>
        <w:rPr>
          <w:rStyle w:val="Subst"/>
          <w:bCs/>
          <w:iCs/>
        </w:rPr>
        <w:t xml:space="preserve"> Мандрыка Сергей Михайлович</w:t>
      </w:r>
    </w:p>
    <w:p w:rsidR="00AA7EE0" w:rsidRDefault="00AA7EE0" w:rsidP="00BB4B93">
      <w:pPr>
        <w:ind w:left="200"/>
        <w:jc w:val="both"/>
      </w:pPr>
      <w:r>
        <w:t>Год рождения:</w:t>
      </w:r>
      <w:r>
        <w:rPr>
          <w:rStyle w:val="Subst"/>
          <w:bCs/>
          <w:iCs/>
        </w:rPr>
        <w:t xml:space="preserve"> 1960</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Высшее профессиональное образование:</w:t>
      </w:r>
      <w:r>
        <w:rPr>
          <w:rStyle w:val="Subst"/>
          <w:bCs/>
          <w:iCs/>
        </w:rPr>
        <w:br/>
        <w:t>1989 - 1992</w:t>
      </w:r>
      <w:r>
        <w:rPr>
          <w:rStyle w:val="Subst"/>
          <w:bCs/>
          <w:iCs/>
        </w:rPr>
        <w:tab/>
        <w:t xml:space="preserve">- Гуманитарная академия ВС России, </w:t>
      </w:r>
      <w:r>
        <w:rPr>
          <w:rStyle w:val="Subst"/>
          <w:bCs/>
          <w:iCs/>
        </w:rPr>
        <w:br/>
        <w:t>специальность: философия, квалификация: преподаватель философии.</w:t>
      </w:r>
      <w:r>
        <w:rPr>
          <w:rStyle w:val="Subst"/>
          <w:bCs/>
          <w:iCs/>
        </w:rPr>
        <w:br/>
        <w:t>2002 –2005</w:t>
      </w:r>
      <w:r>
        <w:rPr>
          <w:rStyle w:val="Subst"/>
          <w:bCs/>
          <w:iCs/>
        </w:rPr>
        <w:tab/>
        <w:t>- Государственное образовательное учреждение высшего профессионального образования «Российская экономическая академия им. Г.В. Плеханова»; специальность: финансы и кредит; квалификация: экономист.</w:t>
      </w:r>
      <w:r>
        <w:rPr>
          <w:rStyle w:val="Subst"/>
          <w:bCs/>
          <w:iCs/>
        </w:rPr>
        <w:br/>
      </w:r>
      <w:r>
        <w:rPr>
          <w:rStyle w:val="Subst"/>
          <w:bCs/>
          <w:iCs/>
        </w:rPr>
        <w:br/>
        <w:t>Ученое звание, степень: кандидат философских наук. Тема диссертации:  «Государственная безопасность России  в условиях современной стратегической нестабильности».</w:t>
      </w:r>
      <w:r>
        <w:rPr>
          <w:rStyle w:val="Subst"/>
          <w:bCs/>
          <w:iCs/>
        </w:rPr>
        <w:br/>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08.2006</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10.2009</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"ЮКОС РМ"</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Управляющий делами</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10.2009</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"Влакра"</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 член Совета директоров</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10.2009</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"КП Донская"</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 (по совместительству).</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04.2011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07.2011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bl>
    <w:p w:rsidR="00AA7EE0" w:rsidRDefault="00AA7EE0" w:rsidP="00BB4B93">
      <w:pPr>
        <w:pStyle w:val="ThinDelim"/>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ind w:left="200"/>
        <w:jc w:val="both"/>
      </w:pPr>
    </w:p>
    <w:p w:rsidR="00AA7EE0" w:rsidRDefault="00AA7EE0" w:rsidP="00BB4B93">
      <w:pPr>
        <w:ind w:left="200"/>
        <w:jc w:val="both"/>
      </w:pPr>
      <w:r>
        <w:t>ФИО:</w:t>
      </w:r>
      <w:r>
        <w:rPr>
          <w:rStyle w:val="Subst"/>
          <w:bCs/>
          <w:iCs/>
        </w:rPr>
        <w:t xml:space="preserve"> Ахкубеков Ахкубек Халидбеевич</w:t>
      </w:r>
    </w:p>
    <w:p w:rsidR="00AA7EE0" w:rsidRDefault="00AA7EE0" w:rsidP="00BB4B93">
      <w:pPr>
        <w:ind w:left="200"/>
        <w:jc w:val="both"/>
      </w:pPr>
      <w:r>
        <w:t>Год рождения:</w:t>
      </w:r>
      <w:r>
        <w:rPr>
          <w:rStyle w:val="Subst"/>
          <w:bCs/>
          <w:iCs/>
        </w:rPr>
        <w:t xml:space="preserve"> 1971</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Высшее, Академия ФСБ России, 1997г.</w:t>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02.2006</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02.2007</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АНО "Группа правового управления"</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Председатель правления</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03.2007</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10.2007</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Адвокатское бюро "Давудов и Партнеры"</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 xml:space="preserve">Адвокат, управляющий </w:t>
            </w:r>
            <w:r w:rsidRPr="00BB4B93">
              <w:rPr>
                <w:rFonts w:eastAsiaTheme="minorEastAsia"/>
              </w:rPr>
              <w:lastRenderedPageBreak/>
              <w:t>партнер</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lastRenderedPageBreak/>
              <w:t>11.2007</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07.2008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"ЮКОС РМ"</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Начальник управления, Управление корпоративных отношений</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08.2008</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"ЮКОС РМ"</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Директор, Департамент развития и имущественных отношений</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11.2008</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"ЮКОС РМ"</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Вице-президент</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"Нефть- Актив"</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 (по совместительству)</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bl>
    <w:p w:rsidR="00AA7EE0" w:rsidRDefault="00AA7EE0" w:rsidP="00BB4B93">
      <w:pPr>
        <w:pStyle w:val="ThinDelim"/>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ind w:left="200"/>
        <w:jc w:val="both"/>
      </w:pPr>
    </w:p>
    <w:p w:rsidR="00AA7EE0" w:rsidRDefault="00AA7EE0" w:rsidP="00BB4B93">
      <w:pPr>
        <w:ind w:left="200"/>
        <w:jc w:val="both"/>
      </w:pPr>
      <w:r>
        <w:t>ФИО:</w:t>
      </w:r>
      <w:r>
        <w:rPr>
          <w:rStyle w:val="Subst"/>
          <w:bCs/>
          <w:iCs/>
        </w:rPr>
        <w:t xml:space="preserve"> Рубанов Дмитрий Владимирович</w:t>
      </w:r>
    </w:p>
    <w:p w:rsidR="00AA7EE0" w:rsidRDefault="00AA7EE0" w:rsidP="00BB4B93">
      <w:pPr>
        <w:ind w:left="200"/>
        <w:jc w:val="both"/>
      </w:pPr>
      <w:r>
        <w:t>Год рождения:</w:t>
      </w:r>
      <w:r>
        <w:rPr>
          <w:rStyle w:val="Subst"/>
          <w:bCs/>
          <w:iCs/>
        </w:rPr>
        <w:t xml:space="preserve"> 1984</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Высшее, Московский Университет Экономики, Статистики и Информации (МЭСИ) 2006г., специальность: бухгалтерский учет, анализ, аудит, квалификация:  экономист</w:t>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2006</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«КУППО»</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Бухгалтер</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2006</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2007</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Представительство компании «Шлюмберже Лоджелко Инк» (Панама) г. Москва</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Бухгалтер по работе с поставщиками и подрядчиками</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Представительство компании «Шлюмберже Лоджелко Инк» (Панама) г.Тюмень</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Руководитель группы по дебиторской задолженности</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Компания «Салым Петролиум Сервисиз Б.В.» Нидерланды, Московский филиал</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Бухгалтер казначейства</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«Реестр-РН»</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Заместитель Генерального директора</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bl>
    <w:p w:rsidR="00AA7EE0" w:rsidRDefault="00AA7EE0" w:rsidP="00BB4B93">
      <w:pPr>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ind w:left="200"/>
        <w:jc w:val="both"/>
      </w:pPr>
    </w:p>
    <w:p w:rsidR="00AA7EE0" w:rsidRDefault="00AA7EE0" w:rsidP="00BB4B93">
      <w:pPr>
        <w:ind w:left="200"/>
        <w:jc w:val="both"/>
      </w:pPr>
      <w:r>
        <w:t>ФИО:</w:t>
      </w:r>
      <w:r>
        <w:rPr>
          <w:rStyle w:val="Subst"/>
          <w:bCs/>
          <w:iCs/>
        </w:rPr>
        <w:t xml:space="preserve"> Михалев Игорь Юрьевич</w:t>
      </w:r>
    </w:p>
    <w:p w:rsidR="00AA7EE0" w:rsidRDefault="00AA7EE0" w:rsidP="00BB4B93">
      <w:pPr>
        <w:ind w:left="200"/>
        <w:jc w:val="both"/>
      </w:pPr>
      <w:r>
        <w:t>Год рождения:</w:t>
      </w:r>
      <w:r>
        <w:rPr>
          <w:rStyle w:val="Subst"/>
          <w:bCs/>
          <w:iCs/>
        </w:rPr>
        <w:t xml:space="preserve"> 1970</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Высшее, Иркутский государственный университет, 1994 г. специальность: правоведение, квалификация: юрист;</w:t>
      </w:r>
      <w:r>
        <w:rPr>
          <w:rStyle w:val="Subst"/>
          <w:bCs/>
          <w:iCs/>
        </w:rPr>
        <w:br/>
        <w:t xml:space="preserve"> Дальневосточный государственный университет, 2000 г</w:t>
      </w:r>
      <w:r w:rsidR="009723C8">
        <w:rPr>
          <w:rStyle w:val="Subst"/>
          <w:bCs/>
          <w:iCs/>
        </w:rPr>
        <w:t>.</w:t>
      </w:r>
      <w:r>
        <w:rPr>
          <w:rStyle w:val="Subst"/>
          <w:bCs/>
          <w:iCs/>
        </w:rPr>
        <w:t>, к.ю.н.</w:t>
      </w:r>
      <w:r>
        <w:rPr>
          <w:rStyle w:val="Subst"/>
          <w:bCs/>
          <w:iCs/>
        </w:rPr>
        <w:br/>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2005</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Коллегия адвокатов «Альянс»</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Председатель коллегии</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2005</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Федеральная служба судебных приставов России</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Начальник управления реализации имущества должников</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«Бизнес ресурс»</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Директор по правовым вопросам</w:t>
            </w:r>
          </w:p>
        </w:tc>
      </w:tr>
      <w:tr w:rsidR="00AA7EE0" w:rsidRPr="00BB4B93">
        <w:tblPrEx>
          <w:tblCellMar>
            <w:top w:w="0" w:type="dxa"/>
            <w:bottom w:w="0" w:type="dxa"/>
          </w:tblCellMar>
        </w:tblPrEx>
        <w:trPr>
          <w:gridAfter w:val="1"/>
          <w:wAfter w:w="2680" w:type="dxa"/>
        </w:trPr>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9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bl>
    <w:p w:rsidR="00AA7EE0" w:rsidRDefault="00AA7EE0" w:rsidP="00BB4B93">
      <w:pPr>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bookmarkStart w:id="58" w:name="_Toc324431770"/>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w:t>
      </w:r>
      <w:r>
        <w:lastRenderedPageBreak/>
        <w:t xml:space="preserve">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pStyle w:val="2"/>
        <w:jc w:val="both"/>
      </w:pPr>
      <w:r>
        <w:t>5.2.2. Информация о единоличном исполнительном органе эмитента</w:t>
      </w:r>
      <w:bookmarkEnd w:id="58"/>
    </w:p>
    <w:p w:rsidR="00AA7EE0" w:rsidRDefault="00AA7EE0" w:rsidP="00BB4B93">
      <w:pPr>
        <w:ind w:left="200"/>
        <w:jc w:val="both"/>
      </w:pPr>
    </w:p>
    <w:p w:rsidR="00AA7EE0" w:rsidRDefault="00AA7EE0" w:rsidP="00BB4B93">
      <w:pPr>
        <w:ind w:left="200"/>
        <w:jc w:val="both"/>
      </w:pPr>
      <w:r>
        <w:t>ФИО:</w:t>
      </w:r>
      <w:r>
        <w:rPr>
          <w:rStyle w:val="Subst"/>
          <w:bCs/>
          <w:iCs/>
        </w:rPr>
        <w:t xml:space="preserve"> Грицкевич Светлана Валентиновна</w:t>
      </w:r>
    </w:p>
    <w:p w:rsidR="00AA7EE0" w:rsidRDefault="00AA7EE0" w:rsidP="00BB4B93">
      <w:pPr>
        <w:ind w:left="200"/>
        <w:jc w:val="both"/>
      </w:pPr>
      <w:r>
        <w:t>Год рождения:</w:t>
      </w:r>
      <w:r>
        <w:rPr>
          <w:rStyle w:val="Subst"/>
          <w:bCs/>
          <w:iCs/>
        </w:rPr>
        <w:t xml:space="preserve"> 1974</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 xml:space="preserve">Высшее, Институт современных знаний при Белорусском государственном университете им. В.И.Ленина, квалификация «экономист», </w:t>
      </w:r>
      <w:r>
        <w:rPr>
          <w:rStyle w:val="Subst"/>
          <w:bCs/>
          <w:iCs/>
        </w:rPr>
        <w:br/>
        <w:t>Российская академия государственной службы при Президенте РФ, квалификация «менеджер»</w:t>
      </w:r>
      <w:r>
        <w:rPr>
          <w:rStyle w:val="Subst"/>
          <w:bCs/>
          <w:iCs/>
        </w:rPr>
        <w:br/>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11.2005</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Руководитель секретариата Совета директоров ОАО «НК «Роснефть» (по совместительству) Заместитель начальника Управления по корпоративным отношениям,  заместитель начальника Управления по работе с акционерами,  начальник Управления по работе с акционерами, заместитель директора,  первый заместитель директора Департамента собственности и корпоративного управления</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07.2011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ЗАО «Влакра»</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 (по совместительству)</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08.2011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Генеральный директор (по совместительству)</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«КОМПАНИЯ ПОЛЯРНОЕ СИЯНИЕ»</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«НК «Роснефть»-Кубаньнефтепродукт»</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06.2011</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«Кузбассгазификация»</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Член Совета директоров</w:t>
            </w:r>
          </w:p>
        </w:tc>
      </w:tr>
    </w:tbl>
    <w:p w:rsidR="00AA7EE0" w:rsidRDefault="00AA7EE0" w:rsidP="00BB4B93">
      <w:pPr>
        <w:pStyle w:val="ThinDelim"/>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bookmarkStart w:id="59" w:name="_Toc324431771"/>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 xml:space="preserve">Сведения о характере любых родственных связей с иными лицами, входящими в состав органов управления </w:t>
      </w:r>
      <w:r>
        <w:lastRenderedPageBreak/>
        <w:t>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pStyle w:val="2"/>
        <w:jc w:val="both"/>
      </w:pPr>
      <w:r>
        <w:t>5.2.3. Состав коллегиального исполнительного органа эмитента</w:t>
      </w:r>
      <w:bookmarkEnd w:id="59"/>
    </w:p>
    <w:p w:rsidR="00AA7EE0" w:rsidRDefault="00AA7EE0" w:rsidP="00BB4B93">
      <w:pPr>
        <w:ind w:left="200"/>
        <w:jc w:val="both"/>
      </w:pPr>
      <w:r>
        <w:rPr>
          <w:rStyle w:val="Subst"/>
          <w:bCs/>
          <w:iCs/>
        </w:rPr>
        <w:t>Коллегиальный исполнительный орган не предусмотрен</w:t>
      </w:r>
    </w:p>
    <w:p w:rsidR="00AA7EE0" w:rsidRDefault="00AA7EE0" w:rsidP="00BB4B93">
      <w:pPr>
        <w:pStyle w:val="2"/>
        <w:jc w:val="both"/>
      </w:pPr>
      <w:bookmarkStart w:id="60" w:name="_Toc324431772"/>
      <w:r>
        <w:t>5.3. Сведения о размере вознаграждения, льгот и/или компенсации расходов по каждому органу управления эмитента</w:t>
      </w:r>
      <w:bookmarkEnd w:id="60"/>
    </w:p>
    <w:p w:rsidR="00AA7EE0" w:rsidRDefault="00AA7EE0" w:rsidP="00BB4B93">
      <w:pPr>
        <w:ind w:left="200"/>
        <w:jc w:val="both"/>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AA7EE0" w:rsidRDefault="00AA7EE0" w:rsidP="00BB4B93">
      <w:pPr>
        <w:pStyle w:val="SubHeading"/>
        <w:ind w:left="200"/>
        <w:jc w:val="both"/>
      </w:pPr>
      <w:r>
        <w:t>Совет директоров</w:t>
      </w:r>
    </w:p>
    <w:p w:rsidR="00AA7EE0" w:rsidRDefault="00AA7EE0" w:rsidP="00BB4B93">
      <w:pPr>
        <w:ind w:left="400"/>
        <w:jc w:val="both"/>
      </w:pPr>
      <w:r>
        <w:t>Единица измерения:</w:t>
      </w:r>
      <w:r>
        <w:rPr>
          <w:rStyle w:val="Subst"/>
          <w:bCs/>
          <w:iCs/>
        </w:rPr>
        <w:t xml:space="preserve"> тыс. руб.</w:t>
      </w:r>
    </w:p>
    <w:tbl>
      <w:tblPr>
        <w:tblW w:w="0" w:type="auto"/>
        <w:tblLayout w:type="fixed"/>
        <w:tblCellMar>
          <w:left w:w="72" w:type="dxa"/>
          <w:right w:w="72" w:type="dxa"/>
        </w:tblCellMar>
        <w:tblLook w:val="0000"/>
      </w:tblPr>
      <w:tblGrid>
        <w:gridCol w:w="6492"/>
        <w:gridCol w:w="1360"/>
        <w:gridCol w:w="1400"/>
      </w:tblGrid>
      <w:tr w:rsidR="00AA7EE0" w:rsidRPr="00BB4B9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2012, 3 мес.</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Льготы</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bl>
    <w:p w:rsidR="00AA7EE0" w:rsidRDefault="00AA7EE0" w:rsidP="00BB4B93">
      <w:pPr>
        <w:jc w:val="both"/>
      </w:pPr>
    </w:p>
    <w:p w:rsidR="00AA7EE0" w:rsidRDefault="00AA7EE0" w:rsidP="009723C8">
      <w:pPr>
        <w:ind w:left="400"/>
        <w:jc w:val="both"/>
      </w:pPr>
      <w:r>
        <w:t>Cведения о существующих соглашениях относительно таких выплат в текущем финансовом году:</w:t>
      </w:r>
      <w:r>
        <w:br/>
      </w:r>
      <w:r>
        <w:rPr>
          <w:rStyle w:val="Subst"/>
          <w:bCs/>
          <w:iCs/>
        </w:rPr>
        <w:t>Соглашений относительно выплат в текущем финансовом году не предусмотрено.</w:t>
      </w:r>
    </w:p>
    <w:p w:rsidR="00AA7EE0" w:rsidRDefault="00AA7EE0" w:rsidP="00BB4B93">
      <w:pPr>
        <w:pStyle w:val="2"/>
        <w:jc w:val="both"/>
      </w:pPr>
      <w:bookmarkStart w:id="61" w:name="_Toc324431773"/>
      <w:r>
        <w:t>5.4. Сведения о структуре и компетенции органов контроля за финансово-хозяйственной деятельностью эмитента</w:t>
      </w:r>
      <w:bookmarkEnd w:id="61"/>
    </w:p>
    <w:p w:rsidR="00AA7EE0" w:rsidRDefault="00AA7EE0" w:rsidP="00BB4B93">
      <w:pPr>
        <w:ind w:left="200"/>
        <w:jc w:val="both"/>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w:t>
      </w:r>
      <w:r w:rsidR="009723C8">
        <w:t>нутренними документами эмитента</w:t>
      </w:r>
      <w:r>
        <w:t>:</w:t>
      </w:r>
      <w:r>
        <w:br/>
      </w:r>
      <w:r>
        <w:rPr>
          <w:rStyle w:val="Subst"/>
          <w:bCs/>
          <w:iCs/>
        </w:rPr>
        <w:t>В соответствии с положениями ст. 51 Устава для осуществления контроля за финансово-хозяйственной деятельностью общества годовым Общим собранием избирается ревизор общества.</w:t>
      </w:r>
      <w:r>
        <w:rPr>
          <w:rStyle w:val="Subst"/>
          <w:bCs/>
          <w:iCs/>
        </w:rPr>
        <w:br/>
        <w:t>В своей деятельности ревизор руководствуется действующим законодательством Российской Федерации, Уставом общества, решениями Общего собрания и положением о ревизоре общества.</w:t>
      </w:r>
      <w:r>
        <w:rPr>
          <w:rStyle w:val="Subst"/>
          <w:bCs/>
          <w:iCs/>
        </w:rPr>
        <w:br/>
        <w:t>Срок полномочий ревизора истекает в день проведения следующего годового Общего собрания.</w:t>
      </w:r>
      <w:r>
        <w:rPr>
          <w:rStyle w:val="Subst"/>
          <w:bCs/>
          <w:iCs/>
        </w:rPr>
        <w:br/>
        <w:t>Избрание ревизора осуществляется прямым голосованием. Избранными на должность ревизора считается кандидат, набравших наибольшее число голосов от числа голосов акционеров - владельцев голосующих акций общества, принявших участие в голосовании по данному вопросу.</w:t>
      </w:r>
      <w:r>
        <w:rPr>
          <w:rStyle w:val="Subst"/>
          <w:bCs/>
          <w:iCs/>
        </w:rPr>
        <w:br/>
        <w:t>На должность ревизора не могут быть избраны члены Совета директоров, члены исполнительных органов общества.</w:t>
      </w:r>
      <w:r>
        <w:rPr>
          <w:rStyle w:val="Subst"/>
          <w:bCs/>
          <w:iCs/>
        </w:rPr>
        <w:br/>
        <w:t>Акции, принадлежащие членам Совета директоров и членам исполнительных органов общества, не могут участвовать в голосовании при избрании ревизора.</w:t>
      </w:r>
      <w:r>
        <w:rPr>
          <w:rStyle w:val="Subst"/>
          <w:bCs/>
          <w:iCs/>
        </w:rPr>
        <w:br/>
        <w:t>Ревизор может переизбираться неограниченное количество раз.</w:t>
      </w:r>
      <w:r>
        <w:rPr>
          <w:rStyle w:val="Subst"/>
          <w:bCs/>
          <w:iCs/>
        </w:rPr>
        <w:br/>
      </w:r>
      <w:r>
        <w:rPr>
          <w:rStyle w:val="Subst"/>
          <w:bCs/>
          <w:iCs/>
        </w:rPr>
        <w:lastRenderedPageBreak/>
        <w:t>По решению Общего собрания полномочия ревизора могут быть прекращены досрочно.</w:t>
      </w:r>
      <w:r>
        <w:rPr>
          <w:rStyle w:val="Subst"/>
          <w:bCs/>
          <w:iCs/>
        </w:rPr>
        <w:br/>
        <w:t>В период исполнения обязанностей ревизору выплачивается вознаграждение. Размер</w:t>
      </w:r>
      <w:r>
        <w:rPr>
          <w:rStyle w:val="Subst"/>
          <w:bCs/>
          <w:iCs/>
        </w:rPr>
        <w:br/>
        <w:t>вознаграждения устанавливается решением Общего собрания по рекомендации Совета директоров.</w:t>
      </w:r>
      <w:r>
        <w:rPr>
          <w:rStyle w:val="Subst"/>
          <w:bCs/>
          <w:iCs/>
        </w:rPr>
        <w:br/>
        <w:t>Порядок деятельности ревизора определяется Положением о ревизоре общества, утверждаемым Общим собранием.</w:t>
      </w:r>
    </w:p>
    <w:p w:rsidR="00AA7EE0" w:rsidRDefault="00AA7EE0" w:rsidP="00BB4B93">
      <w:pPr>
        <w:pStyle w:val="2"/>
        <w:jc w:val="both"/>
      </w:pPr>
      <w:bookmarkStart w:id="62" w:name="_Toc324431774"/>
      <w:r>
        <w:t>5.5. Информация о лицах, входящих в состав органов контроля за финансово-хозяйственной деятельностью эмитента</w:t>
      </w:r>
      <w:bookmarkEnd w:id="62"/>
    </w:p>
    <w:p w:rsidR="00AA7EE0" w:rsidRDefault="00AA7EE0" w:rsidP="00BB4B93">
      <w:pPr>
        <w:ind w:left="200"/>
        <w:jc w:val="both"/>
      </w:pPr>
      <w:r>
        <w:t>Наименование органа контроля за финансово-хозяйственной деятельностью эмитента:</w:t>
      </w:r>
      <w:r>
        <w:rPr>
          <w:rStyle w:val="Subst"/>
          <w:bCs/>
          <w:iCs/>
        </w:rPr>
        <w:t xml:space="preserve"> Ревизор</w:t>
      </w:r>
    </w:p>
    <w:p w:rsidR="00AA7EE0" w:rsidRDefault="00AA7EE0" w:rsidP="00BB4B93">
      <w:pPr>
        <w:ind w:left="200"/>
        <w:jc w:val="both"/>
      </w:pPr>
      <w:r>
        <w:t>ФИО:</w:t>
      </w:r>
      <w:r>
        <w:rPr>
          <w:rStyle w:val="Subst"/>
          <w:bCs/>
          <w:iCs/>
        </w:rPr>
        <w:t xml:space="preserve"> Иванова Ирина Петровна</w:t>
      </w:r>
    </w:p>
    <w:p w:rsidR="00AA7EE0" w:rsidRDefault="00AA7EE0" w:rsidP="00BB4B93">
      <w:pPr>
        <w:ind w:left="200"/>
        <w:jc w:val="both"/>
      </w:pPr>
      <w:r>
        <w:t>Год рождения:</w:t>
      </w:r>
      <w:r>
        <w:rPr>
          <w:rStyle w:val="Subst"/>
          <w:bCs/>
          <w:iCs/>
        </w:rPr>
        <w:t xml:space="preserve"> 1967</w:t>
      </w:r>
    </w:p>
    <w:p w:rsidR="00AA7EE0" w:rsidRDefault="00AA7EE0" w:rsidP="00BB4B93">
      <w:pPr>
        <w:pStyle w:val="ThinDelim"/>
        <w:jc w:val="both"/>
      </w:pPr>
    </w:p>
    <w:p w:rsidR="00AA7EE0" w:rsidRDefault="00AA7EE0" w:rsidP="00BB4B93">
      <w:pPr>
        <w:ind w:left="200"/>
        <w:jc w:val="both"/>
      </w:pPr>
      <w:r>
        <w:t>Образование:</w:t>
      </w:r>
      <w:r>
        <w:br/>
      </w:r>
      <w:r>
        <w:rPr>
          <w:rStyle w:val="Subst"/>
          <w:bCs/>
          <w:iCs/>
        </w:rPr>
        <w:t>Российская экономическая академия им. Г.В.Плеханова</w:t>
      </w:r>
      <w:r>
        <w:rPr>
          <w:rStyle w:val="Subst"/>
          <w:bCs/>
          <w:iCs/>
        </w:rPr>
        <w:br/>
        <w:t>Квалификация/ Специальность: Финансы и кредит/финансовый менеджмент</w:t>
      </w:r>
      <w:r>
        <w:rPr>
          <w:rStyle w:val="Subst"/>
          <w:bCs/>
          <w:iCs/>
        </w:rPr>
        <w:br/>
      </w:r>
    </w:p>
    <w:p w:rsidR="00AA7EE0" w:rsidRDefault="00AA7EE0" w:rsidP="00BB4B93">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AA7EE0" w:rsidRDefault="00AA7EE0" w:rsidP="00BB4B93">
      <w:pPr>
        <w:pStyle w:val="ThinDelim"/>
        <w:jc w:val="both"/>
      </w:pPr>
    </w:p>
    <w:tbl>
      <w:tblPr>
        <w:tblW w:w="0" w:type="auto"/>
        <w:tblLayout w:type="fixed"/>
        <w:tblCellMar>
          <w:left w:w="72" w:type="dxa"/>
          <w:right w:w="72" w:type="dxa"/>
        </w:tblCellMar>
        <w:tblLook w:val="0000"/>
      </w:tblPr>
      <w:tblGrid>
        <w:gridCol w:w="1332"/>
        <w:gridCol w:w="1260"/>
        <w:gridCol w:w="3980"/>
        <w:gridCol w:w="2680"/>
      </w:tblGrid>
      <w:tr w:rsidR="00AA7EE0" w:rsidRPr="00BB4B9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Должность</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08.2005</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03.2007</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«Тотал Фиш»</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Заместитель главного бухгалтера</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04.2007</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11.2007</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«Фест-Лайн»</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Главный бухгалтер</w:t>
            </w:r>
          </w:p>
        </w:tc>
      </w:tr>
      <w:tr w:rsidR="00AA7EE0" w:rsidRPr="00BB4B9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11.2007</w:t>
            </w:r>
          </w:p>
        </w:tc>
        <w:tc>
          <w:tcPr>
            <w:tcW w:w="12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03.2008</w:t>
            </w:r>
          </w:p>
        </w:tc>
        <w:tc>
          <w:tcPr>
            <w:tcW w:w="39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ООО «Юкос-Импорт»</w:t>
            </w:r>
          </w:p>
        </w:tc>
        <w:tc>
          <w:tcPr>
            <w:tcW w:w="26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Ведущий бухгалтер</w:t>
            </w:r>
          </w:p>
        </w:tc>
      </w:tr>
      <w:tr w:rsidR="00AA7EE0" w:rsidRPr="00BB4B9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05.2011</w:t>
            </w:r>
          </w:p>
        </w:tc>
        <w:tc>
          <w:tcPr>
            <w:tcW w:w="12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ОАО "РН-Влакра"</w:t>
            </w:r>
          </w:p>
        </w:tc>
        <w:tc>
          <w:tcPr>
            <w:tcW w:w="26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Ревизор</w:t>
            </w:r>
          </w:p>
        </w:tc>
      </w:tr>
    </w:tbl>
    <w:p w:rsidR="00AA7EE0" w:rsidRDefault="00AA7EE0" w:rsidP="00BB4B93">
      <w:pPr>
        <w:pStyle w:val="ThinDelim"/>
        <w:jc w:val="both"/>
      </w:pPr>
    </w:p>
    <w:p w:rsidR="00AA7EE0" w:rsidRDefault="00AA7EE0" w:rsidP="00BB4B93">
      <w:pPr>
        <w:ind w:left="200"/>
        <w:jc w:val="both"/>
      </w:pPr>
      <w:r>
        <w:rPr>
          <w:rStyle w:val="Subst"/>
          <w:bCs/>
          <w:iCs/>
        </w:rPr>
        <w:t>Доли участия в уставном капитале эмитента/обыкновенных акций не имеет</w:t>
      </w:r>
    </w:p>
    <w:p w:rsidR="008C0BBF" w:rsidRDefault="008C0BBF" w:rsidP="008C0BBF">
      <w:pPr>
        <w:pStyle w:val="SubHeading"/>
        <w:spacing w:before="120"/>
        <w:ind w:left="200"/>
        <w:jc w:val="both"/>
      </w:pPr>
      <w:r>
        <w:t xml:space="preserve">Доли участия лица в уставном (складочном) капитале (паевом фонде) дочерних и зависимых обществ эмитента: </w:t>
      </w:r>
      <w:r>
        <w:rPr>
          <w:rStyle w:val="Subst"/>
          <w:bCs/>
          <w:iCs/>
        </w:rPr>
        <w:t>Лицо указанных долей не имеет</w:t>
      </w:r>
    </w:p>
    <w:p w:rsidR="008C0BBF" w:rsidRDefault="008C0BBF" w:rsidP="008C0BBF">
      <w:pPr>
        <w:spacing w:before="120"/>
        <w:ind w:left="198"/>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bCs/>
          <w:iCs/>
        </w:rPr>
        <w:t>Указанных родственных связей нет</w:t>
      </w:r>
    </w:p>
    <w:p w:rsidR="008C0BBF" w:rsidRDefault="008C0BBF" w:rsidP="008C0BBF">
      <w:pPr>
        <w:spacing w:before="120"/>
        <w:ind w:left="200"/>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bCs/>
          <w:iCs/>
        </w:rPr>
        <w:t>Лицо к указанным видам ответственности не привлекалось</w:t>
      </w:r>
    </w:p>
    <w:p w:rsidR="008C0BBF" w:rsidRDefault="008C0BBF" w:rsidP="008C0BBF">
      <w:pPr>
        <w:spacing w:before="120"/>
        <w:ind w:left="200"/>
        <w:jc w:val="both"/>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Pr>
          <w:rStyle w:val="Subst"/>
          <w:bCs/>
          <w:iCs/>
        </w:rPr>
        <w:t>Лицо указанных должностей не занимало</w:t>
      </w:r>
    </w:p>
    <w:p w:rsidR="00AA7EE0" w:rsidRDefault="00AA7EE0" w:rsidP="00BB4B93">
      <w:pPr>
        <w:ind w:left="200"/>
        <w:jc w:val="both"/>
      </w:pPr>
    </w:p>
    <w:p w:rsidR="00AA7EE0" w:rsidRDefault="00AA7EE0" w:rsidP="0095179A">
      <w:pPr>
        <w:ind w:firstLine="567"/>
        <w:jc w:val="both"/>
        <w:rPr>
          <w:b/>
          <w:i/>
        </w:rPr>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w:t>
      </w:r>
      <w:r w:rsidR="009723C8">
        <w:t xml:space="preserve">ючая руководителя такого органа: </w:t>
      </w:r>
      <w:r w:rsidR="009723C8" w:rsidRPr="009723C8">
        <w:rPr>
          <w:b/>
          <w:i/>
        </w:rPr>
        <w:t>такой службы нет.</w:t>
      </w:r>
    </w:p>
    <w:p w:rsidR="0095179A" w:rsidRPr="0095179A" w:rsidRDefault="0095179A" w:rsidP="0095179A">
      <w:pPr>
        <w:widowControl/>
        <w:spacing w:before="120" w:after="0"/>
        <w:ind w:firstLine="539"/>
        <w:jc w:val="both"/>
        <w:outlineLvl w:val="4"/>
        <w:rPr>
          <w:b/>
          <w:bCs/>
          <w:i/>
          <w:iCs/>
        </w:rPr>
      </w:pPr>
      <w:r>
        <w:rPr>
          <w:bCs/>
          <w:iCs/>
        </w:rPr>
        <w:t>С</w:t>
      </w:r>
      <w:r w:rsidRPr="0095179A">
        <w:rPr>
          <w:bCs/>
          <w:iCs/>
        </w:rPr>
        <w:t>ведения о наличии внутреннего документа эмитента, устанавливающего правила по предотвращению неправомерного использования конфиденциа</w:t>
      </w:r>
      <w:r>
        <w:rPr>
          <w:bCs/>
          <w:iCs/>
        </w:rPr>
        <w:t xml:space="preserve">льной и инсайдерской информации: </w:t>
      </w:r>
      <w:r w:rsidRPr="0095179A">
        <w:rPr>
          <w:b/>
          <w:bCs/>
          <w:i/>
          <w:iCs/>
        </w:rPr>
        <w:t xml:space="preserve">такой документ </w:t>
      </w:r>
      <w:r>
        <w:rPr>
          <w:b/>
          <w:bCs/>
          <w:i/>
          <w:iCs/>
        </w:rPr>
        <w:t xml:space="preserve">Эмитентом </w:t>
      </w:r>
      <w:r w:rsidRPr="0095179A">
        <w:rPr>
          <w:b/>
          <w:bCs/>
          <w:i/>
          <w:iCs/>
        </w:rPr>
        <w:t>не утверждался.</w:t>
      </w:r>
    </w:p>
    <w:p w:rsidR="008C421C" w:rsidRDefault="0095179A" w:rsidP="0095179A">
      <w:pPr>
        <w:widowControl/>
        <w:spacing w:before="0" w:after="0"/>
        <w:ind w:firstLine="540"/>
        <w:jc w:val="both"/>
        <w:outlineLvl w:val="4"/>
        <w:rPr>
          <w:b/>
          <w:bCs/>
          <w:i/>
          <w:iCs/>
        </w:rPr>
      </w:pPr>
      <w:r>
        <w:rPr>
          <w:b/>
          <w:bCs/>
          <w:i/>
          <w:iCs/>
        </w:rPr>
        <w:t xml:space="preserve">  </w:t>
      </w:r>
    </w:p>
    <w:p w:rsidR="008C421C" w:rsidRDefault="008C421C" w:rsidP="009723C8">
      <w:pPr>
        <w:ind w:left="200" w:firstLine="367"/>
        <w:jc w:val="both"/>
      </w:pPr>
    </w:p>
    <w:p w:rsidR="00AA7EE0" w:rsidRDefault="00AA7EE0" w:rsidP="00BB4B93">
      <w:pPr>
        <w:pStyle w:val="2"/>
        <w:jc w:val="both"/>
      </w:pPr>
      <w:bookmarkStart w:id="63" w:name="_Toc324431775"/>
      <w:r>
        <w:lastRenderedPageBreak/>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63"/>
    </w:p>
    <w:p w:rsidR="00AA7EE0" w:rsidRDefault="00AA7EE0" w:rsidP="00BB4B93">
      <w:pPr>
        <w:ind w:left="200"/>
        <w:jc w:val="both"/>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финансовый год:</w:t>
      </w:r>
    </w:p>
    <w:p w:rsidR="00AA7EE0" w:rsidRDefault="00AA7EE0" w:rsidP="00BB4B93">
      <w:pPr>
        <w:ind w:left="200"/>
        <w:jc w:val="both"/>
      </w:pPr>
      <w:r>
        <w:t>Наименование органа контроля за финансово-хозяйственной деятельностью эмитента:</w:t>
      </w:r>
      <w:r>
        <w:rPr>
          <w:rStyle w:val="Subst"/>
          <w:bCs/>
          <w:iCs/>
        </w:rPr>
        <w:t xml:space="preserve"> Ревизор</w:t>
      </w:r>
    </w:p>
    <w:p w:rsidR="00AA7EE0" w:rsidRDefault="00AA7EE0" w:rsidP="00BB4B93">
      <w:pPr>
        <w:pStyle w:val="SubHeading"/>
        <w:ind w:left="200"/>
        <w:jc w:val="both"/>
      </w:pPr>
      <w:r>
        <w:t>Вознаграждение за участие в работе органа контроля</w:t>
      </w:r>
    </w:p>
    <w:p w:rsidR="00AA7EE0" w:rsidRDefault="00AA7EE0" w:rsidP="00BB4B93">
      <w:pPr>
        <w:ind w:left="400"/>
        <w:jc w:val="both"/>
      </w:pPr>
      <w:r>
        <w:t>Единица измерения:</w:t>
      </w:r>
      <w:r>
        <w:rPr>
          <w:rStyle w:val="Subst"/>
          <w:bCs/>
          <w:iCs/>
        </w:rPr>
        <w:t xml:space="preserve"> тыс. руб.</w:t>
      </w:r>
    </w:p>
    <w:tbl>
      <w:tblPr>
        <w:tblW w:w="0" w:type="auto"/>
        <w:tblLayout w:type="fixed"/>
        <w:tblCellMar>
          <w:left w:w="72" w:type="dxa"/>
          <w:right w:w="72" w:type="dxa"/>
        </w:tblCellMar>
        <w:tblLook w:val="0000"/>
      </w:tblPr>
      <w:tblGrid>
        <w:gridCol w:w="6492"/>
        <w:gridCol w:w="1360"/>
        <w:gridCol w:w="1400"/>
      </w:tblGrid>
      <w:tr w:rsidR="00AA7EE0" w:rsidRPr="00BB4B9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2012, 3 мес.</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Льготы</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r w:rsidR="00AA7EE0" w:rsidRPr="00BB4B9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0</w:t>
            </w:r>
          </w:p>
        </w:tc>
      </w:tr>
    </w:tbl>
    <w:p w:rsidR="00AA7EE0" w:rsidRDefault="00AA7EE0" w:rsidP="00BB4B93">
      <w:pPr>
        <w:jc w:val="both"/>
      </w:pPr>
    </w:p>
    <w:p w:rsidR="00AA7EE0" w:rsidRDefault="00AA7EE0" w:rsidP="00BB4B93">
      <w:pPr>
        <w:ind w:left="400"/>
        <w:jc w:val="both"/>
      </w:pPr>
      <w:r>
        <w:t>Cведения о существующих соглашениях относительно таких выплат в текущем финансовом году:</w:t>
      </w:r>
      <w:r>
        <w:br/>
      </w:r>
      <w:r>
        <w:rPr>
          <w:rStyle w:val="Subst"/>
          <w:bCs/>
          <w:iCs/>
        </w:rPr>
        <w:t>Соглашений относительно выплат в текущем финансовом году не предусмотрено.</w:t>
      </w:r>
    </w:p>
    <w:p w:rsidR="00AA7EE0" w:rsidRDefault="00AA7EE0" w:rsidP="00BB4B93">
      <w:pPr>
        <w:pStyle w:val="2"/>
        <w:jc w:val="both"/>
      </w:pPr>
      <w:bookmarkStart w:id="64" w:name="_Toc324431776"/>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4"/>
    </w:p>
    <w:p w:rsidR="00AA7EE0" w:rsidRDefault="00AA7EE0" w:rsidP="00BB4B93">
      <w:pPr>
        <w:ind w:left="200"/>
        <w:jc w:val="both"/>
      </w:pPr>
      <w:r>
        <w:t>Единица измерения:</w:t>
      </w:r>
      <w:r>
        <w:rPr>
          <w:rStyle w:val="Subst"/>
          <w:bCs/>
          <w:iCs/>
        </w:rPr>
        <w:t xml:space="preserve"> руб.</w:t>
      </w:r>
    </w:p>
    <w:tbl>
      <w:tblPr>
        <w:tblW w:w="0" w:type="auto"/>
        <w:tblLayout w:type="fixed"/>
        <w:tblCellMar>
          <w:left w:w="72" w:type="dxa"/>
          <w:right w:w="72" w:type="dxa"/>
        </w:tblCellMar>
        <w:tblLook w:val="0000"/>
      </w:tblPr>
      <w:tblGrid>
        <w:gridCol w:w="6492"/>
        <w:gridCol w:w="1360"/>
        <w:gridCol w:w="1400"/>
      </w:tblGrid>
      <w:tr w:rsidR="00AA7EE0" w:rsidRPr="00BB4B9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2011</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2012, 3 мес.</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29</w:t>
            </w:r>
          </w:p>
        </w:tc>
      </w:tr>
      <w:tr w:rsidR="00AA7EE0" w:rsidRPr="00BB4B9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28 920 158.92</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5 573 007.62</w:t>
            </w:r>
          </w:p>
        </w:tc>
      </w:tr>
      <w:tr w:rsidR="00AA7EE0" w:rsidRPr="00BB4B9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200 656</w:t>
            </w: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41 477.4</w:t>
            </w:r>
          </w:p>
        </w:tc>
      </w:tr>
    </w:tbl>
    <w:p w:rsidR="00AA7EE0" w:rsidRDefault="00AA7EE0" w:rsidP="00BB4B93">
      <w:pPr>
        <w:pStyle w:val="2"/>
        <w:jc w:val="both"/>
      </w:pPr>
      <w:bookmarkStart w:id="65" w:name="_Toc324431777"/>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5"/>
    </w:p>
    <w:p w:rsidR="00AA7EE0" w:rsidRDefault="00AA7EE0" w:rsidP="00BB4B93">
      <w:pPr>
        <w:ind w:left="200"/>
        <w:jc w:val="both"/>
      </w:pPr>
      <w:r>
        <w:rPr>
          <w:rStyle w:val="Subst"/>
          <w:bCs/>
          <w:iCs/>
        </w:rPr>
        <w:t>Эмитент не имеет обязательств перед сотрудниками (работниками), касающихся возможности их участия в уставном (складочном) капитале эмитента</w:t>
      </w:r>
      <w:r w:rsidR="008C0BBF">
        <w:rPr>
          <w:rStyle w:val="Subst"/>
          <w:bCs/>
          <w:iCs/>
        </w:rPr>
        <w:t>.</w:t>
      </w:r>
    </w:p>
    <w:p w:rsidR="00AA7EE0" w:rsidRDefault="00AA7EE0" w:rsidP="00BB4B93">
      <w:pPr>
        <w:pStyle w:val="1"/>
        <w:jc w:val="both"/>
      </w:pPr>
      <w:bookmarkStart w:id="66" w:name="_Toc324431778"/>
      <w:r>
        <w:t>VI. Сведения об участниках (акционерах) эмитента и о совершенных эмитентом сделках, в совершении которых имелась заинтересованность</w:t>
      </w:r>
      <w:bookmarkEnd w:id="66"/>
    </w:p>
    <w:p w:rsidR="00AA7EE0" w:rsidRDefault="00AA7EE0" w:rsidP="00BB4B93">
      <w:pPr>
        <w:pStyle w:val="2"/>
        <w:jc w:val="both"/>
      </w:pPr>
      <w:bookmarkStart w:id="67" w:name="_Toc324431779"/>
      <w:r>
        <w:t>6.1. Сведения об общем количестве акционеров (участников) эмитента</w:t>
      </w:r>
      <w:bookmarkEnd w:id="67"/>
    </w:p>
    <w:p w:rsidR="00AA7EE0" w:rsidRDefault="00AA7EE0" w:rsidP="00BB4B93">
      <w:pPr>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759</w:t>
      </w:r>
    </w:p>
    <w:p w:rsidR="00AA7EE0" w:rsidRDefault="00AA7EE0" w:rsidP="00BB4B93">
      <w:pPr>
        <w:jc w:val="both"/>
      </w:pPr>
      <w:r>
        <w:t>Общее количество номинальных держателей акций эмитента:</w:t>
      </w:r>
      <w:r>
        <w:rPr>
          <w:rStyle w:val="Subst"/>
          <w:bCs/>
          <w:iCs/>
        </w:rPr>
        <w:t xml:space="preserve"> 5</w:t>
      </w:r>
    </w:p>
    <w:p w:rsidR="00AA7EE0" w:rsidRDefault="00AA7EE0" w:rsidP="00BB4B93">
      <w:pPr>
        <w:pStyle w:val="ThinDelim"/>
        <w:jc w:val="both"/>
      </w:pPr>
    </w:p>
    <w:p w:rsidR="00AA7EE0" w:rsidRDefault="00AA7EE0" w:rsidP="00BB4B93">
      <w:pPr>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762</w:t>
      </w:r>
    </w:p>
    <w:p w:rsidR="00AA7EE0" w:rsidRDefault="00AA7EE0" w:rsidP="00BB4B93">
      <w:pPr>
        <w:jc w:val="both"/>
      </w:pPr>
      <w:r>
        <w:t xml:space="preserve">Дата составления списка лиц, включенных в составленный последним список лиц, имевших (имеющих) право </w:t>
      </w:r>
      <w:r>
        <w:lastRenderedPageBreak/>
        <w:t>на участие в общем собрании акционеров эмитента:</w:t>
      </w:r>
      <w:r>
        <w:rPr>
          <w:rStyle w:val="Subst"/>
          <w:bCs/>
          <w:iCs/>
        </w:rPr>
        <w:t xml:space="preserve"> 20.04.2011</w:t>
      </w:r>
    </w:p>
    <w:p w:rsidR="00AA7EE0" w:rsidRDefault="00AA7EE0" w:rsidP="00BB4B93">
      <w:pPr>
        <w:jc w:val="both"/>
      </w:pPr>
      <w:r>
        <w:t>Владельцы обыкновенных акций эмитента, которые подлежали включению в такой список:</w:t>
      </w:r>
      <w:r>
        <w:rPr>
          <w:rStyle w:val="Subst"/>
          <w:bCs/>
          <w:iCs/>
        </w:rPr>
        <w:t xml:space="preserve"> 762</w:t>
      </w:r>
    </w:p>
    <w:p w:rsidR="00AA7EE0" w:rsidRDefault="00AA7EE0" w:rsidP="00BB4B93">
      <w:pPr>
        <w:pStyle w:val="2"/>
        <w:jc w:val="both"/>
      </w:pPr>
      <w:bookmarkStart w:id="68" w:name="_Toc324431780"/>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bookmarkEnd w:id="68"/>
    </w:p>
    <w:p w:rsidR="00AA7EE0" w:rsidRDefault="00AA7EE0" w:rsidP="00BB4B93">
      <w:pPr>
        <w:ind w:left="200"/>
        <w:jc w:val="both"/>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r w:rsidR="009723C8">
        <w:t>:</w:t>
      </w:r>
    </w:p>
    <w:p w:rsidR="009723C8" w:rsidRDefault="009723C8" w:rsidP="00BB4B93">
      <w:pPr>
        <w:ind w:left="200"/>
        <w:jc w:val="both"/>
        <w:rPr>
          <w:rStyle w:val="Subst"/>
          <w:bCs/>
          <w:iCs/>
        </w:rPr>
      </w:pPr>
    </w:p>
    <w:p w:rsidR="00AA7EE0" w:rsidRDefault="00AA7EE0" w:rsidP="00BB4B93">
      <w:pPr>
        <w:ind w:left="200"/>
        <w:jc w:val="both"/>
      </w:pPr>
      <w:r>
        <w:rPr>
          <w:rStyle w:val="Subst"/>
          <w:bCs/>
          <w:iCs/>
        </w:rPr>
        <w:t>Номинальный держатель</w:t>
      </w:r>
    </w:p>
    <w:p w:rsidR="00AA7EE0" w:rsidRDefault="00AA7EE0" w:rsidP="00BB4B93">
      <w:pPr>
        <w:ind w:left="200"/>
        <w:jc w:val="both"/>
      </w:pPr>
      <w:r>
        <w:t>Информация о номинальном держателе:</w:t>
      </w:r>
    </w:p>
    <w:p w:rsidR="00AA7EE0" w:rsidRDefault="00AA7EE0" w:rsidP="00BB4B93">
      <w:pPr>
        <w:ind w:left="200"/>
        <w:jc w:val="both"/>
      </w:pPr>
      <w:r>
        <w:t>Полное фирменное наименование:</w:t>
      </w:r>
      <w:r>
        <w:rPr>
          <w:rStyle w:val="Subst"/>
          <w:bCs/>
          <w:iCs/>
        </w:rPr>
        <w:t xml:space="preserve"> Открытое акционерное общество "Всероссийский банк развития регионов"</w:t>
      </w:r>
    </w:p>
    <w:p w:rsidR="00AA7EE0" w:rsidRDefault="00AA7EE0" w:rsidP="00BB4B93">
      <w:pPr>
        <w:ind w:left="200"/>
        <w:jc w:val="both"/>
      </w:pPr>
      <w:r>
        <w:t>Сокращенное фирменное наименование:</w:t>
      </w:r>
      <w:r>
        <w:rPr>
          <w:rStyle w:val="Subst"/>
          <w:bCs/>
          <w:iCs/>
        </w:rPr>
        <w:t xml:space="preserve"> ОАО "ВБРР"</w:t>
      </w:r>
    </w:p>
    <w:p w:rsidR="00AA7EE0" w:rsidRDefault="00AA7EE0" w:rsidP="00A52A75">
      <w:pPr>
        <w:pStyle w:val="SubHeading"/>
        <w:spacing w:before="0"/>
        <w:ind w:left="198"/>
        <w:jc w:val="both"/>
      </w:pPr>
      <w:r>
        <w:t>Место нахождения</w:t>
      </w:r>
      <w:r>
        <w:rPr>
          <w:rStyle w:val="Subst"/>
          <w:bCs/>
          <w:iCs/>
        </w:rPr>
        <w:t>129594 Россия, Москва, Сущевский вал 65 корп. 1</w:t>
      </w:r>
    </w:p>
    <w:p w:rsidR="00AA7EE0" w:rsidRDefault="00AA7EE0" w:rsidP="00BB4B93">
      <w:pPr>
        <w:ind w:left="200"/>
        <w:jc w:val="both"/>
      </w:pPr>
      <w:r>
        <w:t>ИНН:</w:t>
      </w:r>
      <w:r>
        <w:rPr>
          <w:rStyle w:val="Subst"/>
          <w:bCs/>
          <w:iCs/>
        </w:rPr>
        <w:t xml:space="preserve"> 7736153344</w:t>
      </w:r>
    </w:p>
    <w:p w:rsidR="00AA7EE0" w:rsidRDefault="00AA7EE0" w:rsidP="00BB4B93">
      <w:pPr>
        <w:ind w:left="200"/>
        <w:jc w:val="both"/>
      </w:pPr>
      <w:r>
        <w:t>ОГРН:</w:t>
      </w:r>
      <w:r>
        <w:rPr>
          <w:rStyle w:val="Subst"/>
          <w:bCs/>
          <w:iCs/>
        </w:rPr>
        <w:t xml:space="preserve"> 1027739186914</w:t>
      </w:r>
    </w:p>
    <w:p w:rsidR="00AA7EE0" w:rsidRDefault="00AA7EE0" w:rsidP="00BB4B93">
      <w:pPr>
        <w:ind w:left="200"/>
        <w:jc w:val="both"/>
      </w:pPr>
      <w:r>
        <w:t>Телефон:</w:t>
      </w:r>
      <w:r>
        <w:rPr>
          <w:rStyle w:val="Subst"/>
          <w:bCs/>
          <w:iCs/>
        </w:rPr>
        <w:t xml:space="preserve"> (495) 933-0349</w:t>
      </w:r>
    </w:p>
    <w:p w:rsidR="00AA7EE0" w:rsidRDefault="00AA7EE0" w:rsidP="00BB4B93">
      <w:pPr>
        <w:ind w:left="200"/>
        <w:jc w:val="both"/>
      </w:pPr>
      <w:r>
        <w:t>Факс:</w:t>
      </w:r>
      <w:r>
        <w:rPr>
          <w:rStyle w:val="Subst"/>
          <w:bCs/>
          <w:iCs/>
        </w:rPr>
        <w:t xml:space="preserve"> (495) 933-0343</w:t>
      </w:r>
    </w:p>
    <w:p w:rsidR="00AA7EE0" w:rsidRDefault="00AA7EE0" w:rsidP="00BB4B93">
      <w:pPr>
        <w:ind w:left="200"/>
        <w:jc w:val="both"/>
      </w:pPr>
      <w:r>
        <w:rPr>
          <w:rStyle w:val="Subst"/>
          <w:bCs/>
          <w:iCs/>
        </w:rPr>
        <w:t>Адреса электронной почты не имеет</w:t>
      </w:r>
    </w:p>
    <w:p w:rsidR="00AA7EE0" w:rsidRDefault="00AA7EE0" w:rsidP="00BB4B93">
      <w:pPr>
        <w:pStyle w:val="SubHeading"/>
        <w:ind w:left="200"/>
        <w:jc w:val="both"/>
      </w:pPr>
      <w:r>
        <w:t>Сведения о лицензии профессионального участника рынка ценных бумаг</w:t>
      </w:r>
    </w:p>
    <w:p w:rsidR="00AA7EE0" w:rsidRDefault="00AA7EE0" w:rsidP="00BB4B93">
      <w:pPr>
        <w:ind w:left="400"/>
        <w:jc w:val="both"/>
      </w:pPr>
      <w:r>
        <w:t>Номер:</w:t>
      </w:r>
      <w:r>
        <w:rPr>
          <w:rStyle w:val="Subst"/>
          <w:bCs/>
          <w:iCs/>
        </w:rPr>
        <w:t xml:space="preserve"> 3287</w:t>
      </w:r>
    </w:p>
    <w:p w:rsidR="00AA7EE0" w:rsidRDefault="00AA7EE0" w:rsidP="00BB4B93">
      <w:pPr>
        <w:ind w:left="400"/>
        <w:jc w:val="both"/>
      </w:pPr>
      <w:r>
        <w:t>Дата выдачи:</w:t>
      </w:r>
      <w:r>
        <w:rPr>
          <w:rStyle w:val="Subst"/>
          <w:bCs/>
          <w:iCs/>
        </w:rPr>
        <w:t xml:space="preserve"> 20.06.2002</w:t>
      </w:r>
    </w:p>
    <w:p w:rsidR="00AA7EE0" w:rsidRDefault="00AA7EE0" w:rsidP="009723C8">
      <w:pPr>
        <w:ind w:left="400"/>
        <w:jc w:val="both"/>
      </w:pPr>
      <w:r>
        <w:t>Дата окончания действия:</w:t>
      </w:r>
      <w:r w:rsidR="009723C8">
        <w:t xml:space="preserve"> </w:t>
      </w:r>
      <w:r>
        <w:rPr>
          <w:rStyle w:val="Subst"/>
          <w:bCs/>
          <w:iCs/>
        </w:rPr>
        <w:t>Бессрочная</w:t>
      </w:r>
    </w:p>
    <w:p w:rsidR="00AA7EE0" w:rsidRDefault="00AA7EE0" w:rsidP="00BB4B93">
      <w:pPr>
        <w:ind w:left="400"/>
        <w:jc w:val="both"/>
      </w:pPr>
      <w:r>
        <w:t>Наименование органа, выдавшего лицензию:</w:t>
      </w:r>
      <w:r>
        <w:rPr>
          <w:rStyle w:val="Subst"/>
          <w:bCs/>
          <w:iCs/>
        </w:rPr>
        <w:t xml:space="preserve"> Центральный Банк Российской Федерации</w:t>
      </w:r>
    </w:p>
    <w:p w:rsidR="00AA7EE0" w:rsidRDefault="00AA7EE0" w:rsidP="00BB4B93">
      <w:pPr>
        <w:ind w:left="200"/>
        <w:jc w:val="both"/>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12 433 054</w:t>
      </w:r>
    </w:p>
    <w:p w:rsidR="00AA7EE0" w:rsidRDefault="00AA7EE0" w:rsidP="00BB4B93">
      <w:pPr>
        <w:ind w:left="200"/>
        <w:jc w:val="both"/>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AA7EE0" w:rsidRDefault="00AA7EE0" w:rsidP="00BB4B93">
      <w:pPr>
        <w:pStyle w:val="ThinDelim"/>
        <w:jc w:val="both"/>
      </w:pPr>
    </w:p>
    <w:p w:rsidR="00AA7EE0" w:rsidRDefault="00AA7EE0" w:rsidP="00BB4B93">
      <w:pPr>
        <w:ind w:left="200"/>
        <w:jc w:val="both"/>
      </w:pPr>
    </w:p>
    <w:p w:rsidR="00AA7EE0" w:rsidRDefault="00AA7EE0" w:rsidP="00BB4B93">
      <w:pPr>
        <w:ind w:left="200"/>
        <w:jc w:val="both"/>
      </w:pPr>
      <w:r>
        <w:rPr>
          <w:rStyle w:val="Subst"/>
          <w:bCs/>
          <w:iCs/>
        </w:rPr>
        <w:t>Номинальный держатель</w:t>
      </w:r>
    </w:p>
    <w:p w:rsidR="00AA7EE0" w:rsidRDefault="00AA7EE0" w:rsidP="00BB4B93">
      <w:pPr>
        <w:ind w:left="200"/>
        <w:jc w:val="both"/>
      </w:pPr>
      <w:r>
        <w:t>Информация о номинальном держателе:</w:t>
      </w:r>
    </w:p>
    <w:p w:rsidR="00AA7EE0" w:rsidRDefault="00AA7EE0" w:rsidP="00BB4B93">
      <w:pPr>
        <w:ind w:left="200"/>
        <w:jc w:val="both"/>
      </w:pPr>
      <w:r>
        <w:t>Полное фирменное наименование:</w:t>
      </w:r>
      <w:r>
        <w:rPr>
          <w:rStyle w:val="Subst"/>
          <w:bCs/>
          <w:iCs/>
        </w:rPr>
        <w:t xml:space="preserve"> Закрытое  акционерное общество "Депозитарно-Клиринговая Компания"</w:t>
      </w:r>
    </w:p>
    <w:p w:rsidR="00AA7EE0" w:rsidRDefault="00AA7EE0" w:rsidP="00BB4B93">
      <w:pPr>
        <w:ind w:left="200"/>
        <w:jc w:val="both"/>
      </w:pPr>
      <w:r>
        <w:t>Сокращенное фирменное наименование:</w:t>
      </w:r>
      <w:r>
        <w:rPr>
          <w:rStyle w:val="Subst"/>
          <w:bCs/>
          <w:iCs/>
        </w:rPr>
        <w:t xml:space="preserve"> ЗАО "ДКК"</w:t>
      </w:r>
    </w:p>
    <w:p w:rsidR="00AA7EE0" w:rsidRDefault="00AA7EE0" w:rsidP="00A52A75">
      <w:pPr>
        <w:pStyle w:val="SubHeading"/>
        <w:spacing w:before="0"/>
        <w:ind w:left="198"/>
        <w:jc w:val="both"/>
      </w:pPr>
      <w:r>
        <w:t>Место нахождения</w:t>
      </w:r>
      <w:r w:rsidR="009723C8">
        <w:t xml:space="preserve"> </w:t>
      </w:r>
      <w:r>
        <w:rPr>
          <w:rStyle w:val="Subst"/>
          <w:bCs/>
          <w:iCs/>
        </w:rPr>
        <w:t>115162 Россия, г. Москва, ул. Шаболовка 31 стр. Б</w:t>
      </w:r>
    </w:p>
    <w:p w:rsidR="00AA7EE0" w:rsidRDefault="00AA7EE0" w:rsidP="00BB4B93">
      <w:pPr>
        <w:ind w:left="200"/>
        <w:jc w:val="both"/>
      </w:pPr>
      <w:r>
        <w:t>ИНН:</w:t>
      </w:r>
      <w:r>
        <w:rPr>
          <w:rStyle w:val="Subst"/>
          <w:bCs/>
          <w:iCs/>
        </w:rPr>
        <w:t xml:space="preserve"> 7710021150</w:t>
      </w:r>
    </w:p>
    <w:p w:rsidR="00AA7EE0" w:rsidRDefault="00AA7EE0" w:rsidP="00BB4B93">
      <w:pPr>
        <w:ind w:left="200"/>
        <w:jc w:val="both"/>
      </w:pPr>
      <w:r>
        <w:t>ОГРН:</w:t>
      </w:r>
      <w:r>
        <w:rPr>
          <w:rStyle w:val="Subst"/>
          <w:bCs/>
          <w:iCs/>
        </w:rPr>
        <w:t xml:space="preserve"> 1027739143497</w:t>
      </w:r>
    </w:p>
    <w:p w:rsidR="00AA7EE0" w:rsidRDefault="00AA7EE0" w:rsidP="00BB4B93">
      <w:pPr>
        <w:ind w:left="200"/>
        <w:jc w:val="both"/>
      </w:pPr>
      <w:r>
        <w:t>Телефон:</w:t>
      </w:r>
      <w:r>
        <w:rPr>
          <w:rStyle w:val="Subst"/>
          <w:bCs/>
          <w:iCs/>
        </w:rPr>
        <w:t xml:space="preserve"> (495) 956-0999</w:t>
      </w:r>
    </w:p>
    <w:p w:rsidR="00AA7EE0" w:rsidRDefault="00AA7EE0" w:rsidP="00BB4B93">
      <w:pPr>
        <w:ind w:left="200"/>
        <w:jc w:val="both"/>
      </w:pPr>
      <w:r>
        <w:t>Факс:</w:t>
      </w:r>
      <w:r>
        <w:rPr>
          <w:rStyle w:val="Subst"/>
          <w:bCs/>
          <w:iCs/>
        </w:rPr>
        <w:t xml:space="preserve"> (495) 232-6804</w:t>
      </w:r>
    </w:p>
    <w:p w:rsidR="00AA7EE0" w:rsidRDefault="00AA7EE0" w:rsidP="00BB4B93">
      <w:pPr>
        <w:ind w:left="200"/>
        <w:jc w:val="both"/>
      </w:pPr>
      <w:r>
        <w:t>Адрес электронной почты:</w:t>
      </w:r>
      <w:r>
        <w:rPr>
          <w:rStyle w:val="Subst"/>
          <w:bCs/>
          <w:iCs/>
        </w:rPr>
        <w:t xml:space="preserve"> dcc@dcc.ru</w:t>
      </w:r>
    </w:p>
    <w:p w:rsidR="00AA7EE0" w:rsidRDefault="00AA7EE0" w:rsidP="00BB4B93">
      <w:pPr>
        <w:pStyle w:val="SubHeading"/>
        <w:ind w:left="200"/>
        <w:jc w:val="both"/>
      </w:pPr>
      <w:r>
        <w:t>Сведения о лицензии профессионального участника рынка ценных бумаг</w:t>
      </w:r>
    </w:p>
    <w:p w:rsidR="00AA7EE0" w:rsidRDefault="00AA7EE0" w:rsidP="00BB4B93">
      <w:pPr>
        <w:ind w:left="400"/>
        <w:jc w:val="both"/>
      </w:pPr>
      <w:r>
        <w:t>Номер:</w:t>
      </w:r>
      <w:r>
        <w:rPr>
          <w:rStyle w:val="Subst"/>
          <w:bCs/>
          <w:iCs/>
        </w:rPr>
        <w:t xml:space="preserve"> 177-06236-000100</w:t>
      </w:r>
    </w:p>
    <w:p w:rsidR="00AA7EE0" w:rsidRDefault="00AA7EE0" w:rsidP="00BB4B93">
      <w:pPr>
        <w:ind w:left="400"/>
        <w:jc w:val="both"/>
      </w:pPr>
      <w:r>
        <w:t>Дата выдачи:</w:t>
      </w:r>
    </w:p>
    <w:p w:rsidR="00AA7EE0" w:rsidRDefault="00AA7EE0" w:rsidP="009723C8">
      <w:pPr>
        <w:ind w:left="400"/>
        <w:jc w:val="both"/>
      </w:pPr>
      <w:r>
        <w:t>Дата окончания действия:</w:t>
      </w:r>
      <w:r w:rsidR="009723C8">
        <w:t xml:space="preserve"> </w:t>
      </w:r>
      <w:r>
        <w:rPr>
          <w:rStyle w:val="Subst"/>
          <w:bCs/>
          <w:iCs/>
        </w:rPr>
        <w:t>Бессрочная</w:t>
      </w:r>
    </w:p>
    <w:p w:rsidR="00AA7EE0" w:rsidRDefault="00AA7EE0" w:rsidP="00BB4B93">
      <w:pPr>
        <w:ind w:left="400"/>
        <w:jc w:val="both"/>
      </w:pPr>
      <w:r>
        <w:t>Наименование органа, выдавшего лицензию:</w:t>
      </w:r>
      <w:r>
        <w:rPr>
          <w:rStyle w:val="Subst"/>
          <w:bCs/>
          <w:iCs/>
        </w:rPr>
        <w:t xml:space="preserve"> Федеральная служба по финансовым рынкам</w:t>
      </w:r>
    </w:p>
    <w:p w:rsidR="00AA7EE0" w:rsidRDefault="00AA7EE0" w:rsidP="00BB4B93">
      <w:pPr>
        <w:ind w:left="200"/>
        <w:jc w:val="both"/>
      </w:pPr>
      <w:r>
        <w:t xml:space="preserve">Количество обыкновенных акций эмитента, зарегистрированных в реестре акционеров эмитента на имя </w:t>
      </w:r>
      <w:r>
        <w:lastRenderedPageBreak/>
        <w:t>номинального держателя:</w:t>
      </w:r>
      <w:r>
        <w:rPr>
          <w:rStyle w:val="Subst"/>
          <w:bCs/>
          <w:iCs/>
        </w:rPr>
        <w:t xml:space="preserve"> 41 322 435</w:t>
      </w:r>
    </w:p>
    <w:p w:rsidR="00AA7EE0" w:rsidRDefault="00AA7EE0" w:rsidP="00BB4B93">
      <w:pPr>
        <w:ind w:left="200"/>
        <w:jc w:val="both"/>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AA7EE0" w:rsidRDefault="00AA7EE0" w:rsidP="00BB4B93">
      <w:pPr>
        <w:pStyle w:val="2"/>
        <w:jc w:val="both"/>
      </w:pPr>
      <w:bookmarkStart w:id="69" w:name="_Toc324431781"/>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9"/>
    </w:p>
    <w:p w:rsidR="00AA7EE0" w:rsidRDefault="00AA7EE0" w:rsidP="00BB4B93">
      <w:pPr>
        <w:pStyle w:val="SubHeading"/>
        <w:ind w:left="200"/>
        <w:jc w:val="both"/>
      </w:pPr>
      <w:r>
        <w:t>Сведения об управляющих государственными, муниципальными пакетами акций</w:t>
      </w:r>
    </w:p>
    <w:p w:rsidR="00AA7EE0" w:rsidRDefault="00AA7EE0" w:rsidP="00BB4B93">
      <w:pPr>
        <w:ind w:left="400"/>
        <w:jc w:val="both"/>
      </w:pPr>
      <w:r>
        <w:rPr>
          <w:rStyle w:val="Subst"/>
          <w:bCs/>
          <w:iCs/>
        </w:rPr>
        <w:t>Указанных лиц нет</w:t>
      </w:r>
    </w:p>
    <w:p w:rsidR="00AA7EE0" w:rsidRDefault="00AA7EE0" w:rsidP="00BB4B93">
      <w:pPr>
        <w:pStyle w:val="SubHeading"/>
        <w:ind w:left="200"/>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AA7EE0" w:rsidRDefault="00AA7EE0" w:rsidP="00BB4B93">
      <w:pPr>
        <w:ind w:left="400"/>
        <w:jc w:val="both"/>
      </w:pPr>
      <w:r>
        <w:rPr>
          <w:rStyle w:val="Subst"/>
          <w:bCs/>
          <w:iCs/>
        </w:rPr>
        <w:t>Указанных лиц нет</w:t>
      </w:r>
    </w:p>
    <w:p w:rsidR="00AA7EE0" w:rsidRDefault="00AA7EE0" w:rsidP="00BB4B93">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AA7EE0" w:rsidRDefault="00AA7EE0" w:rsidP="00BB4B93">
      <w:pPr>
        <w:ind w:left="400"/>
        <w:jc w:val="both"/>
      </w:pPr>
      <w:r>
        <w:rPr>
          <w:rStyle w:val="Subst"/>
          <w:bCs/>
          <w:iCs/>
        </w:rPr>
        <w:t>Указанное право не предусмотрено</w:t>
      </w:r>
    </w:p>
    <w:p w:rsidR="00AA7EE0" w:rsidRDefault="00AA7EE0" w:rsidP="00BB4B93">
      <w:pPr>
        <w:pStyle w:val="2"/>
        <w:jc w:val="both"/>
      </w:pPr>
      <w:bookmarkStart w:id="70" w:name="_Toc324431782"/>
      <w:r>
        <w:t>6.4. Сведения об ограничениях на участие в уставном (складочном) капитале (паевом фонде) эмитента</w:t>
      </w:r>
      <w:bookmarkEnd w:id="70"/>
    </w:p>
    <w:p w:rsidR="00AA7EE0" w:rsidRDefault="00AA7EE0" w:rsidP="00BB4B93">
      <w:pPr>
        <w:ind w:left="200"/>
        <w:jc w:val="both"/>
      </w:pPr>
      <w:r>
        <w:rPr>
          <w:rStyle w:val="Subst"/>
          <w:bCs/>
          <w:iCs/>
        </w:rPr>
        <w:t>Ограничений на участие в уставном (складочном) капитале эмитента нет</w:t>
      </w:r>
      <w:r w:rsidR="00A52A75">
        <w:rPr>
          <w:rStyle w:val="Subst"/>
          <w:bCs/>
          <w:iCs/>
        </w:rPr>
        <w:t>.</w:t>
      </w:r>
    </w:p>
    <w:p w:rsidR="00AA7EE0" w:rsidRDefault="00AA7EE0" w:rsidP="00BB4B93">
      <w:pPr>
        <w:pStyle w:val="2"/>
        <w:jc w:val="both"/>
      </w:pPr>
      <w:bookmarkStart w:id="71" w:name="_Toc324431783"/>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71"/>
    </w:p>
    <w:p w:rsidR="00AA7EE0" w:rsidRDefault="00AA7EE0" w:rsidP="00BB4B93">
      <w:pPr>
        <w:ind w:left="200"/>
        <w:jc w:val="both"/>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AA7EE0" w:rsidRDefault="00AA7EE0" w:rsidP="00BB4B93">
      <w:pPr>
        <w:ind w:left="200"/>
        <w:jc w:val="both"/>
      </w:pPr>
      <w:r>
        <w:rPr>
          <w:rStyle w:val="Subst"/>
          <w:bCs/>
          <w:iCs/>
        </w:rPr>
        <w:t>Акционеры эмитента, владевшие/владеющие не менее чем 5 процентами его уставного капитала или не менее чем 5 процентами его обыкновенных акций, отсутствуют.</w:t>
      </w:r>
    </w:p>
    <w:p w:rsidR="00AA7EE0" w:rsidRDefault="00AA7EE0" w:rsidP="00BB4B93">
      <w:pPr>
        <w:pStyle w:val="2"/>
        <w:jc w:val="both"/>
      </w:pPr>
      <w:bookmarkStart w:id="72" w:name="_Toc324431784"/>
      <w:r>
        <w:t>6.6. Сведения о совершенных эмитентом сделках, в совершении которых имелась заинтересованность</w:t>
      </w:r>
      <w:bookmarkEnd w:id="72"/>
    </w:p>
    <w:p w:rsidR="00AA7EE0" w:rsidRDefault="00AA7EE0" w:rsidP="00BB4B93">
      <w:pPr>
        <w:ind w:left="200"/>
        <w:jc w:val="both"/>
      </w:pPr>
      <w:r>
        <w:rPr>
          <w:rStyle w:val="Subst"/>
          <w:bCs/>
          <w:iCs/>
        </w:rPr>
        <w:t>Указанных сделок не совершалось</w:t>
      </w:r>
      <w:r w:rsidR="00A52A75">
        <w:rPr>
          <w:rStyle w:val="Subst"/>
          <w:bCs/>
          <w:iCs/>
        </w:rPr>
        <w:t>.</w:t>
      </w:r>
    </w:p>
    <w:p w:rsidR="00AA7EE0" w:rsidRDefault="00AA7EE0" w:rsidP="00BB4B93">
      <w:pPr>
        <w:pStyle w:val="2"/>
        <w:jc w:val="both"/>
      </w:pPr>
      <w:bookmarkStart w:id="73" w:name="_Toc324431785"/>
      <w:r>
        <w:t>6.7. Сведения о размере дебиторской задолженности</w:t>
      </w:r>
      <w:bookmarkEnd w:id="73"/>
    </w:p>
    <w:p w:rsidR="00AA7EE0"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9723C8">
        <w:rPr>
          <w:rStyle w:val="Subst"/>
          <w:bCs/>
          <w:iCs/>
        </w:rPr>
        <w:t>.</w:t>
      </w:r>
    </w:p>
    <w:p w:rsidR="00AA7EE0" w:rsidRDefault="00AA7EE0" w:rsidP="00BB4B93">
      <w:pPr>
        <w:pStyle w:val="1"/>
        <w:jc w:val="both"/>
      </w:pPr>
      <w:bookmarkStart w:id="74" w:name="_Toc324431786"/>
      <w:r>
        <w:t>VII. Бухгалтерская</w:t>
      </w:r>
      <w:r w:rsidR="00A52A75">
        <w:t xml:space="preserve"> </w:t>
      </w:r>
      <w:r>
        <w:t>(финансовая) отчетность эмитента и иная финансовая информация</w:t>
      </w:r>
      <w:bookmarkEnd w:id="74"/>
    </w:p>
    <w:p w:rsidR="00AA7EE0" w:rsidRDefault="00AA7EE0" w:rsidP="00BB4B93">
      <w:pPr>
        <w:pStyle w:val="2"/>
        <w:jc w:val="both"/>
      </w:pPr>
      <w:bookmarkStart w:id="75" w:name="_Toc324431787"/>
      <w:r>
        <w:t>7.1. Годовая бухгалтерская</w:t>
      </w:r>
      <w:r w:rsidR="00A52A75">
        <w:t xml:space="preserve"> </w:t>
      </w:r>
      <w:r>
        <w:t>(финансовая) отчетность эмитента</w:t>
      </w:r>
      <w:bookmarkEnd w:id="75"/>
    </w:p>
    <w:p w:rsidR="00AA7EE0" w:rsidRDefault="00AA7EE0" w:rsidP="00BB4B93">
      <w:pPr>
        <w:pStyle w:val="SubHeading"/>
        <w:jc w:val="both"/>
      </w:pPr>
      <w:r>
        <w:lastRenderedPageBreak/>
        <w:t>2011</w:t>
      </w:r>
    </w:p>
    <w:p w:rsidR="00AA7EE0" w:rsidRDefault="00AA7EE0" w:rsidP="00BB4B93">
      <w:pPr>
        <w:pStyle w:val="SubHeading"/>
        <w:ind w:left="200"/>
        <w:jc w:val="both"/>
      </w:pPr>
    </w:p>
    <w:p w:rsidR="00AA7EE0" w:rsidRDefault="00AA7EE0" w:rsidP="009723C8">
      <w:pPr>
        <w:jc w:val="center"/>
        <w:rPr>
          <w:b/>
          <w:bCs/>
        </w:rPr>
      </w:pPr>
      <w:r>
        <w:rPr>
          <w:b/>
          <w:bCs/>
        </w:rPr>
        <w:t>Бухгалтерский баланс</w:t>
      </w:r>
      <w:r>
        <w:rPr>
          <w:b/>
          <w:bCs/>
        </w:rPr>
        <w:br/>
        <w:t>за 2011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31.12.2011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792"/>
        <w:gridCol w:w="3840"/>
        <w:gridCol w:w="720"/>
        <w:gridCol w:w="1280"/>
        <w:gridCol w:w="1280"/>
        <w:gridCol w:w="1340"/>
      </w:tblGrid>
      <w:tr w:rsidR="00AA7EE0" w:rsidRPr="00BB4B93">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AA7EE0" w:rsidRPr="00BB4B93" w:rsidRDefault="00AA7EE0" w:rsidP="009723C8">
            <w:pPr>
              <w:jc w:val="center"/>
              <w:rPr>
                <w:rFonts w:eastAsiaTheme="minorEastAsia"/>
              </w:rPr>
            </w:pPr>
            <w:r w:rsidRPr="00BB4B93">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31.12.2011 г.</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c>
          <w:tcPr>
            <w:tcW w:w="134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31.12.2009 г.</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34 034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35 726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33 650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487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34 521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35 726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33 650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380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190</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64</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8 389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6 274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5 561</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3 000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240 036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213 445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29 316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1 551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1 808</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1 357</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250 358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221 717</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39 298</w:t>
            </w:r>
          </w:p>
        </w:tc>
      </w:tr>
      <w:tr w:rsidR="00AA7EE0" w:rsidRPr="00BB4B93">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284 877</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257 443</w:t>
            </w:r>
          </w:p>
        </w:tc>
        <w:tc>
          <w:tcPr>
            <w:tcW w:w="134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72 948</w:t>
            </w:r>
          </w:p>
        </w:tc>
      </w:tr>
    </w:tbl>
    <w:p w:rsidR="00AA7EE0" w:rsidRDefault="00AA7EE0" w:rsidP="00BB4B93">
      <w:pPr>
        <w:jc w:val="both"/>
      </w:pPr>
    </w:p>
    <w:p w:rsidR="00AA7EE0" w:rsidRDefault="00AA7EE0" w:rsidP="00BB4B93">
      <w:pPr>
        <w:pStyle w:val="ThinDelim"/>
        <w:jc w:val="both"/>
      </w:pPr>
    </w:p>
    <w:tbl>
      <w:tblPr>
        <w:tblW w:w="0" w:type="auto"/>
        <w:tblLayout w:type="fixed"/>
        <w:tblCellMar>
          <w:left w:w="72" w:type="dxa"/>
          <w:right w:w="72" w:type="dxa"/>
        </w:tblCellMar>
        <w:tblLook w:val="0000"/>
      </w:tblPr>
      <w:tblGrid>
        <w:gridCol w:w="792"/>
        <w:gridCol w:w="3840"/>
        <w:gridCol w:w="720"/>
        <w:gridCol w:w="1280"/>
        <w:gridCol w:w="1280"/>
        <w:gridCol w:w="1340"/>
      </w:tblGrid>
      <w:tr w:rsidR="00AA7EE0" w:rsidRPr="00BB4B93">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AA7EE0" w:rsidRPr="00BB4B93" w:rsidRDefault="00AA7EE0" w:rsidP="009723C8">
            <w:pPr>
              <w:jc w:val="center"/>
              <w:rPr>
                <w:rFonts w:eastAsiaTheme="minorEastAsia"/>
              </w:rPr>
            </w:pPr>
            <w:r w:rsidRPr="00BB4B93">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31.12.2011 г.</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c>
          <w:tcPr>
            <w:tcW w:w="134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31.12.2009 г.</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250 804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249 971</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77 571</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15 829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-11 354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-15 539</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266 633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238 617</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62 032</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123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123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9723C8">
            <w:pPr>
              <w:rPr>
                <w:rFonts w:eastAsiaTheme="minorEastAsia"/>
              </w:rPr>
            </w:pPr>
            <w:r w:rsidRPr="00BB4B93">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15 810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18 826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10 793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2 434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18 244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18 826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10 793</w:t>
            </w:r>
          </w:p>
        </w:tc>
      </w:tr>
      <w:tr w:rsidR="00AA7EE0" w:rsidRPr="00BB4B93">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284 877</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257 443</w:t>
            </w:r>
          </w:p>
        </w:tc>
        <w:tc>
          <w:tcPr>
            <w:tcW w:w="134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72 948</w:t>
            </w:r>
          </w:p>
        </w:tc>
      </w:tr>
    </w:tbl>
    <w:p w:rsidR="00AA7EE0" w:rsidRDefault="00AA7EE0" w:rsidP="00BB4B93">
      <w:pPr>
        <w:jc w:val="both"/>
      </w:pPr>
    </w:p>
    <w:p w:rsidR="00AA7EE0" w:rsidRDefault="00AA7EE0" w:rsidP="00BB4B93">
      <w:pPr>
        <w:ind w:left="200"/>
        <w:jc w:val="both"/>
      </w:pPr>
    </w:p>
    <w:p w:rsidR="00AA7EE0" w:rsidRDefault="00AA7EE0" w:rsidP="00BB4B93">
      <w:pPr>
        <w:pStyle w:val="SubHeading"/>
        <w:ind w:left="200"/>
        <w:jc w:val="both"/>
      </w:pPr>
      <w:r>
        <w:br w:type="page"/>
      </w:r>
    </w:p>
    <w:p w:rsidR="00AA7EE0" w:rsidRDefault="00AA7EE0" w:rsidP="009723C8">
      <w:pPr>
        <w:jc w:val="center"/>
        <w:rPr>
          <w:b/>
          <w:bCs/>
        </w:rPr>
      </w:pPr>
      <w:r>
        <w:rPr>
          <w:b/>
          <w:bCs/>
        </w:rPr>
        <w:t>Отчет о прибылях и убытках</w:t>
      </w:r>
      <w:r>
        <w:rPr>
          <w:b/>
          <w:bCs/>
        </w:rPr>
        <w:br/>
        <w:t>за 2011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31.12.2011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712"/>
        <w:gridCol w:w="5140"/>
        <w:gridCol w:w="640"/>
        <w:gridCol w:w="1360"/>
        <w:gridCol w:w="1400"/>
      </w:tblGrid>
      <w:tr w:rsidR="00AA7EE0" w:rsidRPr="00BB4B93">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12 мес.2011 г.</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За 12 мес.2010 г.</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125 384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112 282</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-80 584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-77 964</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44 800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34 318</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-16 772</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-30 233</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28 028</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4 085</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6 199</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4 595</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1 992</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3 202</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-3 462</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-4 916</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32 757</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6 966</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-8 458</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-2 757</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487</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-24</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24 786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4 185</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24 786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4 185</w:t>
            </w:r>
          </w:p>
        </w:tc>
      </w:tr>
      <w:tr w:rsidR="00AA7EE0" w:rsidRPr="00BB4B93">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p>
        </w:tc>
      </w:tr>
    </w:tbl>
    <w:p w:rsidR="00AA7EE0" w:rsidRDefault="00AA7EE0" w:rsidP="00BB4B93">
      <w:pPr>
        <w:jc w:val="both"/>
      </w:pPr>
    </w:p>
    <w:p w:rsidR="00AA7EE0" w:rsidRDefault="00AA7EE0" w:rsidP="00BB4B93">
      <w:pPr>
        <w:ind w:left="200"/>
        <w:jc w:val="both"/>
      </w:pPr>
    </w:p>
    <w:p w:rsidR="00AA7EE0" w:rsidRDefault="00AA7EE0" w:rsidP="00BB4B93">
      <w:pPr>
        <w:pStyle w:val="SubHeading"/>
        <w:ind w:left="200"/>
        <w:jc w:val="both"/>
      </w:pPr>
      <w:r>
        <w:br w:type="page"/>
      </w:r>
    </w:p>
    <w:p w:rsidR="00AA7EE0" w:rsidRDefault="00AA7EE0" w:rsidP="00A512E0">
      <w:pPr>
        <w:jc w:val="center"/>
        <w:rPr>
          <w:b/>
          <w:bCs/>
        </w:rPr>
      </w:pPr>
      <w:r>
        <w:rPr>
          <w:b/>
          <w:bCs/>
        </w:rPr>
        <w:t>Отчет об изменениях капитала</w:t>
      </w:r>
      <w:r>
        <w:rPr>
          <w:b/>
          <w:bCs/>
        </w:rPr>
        <w:br/>
        <w:t>за 2011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0710003</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31.12.2011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AA7EE0" w:rsidRPr="00BB4B93">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Движение капитала</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Итого</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6</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8</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3100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77 571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-15 539</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62 032</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172 400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4 185</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176 585</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4 185</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4 185</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3212</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3214</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172 400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172 400</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3215</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3216</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3222</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 xml:space="preserve">расходы, относящиеся непосредственно на </w:t>
            </w:r>
            <w:r w:rsidRPr="00BB4B93">
              <w:rPr>
                <w:rFonts w:eastAsiaTheme="minorEastAsia"/>
              </w:rPr>
              <w:lastRenderedPageBreak/>
              <w:t>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lastRenderedPageBreak/>
              <w:t>3223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3224</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3225</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3226</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3227</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3230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3240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3200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249 971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-11 354</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238 617</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833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27 183</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28 016</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24 785</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24 785</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3312</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3314</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3315</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3316</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833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2 398</w:t>
            </w: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3 231</w:t>
            </w: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3321</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3322</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3323</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3324</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3325</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3326</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3327</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3330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3340</w:t>
            </w: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0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3300</w:t>
            </w:r>
          </w:p>
        </w:tc>
        <w:tc>
          <w:tcPr>
            <w:tcW w:w="100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250 804</w:t>
            </w:r>
          </w:p>
        </w:tc>
        <w:tc>
          <w:tcPr>
            <w:tcW w:w="100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00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15 829</w:t>
            </w:r>
          </w:p>
        </w:tc>
        <w:tc>
          <w:tcPr>
            <w:tcW w:w="10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266 633</w:t>
            </w:r>
          </w:p>
        </w:tc>
      </w:tr>
    </w:tbl>
    <w:p w:rsidR="00AA7EE0" w:rsidRDefault="00AA7EE0" w:rsidP="00BB4B93">
      <w:pPr>
        <w:jc w:val="both"/>
      </w:pPr>
    </w:p>
    <w:p w:rsidR="00AA7EE0" w:rsidRDefault="00AA7EE0" w:rsidP="00BB4B93">
      <w:pPr>
        <w:pStyle w:val="ThinDelim"/>
        <w:jc w:val="both"/>
      </w:pPr>
    </w:p>
    <w:tbl>
      <w:tblPr>
        <w:tblW w:w="0" w:type="auto"/>
        <w:tblLayout w:type="fixed"/>
        <w:tblCellMar>
          <w:left w:w="72" w:type="dxa"/>
          <w:right w:w="72" w:type="dxa"/>
        </w:tblCellMar>
        <w:tblLook w:val="0000"/>
      </w:tblPr>
      <w:tblGrid>
        <w:gridCol w:w="3732"/>
        <w:gridCol w:w="720"/>
        <w:gridCol w:w="1180"/>
        <w:gridCol w:w="1180"/>
        <w:gridCol w:w="1180"/>
        <w:gridCol w:w="1260"/>
      </w:tblGrid>
      <w:tr w:rsidR="00AA7EE0" w:rsidRPr="00BB4B93">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lastRenderedPageBreak/>
              <w:t>2. Корректировки в связи с изменением учетной политики и исправлением ошибок</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2360" w:type="dxa"/>
            <w:gridSpan w:val="2"/>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Изменения капитала за 2010 г.</w:t>
            </w: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31.12.2009 г.</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3400</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62 032</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4 184</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172 401</w:t>
            </w: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238 617</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3410</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3420</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3500</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-15 538</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4 184</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-11 354</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3401</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-15 538</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4 184</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-11 354</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3411</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3421</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3501</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-15 538</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4 184</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-11 354</w:t>
            </w: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статьям)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3402</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3412</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3422</w:t>
            </w: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3502</w:t>
            </w:r>
          </w:p>
        </w:tc>
        <w:tc>
          <w:tcPr>
            <w:tcW w:w="11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1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26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p>
        </w:tc>
      </w:tr>
    </w:tbl>
    <w:p w:rsidR="00AA7EE0" w:rsidRDefault="00AA7EE0" w:rsidP="00BB4B93">
      <w:pPr>
        <w:jc w:val="both"/>
      </w:pPr>
    </w:p>
    <w:p w:rsidR="00AA7EE0" w:rsidRDefault="00AA7EE0" w:rsidP="00BB4B93">
      <w:pPr>
        <w:pStyle w:val="ThinDelim"/>
        <w:jc w:val="both"/>
      </w:pPr>
    </w:p>
    <w:tbl>
      <w:tblPr>
        <w:tblW w:w="0" w:type="auto"/>
        <w:tblLayout w:type="fixed"/>
        <w:tblCellMar>
          <w:left w:w="72" w:type="dxa"/>
          <w:right w:w="72" w:type="dxa"/>
        </w:tblCellMar>
        <w:tblLook w:val="0000"/>
      </w:tblPr>
      <w:tblGrid>
        <w:gridCol w:w="4012"/>
        <w:gridCol w:w="820"/>
        <w:gridCol w:w="1460"/>
        <w:gridCol w:w="1460"/>
        <w:gridCol w:w="1500"/>
      </w:tblGrid>
      <w:tr w:rsidR="00AA7EE0" w:rsidRPr="00BB4B93">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Справки</w:t>
            </w:r>
          </w:p>
        </w:tc>
      </w:tr>
      <w:tr w:rsidR="00AA7EE0" w:rsidRPr="00BB4B93">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w:t>
            </w:r>
          </w:p>
        </w:tc>
        <w:tc>
          <w:tcPr>
            <w:tcW w:w="14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31.12.2011 г.</w:t>
            </w:r>
          </w:p>
        </w:tc>
        <w:tc>
          <w:tcPr>
            <w:tcW w:w="14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31.12.2009 г.</w:t>
            </w:r>
          </w:p>
        </w:tc>
      </w:tr>
      <w:tr w:rsidR="00AA7EE0" w:rsidRPr="00BB4B93">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8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14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4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5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w:t>
            </w:r>
          </w:p>
        </w:tc>
      </w:tr>
      <w:tr w:rsidR="00AA7EE0" w:rsidRPr="00BB4B93">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3600</w:t>
            </w:r>
          </w:p>
        </w:tc>
        <w:tc>
          <w:tcPr>
            <w:tcW w:w="14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26 663</w:t>
            </w:r>
          </w:p>
        </w:tc>
        <w:tc>
          <w:tcPr>
            <w:tcW w:w="14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238 617</w:t>
            </w:r>
          </w:p>
        </w:tc>
        <w:tc>
          <w:tcPr>
            <w:tcW w:w="15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62 032</w:t>
            </w:r>
          </w:p>
        </w:tc>
      </w:tr>
    </w:tbl>
    <w:p w:rsidR="00AA7EE0" w:rsidRDefault="00AA7EE0" w:rsidP="00BB4B93">
      <w:pPr>
        <w:jc w:val="both"/>
      </w:pPr>
    </w:p>
    <w:p w:rsidR="00AA7EE0" w:rsidRDefault="00AA7EE0" w:rsidP="00BB4B93">
      <w:pPr>
        <w:ind w:left="200"/>
        <w:jc w:val="both"/>
      </w:pPr>
    </w:p>
    <w:p w:rsidR="00AA7EE0" w:rsidRDefault="00AA7EE0" w:rsidP="00BB4B93">
      <w:pPr>
        <w:pStyle w:val="SubHeading"/>
        <w:ind w:left="200"/>
        <w:jc w:val="both"/>
      </w:pPr>
      <w:r>
        <w:br w:type="page"/>
      </w:r>
    </w:p>
    <w:p w:rsidR="00AA7EE0" w:rsidRDefault="00AA7EE0" w:rsidP="00A512E0">
      <w:pPr>
        <w:jc w:val="center"/>
        <w:rPr>
          <w:b/>
          <w:bCs/>
        </w:rPr>
      </w:pPr>
      <w:r>
        <w:rPr>
          <w:b/>
          <w:bCs/>
        </w:rPr>
        <w:t>Отчет о движении денежных средств</w:t>
      </w:r>
      <w:r>
        <w:rPr>
          <w:b/>
          <w:bCs/>
        </w:rPr>
        <w:br/>
        <w:t>за 2011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31.12.2011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5392"/>
        <w:gridCol w:w="720"/>
        <w:gridCol w:w="1560"/>
        <w:gridCol w:w="1580"/>
      </w:tblGrid>
      <w:tr w:rsidR="00AA7EE0" w:rsidRPr="00BB4B93">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5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12 мес.2011 г.</w:t>
            </w:r>
          </w:p>
        </w:tc>
        <w:tc>
          <w:tcPr>
            <w:tcW w:w="158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За 12 мес.2010 г.</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4110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136 397</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121 976</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4111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128 231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115 693</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4112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4113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4119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8 166</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6 283</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-108 736</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-110 247</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-55 661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-72 534</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-25 514</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-22 552</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4124</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-8 874</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-120</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4129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-18 687</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-15 041</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4100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27 661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11 729</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1 991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1 991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lastRenderedPageBreak/>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4214</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4219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-3 061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4224</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4229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4200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-1 070</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172 400</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172 400</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4314</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4319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4320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4321</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4322</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4323</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4329</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4300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172 400</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4400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26 591</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184 129</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4450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213 445</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29 316</w:t>
            </w:r>
          </w:p>
        </w:tc>
      </w:tr>
      <w:tr w:rsidR="00AA7EE0" w:rsidRPr="00BB4B9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4500</w:t>
            </w:r>
          </w:p>
        </w:tc>
        <w:tc>
          <w:tcPr>
            <w:tcW w:w="15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240 036</w:t>
            </w:r>
          </w:p>
        </w:tc>
        <w:tc>
          <w:tcPr>
            <w:tcW w:w="158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213 445</w:t>
            </w:r>
          </w:p>
        </w:tc>
      </w:tr>
      <w:tr w:rsidR="00AA7EE0" w:rsidRPr="00BB4B93">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4490</w:t>
            </w:r>
          </w:p>
        </w:tc>
        <w:tc>
          <w:tcPr>
            <w:tcW w:w="15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p>
        </w:tc>
      </w:tr>
    </w:tbl>
    <w:p w:rsidR="00AA7EE0" w:rsidRDefault="00AA7EE0" w:rsidP="00BB4B93">
      <w:pPr>
        <w:jc w:val="both"/>
      </w:pPr>
    </w:p>
    <w:p w:rsidR="00AA7EE0" w:rsidRDefault="00AA7EE0" w:rsidP="00BB4B93">
      <w:pPr>
        <w:ind w:left="200"/>
        <w:jc w:val="both"/>
      </w:pPr>
    </w:p>
    <w:p w:rsidR="00AA7EE0" w:rsidRDefault="00AA7EE0" w:rsidP="00BB4B93">
      <w:pPr>
        <w:pStyle w:val="SubHeading"/>
        <w:ind w:left="200"/>
        <w:jc w:val="both"/>
      </w:pPr>
      <w:r>
        <w:br w:type="page"/>
      </w:r>
    </w:p>
    <w:p w:rsidR="00AA7EE0" w:rsidRDefault="00AA7EE0" w:rsidP="00A512E0">
      <w:pPr>
        <w:widowControl/>
        <w:spacing w:before="0" w:after="0"/>
        <w:ind w:left="1620"/>
        <w:jc w:val="center"/>
        <w:rPr>
          <w:b/>
          <w:bCs/>
          <w:sz w:val="24"/>
          <w:szCs w:val="24"/>
          <w:u w:val="single"/>
        </w:rPr>
      </w:pPr>
      <w:r>
        <w:rPr>
          <w:b/>
          <w:bCs/>
          <w:sz w:val="24"/>
          <w:szCs w:val="24"/>
          <w:u w:val="single"/>
        </w:rPr>
        <w:t>ПОЯСНИТЕЛЬНАЯ ЗАПИСКА К БУХГАЛТЕРСКОЙ ОТЧЕТНОСТИ</w:t>
      </w:r>
    </w:p>
    <w:p w:rsidR="00AA7EE0" w:rsidRDefault="00AA7EE0" w:rsidP="00A512E0">
      <w:pPr>
        <w:widowControl/>
        <w:spacing w:before="0" w:after="0"/>
        <w:ind w:left="1620"/>
        <w:jc w:val="center"/>
        <w:rPr>
          <w:b/>
          <w:bCs/>
          <w:sz w:val="24"/>
          <w:szCs w:val="24"/>
          <w:u w:val="single"/>
        </w:rPr>
      </w:pPr>
      <w:r>
        <w:rPr>
          <w:b/>
          <w:bCs/>
          <w:sz w:val="24"/>
          <w:szCs w:val="24"/>
          <w:u w:val="single"/>
        </w:rPr>
        <w:t>ОАО «РН-Влакра» за 2011г.</w:t>
      </w:r>
    </w:p>
    <w:p w:rsidR="00AA7EE0" w:rsidRDefault="00AA7EE0" w:rsidP="00BB4B93">
      <w:pPr>
        <w:widowControl/>
        <w:spacing w:before="0" w:after="0"/>
        <w:ind w:left="2112"/>
        <w:jc w:val="both"/>
        <w:rPr>
          <w:sz w:val="24"/>
          <w:szCs w:val="24"/>
          <w:u w:val="single"/>
        </w:rPr>
      </w:pPr>
    </w:p>
    <w:p w:rsidR="00AA7EE0" w:rsidRPr="00A512E0" w:rsidRDefault="00AA7EE0" w:rsidP="00BB4B93">
      <w:pPr>
        <w:widowControl/>
        <w:spacing w:before="0" w:after="0"/>
        <w:ind w:left="720"/>
        <w:jc w:val="both"/>
        <w:rPr>
          <w:b/>
          <w:bCs/>
          <w:sz w:val="22"/>
          <w:szCs w:val="22"/>
        </w:rPr>
      </w:pPr>
      <w:r w:rsidRPr="00A512E0">
        <w:rPr>
          <w:b/>
          <w:bCs/>
          <w:sz w:val="22"/>
          <w:szCs w:val="22"/>
        </w:rPr>
        <w:t xml:space="preserve">1.Общие сведения. </w:t>
      </w:r>
    </w:p>
    <w:p w:rsidR="00AA7EE0" w:rsidRPr="00A512E0" w:rsidRDefault="00AA7EE0" w:rsidP="00BB4B93">
      <w:pPr>
        <w:widowControl/>
        <w:spacing w:before="0" w:after="0"/>
        <w:ind w:left="720"/>
        <w:jc w:val="both"/>
        <w:rPr>
          <w:b/>
          <w:bCs/>
          <w:sz w:val="22"/>
          <w:szCs w:val="22"/>
          <w:u w:val="single"/>
        </w:rPr>
      </w:pPr>
    </w:p>
    <w:p w:rsidR="00AA7EE0" w:rsidRPr="00A512E0" w:rsidRDefault="00AA7EE0" w:rsidP="00BB4B93">
      <w:pPr>
        <w:widowControl/>
        <w:spacing w:before="0" w:after="0"/>
        <w:ind w:left="720"/>
        <w:jc w:val="both"/>
        <w:rPr>
          <w:b/>
          <w:bCs/>
          <w:sz w:val="22"/>
          <w:szCs w:val="22"/>
        </w:rPr>
      </w:pPr>
      <w:r w:rsidRPr="00A512E0">
        <w:rPr>
          <w:b/>
          <w:bCs/>
          <w:sz w:val="22"/>
          <w:szCs w:val="22"/>
        </w:rPr>
        <w:t>Фирменное наименование Общества на русском языке:</w:t>
      </w:r>
    </w:p>
    <w:p w:rsidR="00AA7EE0" w:rsidRPr="00A512E0" w:rsidRDefault="00AA7EE0" w:rsidP="00BB4B93">
      <w:pPr>
        <w:widowControl/>
        <w:spacing w:before="0" w:after="0"/>
        <w:ind w:left="720"/>
        <w:jc w:val="both"/>
        <w:rPr>
          <w:sz w:val="22"/>
          <w:szCs w:val="22"/>
        </w:rPr>
      </w:pPr>
      <w:r w:rsidRPr="00A512E0">
        <w:rPr>
          <w:sz w:val="22"/>
          <w:szCs w:val="22"/>
        </w:rPr>
        <w:t>Полное – Открытое Акционерное Общество «РН-Влакра»</w:t>
      </w:r>
    </w:p>
    <w:p w:rsidR="00AA7EE0" w:rsidRPr="00A512E0" w:rsidRDefault="00AA7EE0" w:rsidP="00BB4B93">
      <w:pPr>
        <w:widowControl/>
        <w:spacing w:before="0" w:after="0"/>
        <w:ind w:left="720"/>
        <w:jc w:val="both"/>
        <w:rPr>
          <w:sz w:val="22"/>
          <w:szCs w:val="22"/>
        </w:rPr>
      </w:pPr>
      <w:r w:rsidRPr="00A512E0">
        <w:rPr>
          <w:sz w:val="22"/>
          <w:szCs w:val="22"/>
        </w:rPr>
        <w:t>Сокращенное – ОАО «РН-Влакра»</w:t>
      </w:r>
    </w:p>
    <w:p w:rsidR="00AA7EE0" w:rsidRPr="00A512E0" w:rsidRDefault="00AA7EE0" w:rsidP="00BB4B93">
      <w:pPr>
        <w:widowControl/>
        <w:spacing w:before="0" w:after="0"/>
        <w:ind w:left="720"/>
        <w:jc w:val="both"/>
        <w:rPr>
          <w:b/>
          <w:bCs/>
          <w:sz w:val="22"/>
          <w:szCs w:val="22"/>
        </w:rPr>
      </w:pPr>
      <w:r w:rsidRPr="00A512E0">
        <w:rPr>
          <w:b/>
          <w:bCs/>
          <w:sz w:val="22"/>
          <w:szCs w:val="22"/>
        </w:rPr>
        <w:t>На английском языке:</w:t>
      </w:r>
    </w:p>
    <w:p w:rsidR="00AA7EE0" w:rsidRPr="00A512E0" w:rsidRDefault="00AA7EE0" w:rsidP="00BB4B93">
      <w:pPr>
        <w:widowControl/>
        <w:spacing w:before="0" w:after="0"/>
        <w:ind w:left="720"/>
        <w:jc w:val="both"/>
        <w:rPr>
          <w:sz w:val="22"/>
          <w:szCs w:val="22"/>
          <w:lang w:val="en-US"/>
        </w:rPr>
      </w:pPr>
      <w:r w:rsidRPr="00A512E0">
        <w:rPr>
          <w:sz w:val="22"/>
          <w:szCs w:val="22"/>
        </w:rPr>
        <w:t>Полное</w:t>
      </w:r>
      <w:r w:rsidRPr="00A512E0">
        <w:rPr>
          <w:sz w:val="22"/>
          <w:szCs w:val="22"/>
          <w:lang w:val="en-US"/>
        </w:rPr>
        <w:t xml:space="preserve"> – «RN-Vlakra» Joint stock company</w:t>
      </w:r>
    </w:p>
    <w:p w:rsidR="00AA7EE0" w:rsidRPr="00A512E0" w:rsidRDefault="00AA7EE0" w:rsidP="00BB4B93">
      <w:pPr>
        <w:widowControl/>
        <w:spacing w:before="0" w:after="0"/>
        <w:ind w:left="720"/>
        <w:jc w:val="both"/>
        <w:rPr>
          <w:sz w:val="22"/>
          <w:szCs w:val="22"/>
        </w:rPr>
      </w:pPr>
      <w:r w:rsidRPr="00A512E0">
        <w:rPr>
          <w:sz w:val="22"/>
          <w:szCs w:val="22"/>
        </w:rPr>
        <w:t>Сокращенное: «RN-Vlakra» JSC</w:t>
      </w:r>
    </w:p>
    <w:p w:rsidR="00AA7EE0" w:rsidRPr="00A512E0" w:rsidRDefault="00AA7EE0" w:rsidP="00BB4B93">
      <w:pPr>
        <w:widowControl/>
        <w:spacing w:before="0" w:after="0"/>
        <w:ind w:left="720"/>
        <w:jc w:val="both"/>
        <w:rPr>
          <w:sz w:val="22"/>
          <w:szCs w:val="22"/>
        </w:rPr>
      </w:pPr>
      <w:r w:rsidRPr="00A512E0">
        <w:rPr>
          <w:sz w:val="22"/>
          <w:szCs w:val="22"/>
        </w:rPr>
        <w:t>Далее по тексту «Общество».</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Общество создано путем реорганизации ОАО «Красный пролетарий» в соответствии со статьей 18 Закона «Об акционерных обществах» в форме разделения.</w:t>
      </w:r>
    </w:p>
    <w:p w:rsidR="00AA7EE0" w:rsidRPr="00A512E0" w:rsidRDefault="00AA7EE0" w:rsidP="00BB4B93">
      <w:pPr>
        <w:widowControl/>
        <w:spacing w:before="0" w:after="0"/>
        <w:ind w:left="720"/>
        <w:jc w:val="both"/>
        <w:rPr>
          <w:sz w:val="22"/>
          <w:szCs w:val="22"/>
        </w:rPr>
      </w:pPr>
      <w:r w:rsidRPr="00A512E0">
        <w:rPr>
          <w:sz w:val="22"/>
          <w:szCs w:val="22"/>
        </w:rPr>
        <w:t>Решение о реорганизации ОАО «Красный пролетарий» в форме разделения и создании ОАО «РН-Влакра» принято внеочередным собранием акционеров ОАО «Красный пролетарий» 30 ноября 2007 года.</w:t>
      </w:r>
    </w:p>
    <w:p w:rsidR="00AA7EE0" w:rsidRPr="00A512E0" w:rsidRDefault="00AA7EE0" w:rsidP="00BB4B93">
      <w:pPr>
        <w:widowControl/>
        <w:spacing w:before="0" w:after="0"/>
        <w:ind w:left="720"/>
        <w:jc w:val="both"/>
        <w:rPr>
          <w:sz w:val="22"/>
          <w:szCs w:val="22"/>
        </w:rPr>
      </w:pPr>
      <w:r w:rsidRPr="00A512E0">
        <w:rPr>
          <w:sz w:val="22"/>
          <w:szCs w:val="22"/>
        </w:rPr>
        <w:t>Общество, зарегистрировано 28 апреля 2008 года МИФНС № 46 по г. Москве, свидетельство о регистрации № 1010897403  и внесено в Единый государственный реестр юридических лиц 28 апреля 2008 года за № 1087746574057.</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b/>
          <w:bCs/>
          <w:sz w:val="22"/>
          <w:szCs w:val="22"/>
        </w:rPr>
        <w:t>Место нахождения Общества</w:t>
      </w:r>
      <w:r w:rsidRPr="00A512E0">
        <w:rPr>
          <w:sz w:val="22"/>
          <w:szCs w:val="22"/>
        </w:rPr>
        <w:t>: 119071, г. Москва, ул. Малая Калужская, д. 15, стр. 1.</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Бухгалтерская отчетность сформирована Обществом, исходя из действующих в Российской Федерации правил бухгалтерского учета и отчетности.</w:t>
      </w:r>
    </w:p>
    <w:p w:rsidR="00AA7EE0" w:rsidRPr="00A512E0" w:rsidRDefault="00AA7EE0" w:rsidP="00BB4B93">
      <w:pPr>
        <w:widowControl/>
        <w:spacing w:before="0" w:after="0"/>
        <w:ind w:left="720"/>
        <w:jc w:val="both"/>
        <w:rPr>
          <w:b/>
          <w:bCs/>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Бухгалтерская отчетность сформирована Обществом в тысячах российских рублей.</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b/>
          <w:bCs/>
          <w:sz w:val="22"/>
          <w:szCs w:val="22"/>
        </w:rPr>
        <w:t>Основным видом деятельности Общества</w:t>
      </w:r>
      <w:r w:rsidRPr="00A512E0">
        <w:rPr>
          <w:sz w:val="22"/>
          <w:szCs w:val="22"/>
        </w:rPr>
        <w:t xml:space="preserve"> является проведение всех видов операций с недвижимостью (в том числе сдача в аренду и временный наем собственного нежилого недвижимого имущества физическими и юридическими лицами).</w:t>
      </w:r>
    </w:p>
    <w:p w:rsidR="00AA7EE0" w:rsidRPr="00A512E0" w:rsidRDefault="00AA7EE0" w:rsidP="00BB4B93">
      <w:pPr>
        <w:widowControl/>
        <w:spacing w:before="0" w:after="0"/>
        <w:ind w:left="720"/>
        <w:jc w:val="both"/>
        <w:rPr>
          <w:sz w:val="22"/>
          <w:szCs w:val="22"/>
        </w:rPr>
      </w:pPr>
      <w:r w:rsidRPr="00A512E0">
        <w:rPr>
          <w:sz w:val="22"/>
          <w:szCs w:val="22"/>
        </w:rPr>
        <w:t>Код согласно ОКВЭД - 70.20 -  сдача в наем собственного недвижимого имущества;</w:t>
      </w:r>
    </w:p>
    <w:p w:rsidR="00AA7EE0" w:rsidRPr="00A512E0" w:rsidRDefault="00AA7EE0" w:rsidP="00BB4B93">
      <w:pPr>
        <w:widowControl/>
        <w:spacing w:before="0" w:after="0"/>
        <w:ind w:left="1440" w:hanging="720"/>
        <w:jc w:val="both"/>
        <w:rPr>
          <w:sz w:val="22"/>
          <w:szCs w:val="22"/>
        </w:rPr>
      </w:pPr>
    </w:p>
    <w:p w:rsidR="00AA7EE0" w:rsidRPr="00A512E0" w:rsidRDefault="00AA7EE0" w:rsidP="00BB4B93">
      <w:pPr>
        <w:widowControl/>
        <w:spacing w:before="0" w:after="0"/>
        <w:ind w:left="720" w:hanging="720"/>
        <w:jc w:val="both"/>
        <w:rPr>
          <w:sz w:val="22"/>
          <w:szCs w:val="22"/>
        </w:rPr>
      </w:pPr>
      <w:r w:rsidRPr="00A512E0">
        <w:rPr>
          <w:sz w:val="22"/>
          <w:szCs w:val="22"/>
        </w:rPr>
        <w:t xml:space="preserve">            Уставный капитал Общества – 250 804 136 рублей 65 копеек. </w:t>
      </w:r>
    </w:p>
    <w:p w:rsidR="00AA7EE0" w:rsidRPr="00A512E0" w:rsidRDefault="00AA7EE0" w:rsidP="00BB4B93">
      <w:pPr>
        <w:widowControl/>
        <w:spacing w:before="0" w:after="0"/>
        <w:ind w:left="720"/>
        <w:jc w:val="both"/>
        <w:rPr>
          <w:sz w:val="22"/>
          <w:szCs w:val="22"/>
        </w:rPr>
      </w:pPr>
      <w:r w:rsidRPr="00A512E0">
        <w:rPr>
          <w:sz w:val="22"/>
          <w:szCs w:val="22"/>
        </w:rPr>
        <w:t>Уставный капитал состоит из номинальной стоимости полностью оплаченных размещенных акций общества.</w:t>
      </w:r>
    </w:p>
    <w:p w:rsidR="00AA7EE0" w:rsidRPr="00A512E0" w:rsidRDefault="00AA7EE0" w:rsidP="00BB4B93">
      <w:pPr>
        <w:widowControl/>
        <w:spacing w:before="0" w:after="0"/>
        <w:ind w:left="720" w:hanging="720"/>
        <w:jc w:val="both"/>
        <w:rPr>
          <w:sz w:val="22"/>
          <w:szCs w:val="22"/>
        </w:rPr>
      </w:pPr>
      <w:r w:rsidRPr="00A512E0">
        <w:rPr>
          <w:sz w:val="22"/>
          <w:szCs w:val="22"/>
        </w:rPr>
        <w:t xml:space="preserve">            </w:t>
      </w:r>
    </w:p>
    <w:p w:rsidR="00AA7EE0" w:rsidRPr="00A512E0" w:rsidRDefault="00AA7EE0" w:rsidP="00BB4B93">
      <w:pPr>
        <w:widowControl/>
        <w:spacing w:before="0" w:after="0"/>
        <w:ind w:left="720"/>
        <w:jc w:val="both"/>
        <w:rPr>
          <w:b/>
          <w:bCs/>
          <w:sz w:val="22"/>
          <w:szCs w:val="22"/>
        </w:rPr>
      </w:pPr>
      <w:r w:rsidRPr="00A512E0">
        <w:rPr>
          <w:b/>
          <w:bCs/>
          <w:sz w:val="22"/>
          <w:szCs w:val="22"/>
        </w:rPr>
        <w:t xml:space="preserve"> Реестр акционеров общества:</w:t>
      </w:r>
    </w:p>
    <w:p w:rsidR="00AA7EE0" w:rsidRPr="00A512E0" w:rsidRDefault="00AA7EE0" w:rsidP="00BB4B93">
      <w:pPr>
        <w:widowControl/>
        <w:spacing w:before="0" w:after="0"/>
        <w:ind w:left="720"/>
        <w:jc w:val="both"/>
        <w:rPr>
          <w:sz w:val="22"/>
          <w:szCs w:val="22"/>
        </w:rPr>
      </w:pPr>
      <w:r w:rsidRPr="00A512E0">
        <w:rPr>
          <w:sz w:val="22"/>
          <w:szCs w:val="22"/>
        </w:rPr>
        <w:t xml:space="preserve">Реестр акционеров общества ведет и хранит на договорной основе регистратор. </w:t>
      </w:r>
      <w:r w:rsidRPr="00A512E0">
        <w:rPr>
          <w:b/>
          <w:bCs/>
          <w:sz w:val="22"/>
          <w:szCs w:val="22"/>
        </w:rPr>
        <w:t>Наименование регистратора:</w:t>
      </w:r>
      <w:r w:rsidRPr="00A512E0">
        <w:rPr>
          <w:sz w:val="22"/>
          <w:szCs w:val="22"/>
        </w:rPr>
        <w:t xml:space="preserve"> Общество с ограниченной ответственностью «Реестр-РН»</w:t>
      </w:r>
    </w:p>
    <w:p w:rsidR="00AA7EE0" w:rsidRPr="00A512E0" w:rsidRDefault="00AA7EE0" w:rsidP="00BB4B93">
      <w:pPr>
        <w:widowControl/>
        <w:spacing w:before="0" w:after="0"/>
        <w:ind w:left="720"/>
        <w:jc w:val="both"/>
        <w:rPr>
          <w:b/>
          <w:bCs/>
          <w:sz w:val="22"/>
          <w:szCs w:val="22"/>
        </w:rPr>
      </w:pPr>
      <w:r w:rsidRPr="00A512E0">
        <w:rPr>
          <w:sz w:val="22"/>
          <w:szCs w:val="22"/>
        </w:rPr>
        <w:t>Юридический адрес регистратора</w:t>
      </w:r>
      <w:r w:rsidRPr="00A512E0">
        <w:rPr>
          <w:b/>
          <w:bCs/>
          <w:sz w:val="22"/>
          <w:szCs w:val="22"/>
        </w:rPr>
        <w:t xml:space="preserve">: </w:t>
      </w:r>
      <w:r w:rsidRPr="00A512E0">
        <w:rPr>
          <w:sz w:val="22"/>
          <w:szCs w:val="22"/>
        </w:rPr>
        <w:t>119028, Москва, Подкопаевский пер., д. 2/6, стр.3-4</w:t>
      </w:r>
      <w:r w:rsidRPr="00A512E0">
        <w:rPr>
          <w:b/>
          <w:bCs/>
          <w:sz w:val="22"/>
          <w:szCs w:val="22"/>
        </w:rPr>
        <w:tab/>
      </w:r>
    </w:p>
    <w:p w:rsidR="00AA7EE0" w:rsidRPr="00A512E0" w:rsidRDefault="00AA7EE0" w:rsidP="00BB4B93">
      <w:pPr>
        <w:widowControl/>
        <w:spacing w:before="0" w:after="0"/>
        <w:ind w:left="720"/>
        <w:jc w:val="both"/>
        <w:rPr>
          <w:b/>
          <w:bCs/>
          <w:sz w:val="22"/>
          <w:szCs w:val="22"/>
        </w:rPr>
      </w:pPr>
    </w:p>
    <w:p w:rsidR="00AA7EE0" w:rsidRPr="00A512E0" w:rsidRDefault="00AA7EE0" w:rsidP="00BB4B93">
      <w:pPr>
        <w:widowControl/>
        <w:spacing w:before="0" w:after="0"/>
        <w:ind w:left="720"/>
        <w:jc w:val="both"/>
        <w:rPr>
          <w:sz w:val="22"/>
          <w:szCs w:val="22"/>
        </w:rPr>
      </w:pPr>
      <w:r w:rsidRPr="00A512E0">
        <w:rPr>
          <w:b/>
          <w:bCs/>
          <w:sz w:val="22"/>
          <w:szCs w:val="22"/>
        </w:rPr>
        <w:t>Генеральным директором ОАО «РН-Влакра»</w:t>
      </w:r>
      <w:r w:rsidRPr="00A512E0">
        <w:rPr>
          <w:sz w:val="22"/>
          <w:szCs w:val="22"/>
        </w:rPr>
        <w:t xml:space="preserve">  является </w:t>
      </w:r>
      <w:r w:rsidRPr="00A512E0">
        <w:rPr>
          <w:b/>
          <w:bCs/>
          <w:sz w:val="22"/>
          <w:szCs w:val="22"/>
        </w:rPr>
        <w:t>Грицкевич Светлана Валентиновна.</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862"/>
        <w:jc w:val="both"/>
        <w:rPr>
          <w:sz w:val="22"/>
          <w:szCs w:val="22"/>
        </w:rPr>
      </w:pPr>
      <w:r w:rsidRPr="00A512E0">
        <w:rPr>
          <w:sz w:val="22"/>
          <w:szCs w:val="22"/>
        </w:rPr>
        <w:t xml:space="preserve">В течение 2011 года </w:t>
      </w:r>
      <w:r w:rsidRPr="00A512E0">
        <w:rPr>
          <w:b/>
          <w:bCs/>
          <w:sz w:val="22"/>
          <w:szCs w:val="22"/>
        </w:rPr>
        <w:t>взаимоотношения между ОАО «РН-Влакра» и иными аффилированными лицами</w:t>
      </w:r>
      <w:r w:rsidRPr="00A512E0">
        <w:rPr>
          <w:sz w:val="22"/>
          <w:szCs w:val="22"/>
        </w:rPr>
        <w:t xml:space="preserve"> установлены (ПБУ "Информация о связанных сторонах" ПБУ 11/2008).</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862"/>
        <w:jc w:val="both"/>
        <w:rPr>
          <w:sz w:val="22"/>
          <w:szCs w:val="22"/>
        </w:rPr>
      </w:pPr>
      <w:r w:rsidRPr="00A512E0">
        <w:rPr>
          <w:sz w:val="22"/>
          <w:szCs w:val="22"/>
        </w:rPr>
        <w:t>В 2011 году единоличным исполнительным органом  Общества были назначены:</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862"/>
        <w:jc w:val="both"/>
        <w:rPr>
          <w:sz w:val="22"/>
          <w:szCs w:val="22"/>
        </w:rPr>
      </w:pPr>
      <w:r w:rsidRPr="00A512E0">
        <w:rPr>
          <w:sz w:val="22"/>
          <w:szCs w:val="22"/>
        </w:rPr>
        <w:t>Мандрыка Сергей Михайлович (Прототокол Совета директоров от 26\4\011 № 13)</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862"/>
        <w:jc w:val="both"/>
        <w:rPr>
          <w:sz w:val="22"/>
          <w:szCs w:val="22"/>
        </w:rPr>
      </w:pPr>
      <w:r w:rsidRPr="00A512E0">
        <w:rPr>
          <w:sz w:val="22"/>
          <w:szCs w:val="22"/>
        </w:rPr>
        <w:lastRenderedPageBreak/>
        <w:t>Грицкевич Светлана Валентиновна (Протокол Совета директоров от 18\8\011 № 15)</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862"/>
        <w:jc w:val="both"/>
        <w:rPr>
          <w:sz w:val="22"/>
          <w:szCs w:val="22"/>
        </w:rPr>
      </w:pPr>
      <w:r w:rsidRPr="00A512E0">
        <w:rPr>
          <w:sz w:val="22"/>
          <w:szCs w:val="22"/>
        </w:rPr>
        <w:t>В течение 2011 года, как Мандрыка С.М., так и Грицкевич С.В. поочередно являлись генеральным директором ЗАО «Влакра». Между Обществом и ЗАО «Влакра» в 2011 году были заключены следующие договоры:</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numPr>
          <w:ilvl w:val="0"/>
          <w:numId w:val="2"/>
        </w:numPr>
        <w:tabs>
          <w:tab w:val="left" w:pos="1222"/>
        </w:tabs>
        <w:spacing w:before="0" w:after="0"/>
        <w:ind w:left="1222" w:hanging="360"/>
        <w:jc w:val="both"/>
        <w:rPr>
          <w:sz w:val="22"/>
          <w:szCs w:val="22"/>
        </w:rPr>
      </w:pPr>
      <w:r w:rsidRPr="00A512E0">
        <w:rPr>
          <w:sz w:val="22"/>
          <w:szCs w:val="22"/>
        </w:rPr>
        <w:t>Договор № 03-13\3 от 01 мая 2008 года на отпуск и потребление электрической энергии. Поставщик  ЗАО «Влакра», а Потребитель – ОАО «РН-Влакра». Сумма расходов за 2011 год составила 9 413 316 руб., без учета НДС.</w:t>
      </w:r>
    </w:p>
    <w:p w:rsidR="00AA7EE0" w:rsidRPr="00A512E0" w:rsidRDefault="00AA7EE0" w:rsidP="00BB4B93">
      <w:pPr>
        <w:widowControl/>
        <w:numPr>
          <w:ilvl w:val="0"/>
          <w:numId w:val="2"/>
        </w:numPr>
        <w:tabs>
          <w:tab w:val="left" w:pos="1222"/>
        </w:tabs>
        <w:spacing w:before="0" w:after="0"/>
        <w:ind w:left="1222" w:hanging="360"/>
        <w:jc w:val="both"/>
        <w:rPr>
          <w:sz w:val="22"/>
          <w:szCs w:val="22"/>
        </w:rPr>
      </w:pPr>
      <w:r w:rsidRPr="00A512E0">
        <w:rPr>
          <w:sz w:val="22"/>
          <w:szCs w:val="22"/>
        </w:rPr>
        <w:t>Договор № ЭЭ 03-13\2 от 01 мая 2008 года на пользование водопроводной водой и канализацией. Поставщик  ЗАО «Влакра», а Потребитель – ОАО «РН-Влакра». Сумма расходов за 2011 год составила 806 798  руб., без учета НДС.</w:t>
      </w:r>
    </w:p>
    <w:p w:rsidR="00AA7EE0" w:rsidRPr="00A512E0" w:rsidRDefault="00AA7EE0" w:rsidP="00BB4B93">
      <w:pPr>
        <w:widowControl/>
        <w:numPr>
          <w:ilvl w:val="0"/>
          <w:numId w:val="2"/>
        </w:numPr>
        <w:tabs>
          <w:tab w:val="left" w:pos="1222"/>
        </w:tabs>
        <w:spacing w:before="0" w:after="0"/>
        <w:ind w:left="1222" w:hanging="360"/>
        <w:jc w:val="both"/>
        <w:rPr>
          <w:sz w:val="22"/>
          <w:szCs w:val="22"/>
        </w:rPr>
      </w:pPr>
      <w:r w:rsidRPr="00A512E0">
        <w:rPr>
          <w:sz w:val="22"/>
          <w:szCs w:val="22"/>
        </w:rPr>
        <w:t>Договор № ЭЭ 03-13\4 от 01 мая 2008 года на отпуск и потребление тепловой энергии. Поставщик  ЗАО «Влакра», а Потребитель – ОАО «РН-Влакра». Сумма расходов за 2011 год составила 3 031 874 руб., без учета НДС.</w:t>
      </w:r>
    </w:p>
    <w:p w:rsidR="00AA7EE0" w:rsidRPr="00A512E0" w:rsidRDefault="00AA7EE0" w:rsidP="00BB4B93">
      <w:pPr>
        <w:widowControl/>
        <w:numPr>
          <w:ilvl w:val="0"/>
          <w:numId w:val="2"/>
        </w:numPr>
        <w:tabs>
          <w:tab w:val="left" w:pos="1222"/>
        </w:tabs>
        <w:spacing w:before="0" w:after="0"/>
        <w:ind w:left="1222" w:hanging="360"/>
        <w:jc w:val="both"/>
        <w:rPr>
          <w:sz w:val="22"/>
          <w:szCs w:val="22"/>
        </w:rPr>
      </w:pPr>
      <w:r w:rsidRPr="00A512E0">
        <w:rPr>
          <w:sz w:val="22"/>
          <w:szCs w:val="22"/>
        </w:rPr>
        <w:t>Договор УД-05-02\35 от 01 марта 2010 года. В рамках данного договора ЗАО             «Влакра»  оказывало услуги по обеспечению сдачи в аренду объектов недвижимости, а так же контролю исполнения договоров аренды, заключаемых Обществом. Сумма расходов за 2011 год составила 8 559 322  руб., без учета НДС.</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Сумма заработной платы, начисленной в 2011 году составила:</w:t>
      </w:r>
    </w:p>
    <w:p w:rsidR="00AA7EE0" w:rsidRPr="00A512E0" w:rsidRDefault="00AA7EE0" w:rsidP="00BB4B93">
      <w:pPr>
        <w:widowControl/>
        <w:spacing w:before="0" w:after="0"/>
        <w:ind w:left="720"/>
        <w:jc w:val="both"/>
        <w:rPr>
          <w:sz w:val="22"/>
          <w:szCs w:val="22"/>
        </w:rPr>
      </w:pPr>
      <w:r w:rsidRPr="00A512E0">
        <w:rPr>
          <w:sz w:val="22"/>
          <w:szCs w:val="22"/>
        </w:rPr>
        <w:tab/>
        <w:t>Грицкевич С. В.   – 47 035 руб.</w:t>
      </w:r>
    </w:p>
    <w:p w:rsidR="00AA7EE0" w:rsidRPr="00A512E0" w:rsidRDefault="00AA7EE0" w:rsidP="00BB4B93">
      <w:pPr>
        <w:widowControl/>
        <w:spacing w:before="0" w:after="0"/>
        <w:ind w:left="720"/>
        <w:jc w:val="both"/>
        <w:rPr>
          <w:sz w:val="22"/>
          <w:szCs w:val="22"/>
        </w:rPr>
      </w:pPr>
      <w:r w:rsidRPr="00A512E0">
        <w:rPr>
          <w:sz w:val="22"/>
          <w:szCs w:val="22"/>
        </w:rPr>
        <w:tab/>
        <w:t xml:space="preserve">Мандрыка С.М.   -   28 361 руб. </w:t>
      </w:r>
    </w:p>
    <w:p w:rsidR="00AA7EE0" w:rsidRPr="00A512E0" w:rsidRDefault="00AA7EE0" w:rsidP="00BB4B93">
      <w:pPr>
        <w:widowControl/>
        <w:spacing w:before="0" w:after="0"/>
        <w:ind w:left="862"/>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Структура органов управления Общества:</w:t>
      </w:r>
    </w:p>
    <w:p w:rsidR="00AA7EE0" w:rsidRPr="00A512E0" w:rsidRDefault="00AA7EE0" w:rsidP="00BB4B93">
      <w:pPr>
        <w:widowControl/>
        <w:spacing w:before="0" w:after="0"/>
        <w:ind w:left="720"/>
        <w:jc w:val="both"/>
        <w:rPr>
          <w:b/>
          <w:bCs/>
          <w:sz w:val="22"/>
          <w:szCs w:val="22"/>
        </w:rPr>
      </w:pPr>
    </w:p>
    <w:p w:rsidR="00AA7EE0" w:rsidRPr="00A512E0" w:rsidRDefault="00AA7EE0" w:rsidP="00BB4B93">
      <w:pPr>
        <w:widowControl/>
        <w:spacing w:before="0" w:after="0"/>
        <w:ind w:left="720"/>
        <w:jc w:val="both"/>
        <w:rPr>
          <w:sz w:val="22"/>
          <w:szCs w:val="22"/>
        </w:rPr>
      </w:pPr>
      <w:r w:rsidRPr="00A512E0">
        <w:rPr>
          <w:sz w:val="22"/>
          <w:szCs w:val="22"/>
        </w:rPr>
        <w:t>Органами управления Общества являются:</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Общее собрание акционеров (высший орган управления);</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Совет директоров;</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Единоличный исполнительный орган - Генеральный директор;</w:t>
      </w:r>
    </w:p>
    <w:p w:rsidR="00AA7EE0" w:rsidRPr="00A512E0" w:rsidRDefault="00AA7EE0" w:rsidP="00BB4B93">
      <w:pPr>
        <w:widowControl/>
        <w:spacing w:before="0" w:after="0"/>
        <w:ind w:left="720"/>
        <w:jc w:val="both"/>
        <w:rPr>
          <w:sz w:val="22"/>
          <w:szCs w:val="22"/>
        </w:rPr>
      </w:pPr>
      <w:r w:rsidRPr="00A512E0">
        <w:rPr>
          <w:sz w:val="22"/>
          <w:szCs w:val="22"/>
        </w:rPr>
        <w:t xml:space="preserve"> </w:t>
      </w:r>
    </w:p>
    <w:p w:rsidR="00AA7EE0" w:rsidRPr="00A512E0" w:rsidRDefault="00AA7EE0" w:rsidP="00BB4B93">
      <w:pPr>
        <w:widowControl/>
        <w:spacing w:before="0" w:after="0"/>
        <w:ind w:left="720"/>
        <w:jc w:val="both"/>
        <w:rPr>
          <w:sz w:val="22"/>
          <w:szCs w:val="22"/>
        </w:rPr>
      </w:pPr>
      <w:r w:rsidRPr="00A512E0">
        <w:rPr>
          <w:sz w:val="22"/>
          <w:szCs w:val="22"/>
        </w:rPr>
        <w:t xml:space="preserve">Среднегодовая численность работающих за 2011 г. составила - 29 человек. </w:t>
      </w:r>
    </w:p>
    <w:p w:rsidR="00AA7EE0" w:rsidRPr="00A512E0" w:rsidRDefault="00AA7EE0" w:rsidP="00BB4B93">
      <w:pPr>
        <w:widowControl/>
        <w:spacing w:before="0" w:after="0"/>
        <w:ind w:left="720"/>
        <w:jc w:val="both"/>
        <w:rPr>
          <w:sz w:val="22"/>
          <w:szCs w:val="22"/>
        </w:rPr>
      </w:pPr>
      <w:r w:rsidRPr="00A512E0">
        <w:rPr>
          <w:sz w:val="22"/>
          <w:szCs w:val="22"/>
        </w:rPr>
        <w:t xml:space="preserve">Численность работающих на 31.12.2011г. - 29 человек. </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Уровень существенности определен в размере 5% в общем объеме, т.е. подлежат расшифровке показатели по статьям расходов и доходов, превышающим критерий существенности при составлении отчетности.</w:t>
      </w:r>
    </w:p>
    <w:p w:rsidR="00AA7EE0" w:rsidRPr="00A512E0" w:rsidRDefault="00AA7EE0" w:rsidP="00BB4B93">
      <w:pPr>
        <w:widowControl/>
        <w:spacing w:before="0" w:after="0"/>
        <w:ind w:left="720" w:firstLine="540"/>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2.  Основные положения учетной политики Общества для бухгалтерского и налогового учета.</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Факты хозяйственной деятельности Общества относятся к тому отчетному периоду (и, следовательно, отражаются в бухгалтерском учете в том отчетном периоде) в котором они имеют место, независимо  от фактического времени поступления или выплаты денежных средств, связанных с этим фактом (ПБУ 9/99, ПБУ 10/99).</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 xml:space="preserve"> Материальные ценности приходуются по цене приобретения, включающей расходы, предусмотренные в пунктах 5-14 ПБУ 5/01. При отпуске материально производственных запасов в эксплуатацию  и ином выбытии их оценка для целей бухгалтерского учета производится организацией по средней себестоимости</w:t>
      </w:r>
    </w:p>
    <w:p w:rsidR="00AA7EE0" w:rsidRPr="00A512E0" w:rsidRDefault="00AA7EE0" w:rsidP="00BB4B93">
      <w:pPr>
        <w:widowControl/>
        <w:spacing w:before="0" w:after="0"/>
        <w:ind w:left="720"/>
        <w:jc w:val="both"/>
        <w:rPr>
          <w:sz w:val="22"/>
          <w:szCs w:val="22"/>
        </w:rPr>
      </w:pPr>
      <w:r w:rsidRPr="00A512E0">
        <w:rPr>
          <w:sz w:val="22"/>
          <w:szCs w:val="22"/>
        </w:rPr>
        <w:t xml:space="preserve">         (ПБУ 5/01,п.16).</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Стоимость основных средств погашается путем начисления амортизации. Амортизация начисляется линейным способом. В целях унификации бухгалтерского и налогового учета для определения срока полезного использования применяется Классификатор основных средств, включаемых в амортизационные группы, утверждаются постановлением Правительства РФ от 01.01.2002. №1</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lastRenderedPageBreak/>
        <w:t xml:space="preserve">Основные средства, первоначальная стоимость которых не превышает 40 000 руб. за единицу списываются на затраты единовременно по мере отпуска в производство/эксплуатацию. </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К нематериальным активам относятся права, патенты, указанные в ПБУ 14/2007. Нематериальные активы отражаются в учете и отчетности в сумме затрат на приобретение, изготовление и расходов по их доведению до состояния, в котором они пригодны к использованию в запланированных целях.</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Формирование всех расходов по обычным видам деятельности ведется на счете 26, «Общехозяйственные расходы», а в конце месяца списывается на сч. 90.2 «Себестоимость услуг» и 90.8 «Управленческие расходы».</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 xml:space="preserve">Расходы будущих периодов учитываются на сч.97 и списываются равными долями в течение срока, к которому они относятся. </w:t>
      </w:r>
    </w:p>
    <w:p w:rsidR="00AA7EE0" w:rsidRPr="00A512E0" w:rsidRDefault="00AA7EE0" w:rsidP="00BB4B93">
      <w:pPr>
        <w:widowControl/>
        <w:spacing w:before="0" w:after="0"/>
        <w:ind w:left="1222"/>
        <w:jc w:val="both"/>
        <w:rPr>
          <w:sz w:val="22"/>
          <w:szCs w:val="22"/>
        </w:rPr>
      </w:pPr>
      <w:r w:rsidRPr="00A512E0">
        <w:rPr>
          <w:sz w:val="22"/>
          <w:szCs w:val="22"/>
        </w:rPr>
        <w:t>Доходы организации формируются в зависимости от их характера, условия получения и направлений деятельности, подразделяются на доходы от реализации услуг и внереализационные доходы. При определении доходов из них исключаются суммы налогов.  Доходы и расходы определяются на основании первичных документов. Доходы, отличные от доходов от обычных видов деятельности считаются прочими поступлениями. Отрицательные и положительные курсовые разницы подлежат отнесению на финансовый результат в момент исполнения обязательств или на дату составления бухгалтерской отчетности. Порядок признания доходов и расходов организации в целях исчисления налога на прибыль определяемого по методу начисления.</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 xml:space="preserve">В отчетном периоде, в соответствии с положением Учетной политики, обязательства, срок погашения по которым составляет менее года, отражены как краткосрочная задолженность. </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3. Расшифровка отдельных показателей бухгалтерского баланса по строкам:</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1130</w:t>
      </w:r>
      <w:r w:rsidRPr="00A512E0">
        <w:rPr>
          <w:sz w:val="22"/>
          <w:szCs w:val="22"/>
        </w:rPr>
        <w:t xml:space="preserve"> «Основные средства организации»:</w:t>
      </w:r>
    </w:p>
    <w:p w:rsidR="00AA7EE0" w:rsidRPr="00A512E0" w:rsidRDefault="00AA7EE0" w:rsidP="00BB4B93">
      <w:pPr>
        <w:widowControl/>
        <w:spacing w:before="0" w:after="0"/>
        <w:ind w:left="720" w:firstLine="540"/>
        <w:jc w:val="both"/>
        <w:rPr>
          <w:sz w:val="22"/>
          <w:szCs w:val="22"/>
        </w:rPr>
      </w:pPr>
      <w:r w:rsidRPr="00A512E0">
        <w:rPr>
          <w:sz w:val="22"/>
          <w:szCs w:val="22"/>
        </w:rPr>
        <w:t>На 31 Декабря 2010г. – 35726 т. руб.</w:t>
      </w:r>
    </w:p>
    <w:p w:rsidR="00AA7EE0" w:rsidRPr="00A512E0" w:rsidRDefault="00AA7EE0" w:rsidP="00BB4B93">
      <w:pPr>
        <w:widowControl/>
        <w:spacing w:before="0" w:after="0"/>
        <w:ind w:left="720" w:firstLine="540"/>
        <w:jc w:val="both"/>
        <w:rPr>
          <w:sz w:val="22"/>
          <w:szCs w:val="22"/>
        </w:rPr>
      </w:pPr>
      <w:r w:rsidRPr="00A512E0">
        <w:rPr>
          <w:sz w:val="22"/>
          <w:szCs w:val="22"/>
        </w:rPr>
        <w:t xml:space="preserve">На 31 Декабря 2011г. – 34034 т. руб. </w:t>
      </w:r>
    </w:p>
    <w:p w:rsidR="00AA7EE0" w:rsidRPr="00A512E0" w:rsidRDefault="00AA7EE0" w:rsidP="00BB4B93">
      <w:pPr>
        <w:widowControl/>
        <w:spacing w:before="0" w:after="0"/>
        <w:ind w:left="720" w:firstLine="540"/>
        <w:jc w:val="both"/>
        <w:rPr>
          <w:sz w:val="22"/>
          <w:szCs w:val="22"/>
        </w:rPr>
      </w:pPr>
    </w:p>
    <w:tbl>
      <w:tblPr>
        <w:tblW w:w="9200" w:type="dxa"/>
        <w:tblInd w:w="85" w:type="dxa"/>
        <w:tblLook w:val="0000"/>
      </w:tblPr>
      <w:tblGrid>
        <w:gridCol w:w="3460"/>
        <w:gridCol w:w="1048"/>
        <w:gridCol w:w="1800"/>
        <w:gridCol w:w="1440"/>
        <w:gridCol w:w="1617"/>
      </w:tblGrid>
      <w:tr w:rsidR="009A707A" w:rsidRPr="009A707A" w:rsidTr="00DA3FA1">
        <w:trPr>
          <w:trHeight w:val="270"/>
        </w:trPr>
        <w:tc>
          <w:tcPr>
            <w:tcW w:w="3460" w:type="dxa"/>
            <w:tcBorders>
              <w:top w:val="double" w:sz="6" w:space="0" w:color="auto"/>
              <w:left w:val="double" w:sz="6" w:space="0" w:color="auto"/>
              <w:bottom w:val="single" w:sz="4" w:space="0" w:color="auto"/>
              <w:right w:val="nil"/>
            </w:tcBorders>
            <w:shd w:val="clear" w:color="auto" w:fill="auto"/>
            <w:noWrap/>
            <w:vAlign w:val="center"/>
          </w:tcPr>
          <w:p w:rsidR="009A707A" w:rsidRPr="009A707A" w:rsidRDefault="009A707A" w:rsidP="00DA3FA1">
            <w:pPr>
              <w:jc w:val="center"/>
              <w:rPr>
                <w:rFonts w:ascii="Arial" w:hAnsi="Arial" w:cs="Arial"/>
                <w:b/>
                <w:bCs/>
                <w:sz w:val="18"/>
                <w:szCs w:val="18"/>
              </w:rPr>
            </w:pPr>
            <w:r w:rsidRPr="009A707A">
              <w:rPr>
                <w:rFonts w:ascii="Arial" w:hAnsi="Arial" w:cs="Arial"/>
                <w:b/>
                <w:bCs/>
                <w:sz w:val="18"/>
                <w:szCs w:val="18"/>
              </w:rPr>
              <w:t>Группировка  основных средств</w:t>
            </w:r>
          </w:p>
        </w:tc>
        <w:tc>
          <w:tcPr>
            <w:tcW w:w="883" w:type="dxa"/>
            <w:tcBorders>
              <w:top w:val="double" w:sz="6" w:space="0" w:color="auto"/>
              <w:left w:val="double" w:sz="6" w:space="0" w:color="auto"/>
              <w:bottom w:val="single" w:sz="4" w:space="0" w:color="auto"/>
              <w:right w:val="nil"/>
            </w:tcBorders>
            <w:shd w:val="clear" w:color="auto" w:fill="auto"/>
            <w:noWrap/>
            <w:vAlign w:val="center"/>
          </w:tcPr>
          <w:p w:rsidR="009A707A" w:rsidRPr="009A707A" w:rsidRDefault="009A707A" w:rsidP="00DA3FA1">
            <w:pPr>
              <w:jc w:val="center"/>
              <w:rPr>
                <w:rFonts w:ascii="Arial" w:hAnsi="Arial" w:cs="Arial"/>
                <w:b/>
                <w:bCs/>
                <w:sz w:val="18"/>
                <w:szCs w:val="18"/>
              </w:rPr>
            </w:pPr>
            <w:r w:rsidRPr="009A707A">
              <w:rPr>
                <w:rFonts w:ascii="Arial" w:hAnsi="Arial" w:cs="Arial"/>
                <w:b/>
                <w:bCs/>
                <w:sz w:val="18"/>
                <w:szCs w:val="18"/>
              </w:rPr>
              <w:t> </w:t>
            </w:r>
          </w:p>
        </w:tc>
        <w:tc>
          <w:tcPr>
            <w:tcW w:w="4857" w:type="dxa"/>
            <w:gridSpan w:val="3"/>
            <w:tcBorders>
              <w:top w:val="double" w:sz="6" w:space="0" w:color="auto"/>
              <w:left w:val="double" w:sz="6" w:space="0" w:color="auto"/>
              <w:bottom w:val="single" w:sz="4" w:space="0" w:color="auto"/>
              <w:right w:val="double" w:sz="6" w:space="0" w:color="000000"/>
            </w:tcBorders>
            <w:shd w:val="clear" w:color="auto" w:fill="auto"/>
            <w:noWrap/>
            <w:vAlign w:val="center"/>
          </w:tcPr>
          <w:p w:rsidR="009A707A" w:rsidRPr="009A707A" w:rsidRDefault="009A707A" w:rsidP="00DA3FA1">
            <w:pPr>
              <w:jc w:val="center"/>
              <w:rPr>
                <w:rFonts w:ascii="Arial" w:hAnsi="Arial" w:cs="Arial"/>
                <w:b/>
                <w:bCs/>
                <w:sz w:val="18"/>
                <w:szCs w:val="18"/>
              </w:rPr>
            </w:pPr>
            <w:r w:rsidRPr="009A707A">
              <w:rPr>
                <w:rFonts w:ascii="Arial" w:hAnsi="Arial" w:cs="Arial"/>
                <w:b/>
                <w:bCs/>
                <w:sz w:val="18"/>
                <w:szCs w:val="18"/>
              </w:rPr>
              <w:t>Данные на конец периода</w:t>
            </w:r>
          </w:p>
        </w:tc>
      </w:tr>
      <w:tr w:rsidR="009A707A" w:rsidRPr="009A707A" w:rsidTr="00DA3FA1">
        <w:trPr>
          <w:trHeight w:val="405"/>
        </w:trPr>
        <w:tc>
          <w:tcPr>
            <w:tcW w:w="3460" w:type="dxa"/>
            <w:tcBorders>
              <w:top w:val="nil"/>
              <w:left w:val="double" w:sz="6" w:space="0" w:color="auto"/>
              <w:bottom w:val="nil"/>
              <w:right w:val="nil"/>
            </w:tcBorders>
            <w:shd w:val="clear" w:color="auto" w:fill="auto"/>
            <w:vAlign w:val="center"/>
          </w:tcPr>
          <w:p w:rsidR="009A707A" w:rsidRPr="009A707A" w:rsidRDefault="009A707A" w:rsidP="00DA3FA1">
            <w:pPr>
              <w:jc w:val="center"/>
              <w:rPr>
                <w:rFonts w:ascii="Arial" w:hAnsi="Arial" w:cs="Arial"/>
                <w:sz w:val="18"/>
                <w:szCs w:val="18"/>
              </w:rPr>
            </w:pPr>
            <w:r w:rsidRPr="009A707A">
              <w:rPr>
                <w:rFonts w:ascii="Arial" w:hAnsi="Arial" w:cs="Arial"/>
                <w:sz w:val="18"/>
                <w:szCs w:val="18"/>
              </w:rPr>
              <w:t>Наименование</w:t>
            </w:r>
            <w:r w:rsidRPr="009A707A">
              <w:rPr>
                <w:rFonts w:ascii="Arial" w:hAnsi="Arial" w:cs="Arial"/>
                <w:sz w:val="18"/>
                <w:szCs w:val="18"/>
              </w:rPr>
              <w:br/>
              <w:t>основного средства</w:t>
            </w:r>
          </w:p>
        </w:tc>
        <w:tc>
          <w:tcPr>
            <w:tcW w:w="883" w:type="dxa"/>
            <w:tcBorders>
              <w:top w:val="nil"/>
              <w:left w:val="double" w:sz="6" w:space="0" w:color="auto"/>
              <w:bottom w:val="nil"/>
              <w:right w:val="nil"/>
            </w:tcBorders>
            <w:shd w:val="clear" w:color="auto" w:fill="auto"/>
            <w:vAlign w:val="center"/>
          </w:tcPr>
          <w:p w:rsidR="009A707A" w:rsidRPr="009A707A" w:rsidRDefault="009A707A" w:rsidP="00DA3FA1">
            <w:pPr>
              <w:jc w:val="center"/>
              <w:rPr>
                <w:rFonts w:ascii="Arial" w:hAnsi="Arial" w:cs="Arial"/>
                <w:sz w:val="18"/>
                <w:szCs w:val="18"/>
              </w:rPr>
            </w:pPr>
            <w:r w:rsidRPr="009A707A">
              <w:rPr>
                <w:rFonts w:ascii="Arial" w:hAnsi="Arial" w:cs="Arial"/>
                <w:sz w:val="18"/>
                <w:szCs w:val="18"/>
              </w:rPr>
              <w:t>Площадь, кв м</w:t>
            </w:r>
          </w:p>
        </w:tc>
        <w:tc>
          <w:tcPr>
            <w:tcW w:w="1800" w:type="dxa"/>
            <w:tcBorders>
              <w:top w:val="nil"/>
              <w:left w:val="double" w:sz="6" w:space="0" w:color="auto"/>
              <w:bottom w:val="nil"/>
              <w:right w:val="nil"/>
            </w:tcBorders>
            <w:shd w:val="clear" w:color="auto" w:fill="auto"/>
            <w:vAlign w:val="center"/>
          </w:tcPr>
          <w:p w:rsidR="009A707A" w:rsidRPr="009A707A" w:rsidRDefault="009A707A" w:rsidP="00DA3FA1">
            <w:pPr>
              <w:jc w:val="center"/>
              <w:rPr>
                <w:rFonts w:ascii="Arial" w:hAnsi="Arial" w:cs="Arial"/>
                <w:sz w:val="18"/>
                <w:szCs w:val="18"/>
              </w:rPr>
            </w:pPr>
            <w:r w:rsidRPr="009A707A">
              <w:rPr>
                <w:rFonts w:ascii="Arial" w:hAnsi="Arial" w:cs="Arial"/>
                <w:sz w:val="18"/>
                <w:szCs w:val="18"/>
              </w:rPr>
              <w:t>Балансовая стоимость</w:t>
            </w:r>
          </w:p>
        </w:tc>
        <w:tc>
          <w:tcPr>
            <w:tcW w:w="1440" w:type="dxa"/>
            <w:tcBorders>
              <w:top w:val="nil"/>
              <w:left w:val="single" w:sz="4" w:space="0" w:color="auto"/>
              <w:bottom w:val="nil"/>
              <w:right w:val="nil"/>
            </w:tcBorders>
            <w:shd w:val="clear" w:color="auto" w:fill="auto"/>
            <w:vAlign w:val="center"/>
          </w:tcPr>
          <w:p w:rsidR="009A707A" w:rsidRPr="009A707A" w:rsidRDefault="009A707A" w:rsidP="00DA3FA1">
            <w:pPr>
              <w:jc w:val="center"/>
              <w:rPr>
                <w:rFonts w:ascii="Arial" w:hAnsi="Arial" w:cs="Arial"/>
                <w:sz w:val="18"/>
                <w:szCs w:val="18"/>
              </w:rPr>
            </w:pPr>
            <w:r w:rsidRPr="009A707A">
              <w:rPr>
                <w:rFonts w:ascii="Arial" w:hAnsi="Arial" w:cs="Arial"/>
                <w:sz w:val="18"/>
                <w:szCs w:val="18"/>
              </w:rPr>
              <w:t xml:space="preserve">Амортизация </w:t>
            </w:r>
          </w:p>
        </w:tc>
        <w:tc>
          <w:tcPr>
            <w:tcW w:w="1617" w:type="dxa"/>
            <w:tcBorders>
              <w:top w:val="nil"/>
              <w:left w:val="single" w:sz="4" w:space="0" w:color="auto"/>
              <w:bottom w:val="nil"/>
              <w:right w:val="double" w:sz="6" w:space="0" w:color="auto"/>
            </w:tcBorders>
            <w:shd w:val="clear" w:color="auto" w:fill="auto"/>
            <w:vAlign w:val="center"/>
          </w:tcPr>
          <w:p w:rsidR="009A707A" w:rsidRPr="009A707A" w:rsidRDefault="009A707A" w:rsidP="00DA3FA1">
            <w:pPr>
              <w:jc w:val="center"/>
              <w:rPr>
                <w:rFonts w:ascii="Arial" w:hAnsi="Arial" w:cs="Arial"/>
                <w:sz w:val="18"/>
                <w:szCs w:val="18"/>
              </w:rPr>
            </w:pPr>
            <w:r w:rsidRPr="009A707A">
              <w:rPr>
                <w:rFonts w:ascii="Arial" w:hAnsi="Arial" w:cs="Arial"/>
                <w:sz w:val="18"/>
                <w:szCs w:val="18"/>
              </w:rPr>
              <w:t>Остаточная стоимость</w:t>
            </w:r>
          </w:p>
        </w:tc>
      </w:tr>
      <w:tr w:rsidR="009A707A" w:rsidRPr="009A707A" w:rsidTr="00DA3FA1">
        <w:trPr>
          <w:trHeight w:val="270"/>
        </w:trPr>
        <w:tc>
          <w:tcPr>
            <w:tcW w:w="3460"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Вид (группа) ОС: Здания</w:t>
            </w:r>
          </w:p>
        </w:tc>
        <w:tc>
          <w:tcPr>
            <w:tcW w:w="883"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15 360 649,96</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1 930 637,10</w:t>
            </w:r>
          </w:p>
        </w:tc>
        <w:tc>
          <w:tcPr>
            <w:tcW w:w="1617" w:type="dxa"/>
            <w:tcBorders>
              <w:top w:val="single" w:sz="8" w:space="0" w:color="auto"/>
              <w:left w:val="nil"/>
              <w:bottom w:val="single" w:sz="8"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13 430 012,86</w:t>
            </w:r>
          </w:p>
        </w:tc>
      </w:tr>
      <w:tr w:rsidR="009A707A" w:rsidRPr="009A707A" w:rsidTr="00DA3FA1">
        <w:trPr>
          <w:trHeight w:val="585"/>
        </w:trPr>
        <w:tc>
          <w:tcPr>
            <w:tcW w:w="3460"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Здание Столовой, инв.№6515014              (М. Калужская д. 15, стр. 1)</w:t>
            </w:r>
          </w:p>
        </w:tc>
        <w:tc>
          <w:tcPr>
            <w:tcW w:w="883"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6370,2</w:t>
            </w:r>
          </w:p>
        </w:tc>
        <w:tc>
          <w:tcPr>
            <w:tcW w:w="1800" w:type="dxa"/>
            <w:tcBorders>
              <w:top w:val="single" w:sz="4" w:space="0" w:color="auto"/>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5 645 848,81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688 136,68</w:t>
            </w:r>
          </w:p>
        </w:tc>
        <w:tc>
          <w:tcPr>
            <w:tcW w:w="1617" w:type="dxa"/>
            <w:tcBorders>
              <w:top w:val="single" w:sz="4" w:space="0" w:color="auto"/>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4 957 712,13</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Кузнечный заготовит. Корпус 21, инв.№6515018                                              (М. Калужская д. 15, стр. 18)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2829,8</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508 660,95</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61 997,32</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446 663,63</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Кузнечный цех/новое здание, инв.№6515019                                              (М. Калужская д. 15, стр. 19)</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2140,7</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1 284 000,28</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156 498,76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1 127 501,52</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Объект ГО, инв.№6511159                         (ул. Донская д. 28)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845,8</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841 101,60</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102 516,48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738 585,12</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Помещение по адресу ул.М.Калужская д.27 кв.79, инв.№6520216</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  132,0</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1 202 462,57</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204 985,70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997 476,87</w:t>
            </w:r>
          </w:p>
        </w:tc>
      </w:tr>
      <w:tr w:rsidR="009A707A" w:rsidRPr="009A707A" w:rsidTr="00DA3FA1">
        <w:trPr>
          <w:trHeight w:val="78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Складской корпус территория 3, инв.№6515017                                              (М. Калужская д. 15, стр. 17)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jc w:val="right"/>
              <w:rPr>
                <w:rFonts w:ascii="Arial" w:hAnsi="Arial"/>
                <w:sz w:val="18"/>
                <w:szCs w:val="18"/>
              </w:rPr>
            </w:pPr>
            <w:r w:rsidRPr="009A707A">
              <w:rPr>
                <w:rFonts w:ascii="Arial" w:hAnsi="Arial"/>
                <w:sz w:val="18"/>
                <w:szCs w:val="18"/>
              </w:rPr>
              <w:t>10458</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5 878 575,75</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716 502,16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5 162 073,59</w:t>
            </w:r>
          </w:p>
        </w:tc>
      </w:tr>
      <w:tr w:rsidR="009A707A" w:rsidRPr="009A707A" w:rsidTr="00DA3FA1">
        <w:trPr>
          <w:trHeight w:val="465"/>
        </w:trPr>
        <w:tc>
          <w:tcPr>
            <w:tcW w:w="3460"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Вид (группа) ОС: Машины и оборудование</w:t>
            </w:r>
          </w:p>
        </w:tc>
        <w:tc>
          <w:tcPr>
            <w:tcW w:w="883"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22 776 321,04</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5 160 908,28</w:t>
            </w:r>
          </w:p>
        </w:tc>
        <w:tc>
          <w:tcPr>
            <w:tcW w:w="1617" w:type="dxa"/>
            <w:tcBorders>
              <w:top w:val="single" w:sz="8" w:space="0" w:color="auto"/>
              <w:left w:val="nil"/>
              <w:bottom w:val="single" w:sz="8"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17 615 412,76</w:t>
            </w:r>
          </w:p>
        </w:tc>
      </w:tr>
      <w:tr w:rsidR="009A707A" w:rsidRPr="009A707A" w:rsidTr="00DA3FA1">
        <w:trPr>
          <w:trHeight w:val="510"/>
        </w:trPr>
        <w:tc>
          <w:tcPr>
            <w:tcW w:w="3460"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lastRenderedPageBreak/>
              <w:t>Система видеонаблюдения, инв.№6520203</w:t>
            </w:r>
          </w:p>
        </w:tc>
        <w:tc>
          <w:tcPr>
            <w:tcW w:w="883"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single" w:sz="4" w:space="0" w:color="auto"/>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2 398 441,81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237 861,96</w:t>
            </w:r>
          </w:p>
        </w:tc>
        <w:tc>
          <w:tcPr>
            <w:tcW w:w="1617" w:type="dxa"/>
            <w:tcBorders>
              <w:top w:val="single" w:sz="4" w:space="0" w:color="auto"/>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2 160 579,85</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оповещ. и упр. эвакуац. людей при пож. 17, инв.№6520185</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3 319 567,86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795 599,05</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2 523 968,81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оповещ. и упр. эвакуац. людей при пож. 18, инв.№6520191</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1 239 073,34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266 247,28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972 826,06</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оповещ. и упр. эвакуац. людей при пож. 19, инв.№6520188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688 383,98</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164 984,48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523 399,50</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оповещ. и упр. эвакуац. людей при пожаре, инв.№6520181</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3 358 859,74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832 775,10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2 526 084,64</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пожарной сигнализации, инв.№6520180</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3 950 092,68</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1 044 652,48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2 905 440,20</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пожарной сигнализации стр. 17, инв.№6520186</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5 003 738,93</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1 199 243,09</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3 804 495,84</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пожарной сигнализации стр. 18, инв.№6520190</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1 352 364,39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268 237,68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1 084 126,71</w:t>
            </w:r>
          </w:p>
        </w:tc>
      </w:tr>
      <w:tr w:rsidR="009A707A" w:rsidRPr="009A707A" w:rsidTr="00DA3FA1">
        <w:trPr>
          <w:trHeight w:val="52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пожарной сигнализации стр. 19, инв.№6520187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1 465 798,31</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351 307,16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1 114 491,15</w:t>
            </w:r>
          </w:p>
        </w:tc>
      </w:tr>
      <w:tr w:rsidR="009A707A" w:rsidRPr="009A707A" w:rsidTr="00DA3FA1">
        <w:trPr>
          <w:trHeight w:val="465"/>
        </w:trPr>
        <w:tc>
          <w:tcPr>
            <w:tcW w:w="3460"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Вид (группа) ОС: Прочие основные фонды</w:t>
            </w:r>
          </w:p>
        </w:tc>
        <w:tc>
          <w:tcPr>
            <w:tcW w:w="883"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952 944,51</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505 708,47</w:t>
            </w:r>
          </w:p>
        </w:tc>
        <w:tc>
          <w:tcPr>
            <w:tcW w:w="1617" w:type="dxa"/>
            <w:tcBorders>
              <w:top w:val="single" w:sz="8" w:space="0" w:color="auto"/>
              <w:left w:val="nil"/>
              <w:bottom w:val="single" w:sz="8"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447 236,04</w:t>
            </w:r>
          </w:p>
        </w:tc>
      </w:tr>
      <w:tr w:rsidR="009A707A" w:rsidRPr="009A707A" w:rsidTr="00DA3FA1">
        <w:trPr>
          <w:trHeight w:val="765"/>
        </w:trPr>
        <w:tc>
          <w:tcPr>
            <w:tcW w:w="3460"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Автомат. рулонные ворота из профиля AL-120 (3780х4, инв.№6520200</w:t>
            </w:r>
          </w:p>
        </w:tc>
        <w:tc>
          <w:tcPr>
            <w:tcW w:w="883"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single" w:sz="4" w:space="0" w:color="auto"/>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109 433,56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26 909,85</w:t>
            </w:r>
          </w:p>
        </w:tc>
        <w:tc>
          <w:tcPr>
            <w:tcW w:w="1617" w:type="dxa"/>
            <w:tcBorders>
              <w:top w:val="single" w:sz="4" w:space="0" w:color="auto"/>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82 523,71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rPr>
              <w:t>Компьютер</w:t>
            </w:r>
            <w:r w:rsidRPr="009A707A">
              <w:rPr>
                <w:rFonts w:ascii="Arial" w:hAnsi="Arial"/>
                <w:sz w:val="18"/>
                <w:szCs w:val="18"/>
                <w:lang w:val="en-US"/>
              </w:rPr>
              <w:t xml:space="preserve"> Pentium4 S478/i865GV, </w:t>
            </w:r>
            <w:r w:rsidRPr="009A707A">
              <w:rPr>
                <w:rFonts w:ascii="Arial" w:hAnsi="Arial"/>
                <w:sz w:val="18"/>
                <w:szCs w:val="18"/>
              </w:rPr>
              <w:t>инв</w:t>
            </w:r>
            <w:r w:rsidRPr="009A707A">
              <w:rPr>
                <w:rFonts w:ascii="Arial" w:hAnsi="Arial"/>
                <w:sz w:val="18"/>
                <w:szCs w:val="18"/>
                <w:lang w:val="en-US"/>
              </w:rPr>
              <w:t>.№6520215</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lang w:val="en-US"/>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29 130,46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29 130,46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Компьютер в сборе Core2Duo7500/ASUS H5Q/2[DDRII 2G, инв.№6520199</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64 837,46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38 902,50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25 934,96</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Компьютер в сборе Foxconn ATX:Core 2 Duo E7400, инв.№6520196</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31 571,36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23 994,15</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7 577,21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rPr>
              <w:t>Компьютер</w:t>
            </w:r>
            <w:r w:rsidRPr="009A707A">
              <w:rPr>
                <w:rFonts w:ascii="Arial" w:hAnsi="Arial"/>
                <w:sz w:val="18"/>
                <w:szCs w:val="18"/>
                <w:lang w:val="en-US"/>
              </w:rPr>
              <w:t xml:space="preserve"> </w:t>
            </w:r>
            <w:r w:rsidRPr="009A707A">
              <w:rPr>
                <w:rFonts w:ascii="Arial" w:hAnsi="Arial"/>
                <w:sz w:val="18"/>
                <w:szCs w:val="18"/>
              </w:rPr>
              <w:t>в</w:t>
            </w:r>
            <w:r w:rsidRPr="009A707A">
              <w:rPr>
                <w:rFonts w:ascii="Arial" w:hAnsi="Arial"/>
                <w:sz w:val="18"/>
                <w:szCs w:val="18"/>
                <w:lang w:val="en-US"/>
              </w:rPr>
              <w:t xml:space="preserve"> </w:t>
            </w:r>
            <w:r w:rsidRPr="009A707A">
              <w:rPr>
                <w:rFonts w:ascii="Arial" w:hAnsi="Arial"/>
                <w:sz w:val="18"/>
                <w:szCs w:val="18"/>
              </w:rPr>
              <w:t>сборе</w:t>
            </w:r>
            <w:r w:rsidRPr="009A707A">
              <w:rPr>
                <w:rFonts w:ascii="Arial" w:hAnsi="Arial"/>
                <w:sz w:val="18"/>
                <w:szCs w:val="18"/>
                <w:lang w:val="en-US"/>
              </w:rPr>
              <w:t xml:space="preserve"> Intel Celeron Dual-Core E1400, </w:t>
            </w:r>
            <w:r w:rsidRPr="009A707A">
              <w:rPr>
                <w:rFonts w:ascii="Arial" w:hAnsi="Arial"/>
                <w:sz w:val="18"/>
                <w:szCs w:val="18"/>
              </w:rPr>
              <w:t>инв</w:t>
            </w:r>
            <w:r w:rsidRPr="009A707A">
              <w:rPr>
                <w:rFonts w:ascii="Arial" w:hAnsi="Arial"/>
                <w:sz w:val="18"/>
                <w:szCs w:val="18"/>
                <w:lang w:val="en-US"/>
              </w:rPr>
              <w:t>.№6520174</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lang w:val="en-US"/>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46 326,84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23 543,26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22 783,58</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Компьютер в сборе Intel Celeron Dual-Core E1400 (А, инв.№6520182</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25 929,39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25 929,39</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rPr>
              <w:t>Компьютер</w:t>
            </w:r>
            <w:r w:rsidRPr="009A707A">
              <w:rPr>
                <w:rFonts w:ascii="Arial" w:hAnsi="Arial"/>
                <w:sz w:val="18"/>
                <w:szCs w:val="18"/>
                <w:lang w:val="en-US"/>
              </w:rPr>
              <w:t xml:space="preserve"> </w:t>
            </w:r>
            <w:r w:rsidRPr="009A707A">
              <w:rPr>
                <w:rFonts w:ascii="Arial" w:hAnsi="Arial"/>
                <w:sz w:val="18"/>
                <w:szCs w:val="18"/>
              </w:rPr>
              <w:t>в</w:t>
            </w:r>
            <w:r w:rsidRPr="009A707A">
              <w:rPr>
                <w:rFonts w:ascii="Arial" w:hAnsi="Arial"/>
                <w:sz w:val="18"/>
                <w:szCs w:val="18"/>
                <w:lang w:val="en-US"/>
              </w:rPr>
              <w:t xml:space="preserve"> </w:t>
            </w:r>
            <w:r w:rsidRPr="009A707A">
              <w:rPr>
                <w:rFonts w:ascii="Arial" w:hAnsi="Arial"/>
                <w:sz w:val="18"/>
                <w:szCs w:val="18"/>
              </w:rPr>
              <w:t>сборе</w:t>
            </w:r>
            <w:r w:rsidRPr="009A707A">
              <w:rPr>
                <w:rFonts w:ascii="Arial" w:hAnsi="Arial"/>
                <w:sz w:val="18"/>
                <w:szCs w:val="18"/>
                <w:lang w:val="en-US"/>
              </w:rPr>
              <w:t xml:space="preserve"> Intel Celeron Dual-Core E1400 (</w:t>
            </w:r>
            <w:r w:rsidRPr="009A707A">
              <w:rPr>
                <w:rFonts w:ascii="Arial" w:hAnsi="Arial"/>
                <w:sz w:val="18"/>
                <w:szCs w:val="18"/>
              </w:rPr>
              <w:t>Б</w:t>
            </w:r>
            <w:r w:rsidRPr="009A707A">
              <w:rPr>
                <w:rFonts w:ascii="Arial" w:hAnsi="Arial"/>
                <w:sz w:val="18"/>
                <w:szCs w:val="18"/>
                <w:lang w:val="en-US"/>
              </w:rPr>
              <w:t xml:space="preserve">, </w:t>
            </w:r>
            <w:r w:rsidRPr="009A707A">
              <w:rPr>
                <w:rFonts w:ascii="Arial" w:hAnsi="Arial"/>
                <w:sz w:val="18"/>
                <w:szCs w:val="18"/>
              </w:rPr>
              <w:t>инв</w:t>
            </w:r>
            <w:r w:rsidRPr="009A707A">
              <w:rPr>
                <w:rFonts w:ascii="Arial" w:hAnsi="Arial"/>
                <w:sz w:val="18"/>
                <w:szCs w:val="18"/>
                <w:lang w:val="en-US"/>
              </w:rPr>
              <w:t>.№6520183</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lang w:val="en-US"/>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25 929,39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25 929,39</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rPr>
              <w:t>Компьютер</w:t>
            </w:r>
            <w:r w:rsidRPr="009A707A">
              <w:rPr>
                <w:rFonts w:ascii="Arial" w:hAnsi="Arial"/>
                <w:sz w:val="18"/>
                <w:szCs w:val="18"/>
                <w:lang w:val="en-US"/>
              </w:rPr>
              <w:t xml:space="preserve"> </w:t>
            </w:r>
            <w:r w:rsidRPr="009A707A">
              <w:rPr>
                <w:rFonts w:ascii="Arial" w:hAnsi="Arial"/>
                <w:sz w:val="18"/>
                <w:szCs w:val="18"/>
              </w:rPr>
              <w:t>в</w:t>
            </w:r>
            <w:r w:rsidRPr="009A707A">
              <w:rPr>
                <w:rFonts w:ascii="Arial" w:hAnsi="Arial"/>
                <w:sz w:val="18"/>
                <w:szCs w:val="18"/>
                <w:lang w:val="en-US"/>
              </w:rPr>
              <w:t xml:space="preserve"> </w:t>
            </w:r>
            <w:r w:rsidRPr="009A707A">
              <w:rPr>
                <w:rFonts w:ascii="Arial" w:hAnsi="Arial"/>
                <w:sz w:val="18"/>
                <w:szCs w:val="18"/>
              </w:rPr>
              <w:t>сборе</w:t>
            </w:r>
            <w:r w:rsidRPr="009A707A">
              <w:rPr>
                <w:rFonts w:ascii="Arial" w:hAnsi="Arial"/>
                <w:sz w:val="18"/>
                <w:szCs w:val="18"/>
                <w:lang w:val="en-US"/>
              </w:rPr>
              <w:t xml:space="preserve"> Intel Celeron Dual-Core E5300(1), </w:t>
            </w:r>
            <w:r w:rsidRPr="009A707A">
              <w:rPr>
                <w:rFonts w:ascii="Arial" w:hAnsi="Arial"/>
                <w:sz w:val="18"/>
                <w:szCs w:val="18"/>
              </w:rPr>
              <w:t>инв</w:t>
            </w:r>
            <w:r w:rsidRPr="009A707A">
              <w:rPr>
                <w:rFonts w:ascii="Arial" w:hAnsi="Arial"/>
                <w:sz w:val="18"/>
                <w:szCs w:val="18"/>
                <w:lang w:val="en-US"/>
              </w:rPr>
              <w:t>.№6520193</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lang w:val="en-US"/>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38 002,20</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31 921,89</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6 080,31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rPr>
              <w:t>Компьютер</w:t>
            </w:r>
            <w:r w:rsidRPr="009A707A">
              <w:rPr>
                <w:rFonts w:ascii="Arial" w:hAnsi="Arial"/>
                <w:sz w:val="18"/>
                <w:szCs w:val="18"/>
                <w:lang w:val="en-US"/>
              </w:rPr>
              <w:t xml:space="preserve"> </w:t>
            </w:r>
            <w:r w:rsidRPr="009A707A">
              <w:rPr>
                <w:rFonts w:ascii="Arial" w:hAnsi="Arial"/>
                <w:sz w:val="18"/>
                <w:szCs w:val="18"/>
              </w:rPr>
              <w:t>в</w:t>
            </w:r>
            <w:r w:rsidRPr="009A707A">
              <w:rPr>
                <w:rFonts w:ascii="Arial" w:hAnsi="Arial"/>
                <w:sz w:val="18"/>
                <w:szCs w:val="18"/>
                <w:lang w:val="en-US"/>
              </w:rPr>
              <w:t xml:space="preserve"> </w:t>
            </w:r>
            <w:r w:rsidRPr="009A707A">
              <w:rPr>
                <w:rFonts w:ascii="Arial" w:hAnsi="Arial"/>
                <w:sz w:val="18"/>
                <w:szCs w:val="18"/>
              </w:rPr>
              <w:t>сборе</w:t>
            </w:r>
            <w:r w:rsidRPr="009A707A">
              <w:rPr>
                <w:rFonts w:ascii="Arial" w:hAnsi="Arial"/>
                <w:sz w:val="18"/>
                <w:szCs w:val="18"/>
                <w:lang w:val="en-US"/>
              </w:rPr>
              <w:t xml:space="preserve"> Intel Celeron Dual-Core E5300(2), </w:t>
            </w:r>
            <w:r w:rsidRPr="009A707A">
              <w:rPr>
                <w:rFonts w:ascii="Arial" w:hAnsi="Arial"/>
                <w:sz w:val="18"/>
                <w:szCs w:val="18"/>
              </w:rPr>
              <w:t>инв</w:t>
            </w:r>
            <w:r w:rsidRPr="009A707A">
              <w:rPr>
                <w:rFonts w:ascii="Arial" w:hAnsi="Arial"/>
                <w:sz w:val="18"/>
                <w:szCs w:val="18"/>
                <w:lang w:val="en-US"/>
              </w:rPr>
              <w:t>.№6520194</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lang w:val="en-US"/>
              </w:rPr>
            </w:pPr>
            <w:r w:rsidRPr="009A707A">
              <w:rPr>
                <w:rFonts w:ascii="Arial" w:hAnsi="Arial"/>
                <w:sz w:val="18"/>
                <w:szCs w:val="18"/>
                <w:lang w:val="en-US"/>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38 002,20</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31 921,89</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6 080,31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HSA097BE (сер.№ 0801034), инв.№6520178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20 021,19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9 846,60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10 174,59</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HSA097BE (сер.№ 0801139), инв.№6520177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20 021,19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9 846,60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10 174,59</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HSA097BE (сер.№ 0803098), инв.№6520175</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20 021,18</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9 846,60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10 174,58</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HSA097BE (сер.№ 0803115), инв.№6520176</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20 021,19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9 846,60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10 174,59</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HSHE127 ВЕ/НRНЕ127 BE (0805325, инв.№6520179</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30 847,46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15 171,00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15 676,46</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HYUNDAI НSA 097 BE (сер.№ 0803096), инв.№6520184</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23 983,06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11 401,64</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12 581,42</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lastRenderedPageBreak/>
              <w:t>Кондиционер RAS-07 UKR-E3, инв.№6520213</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15 930,81</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15 930,81</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Кондиционер RAS-24 UKR-E3, инв.№6520214</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30 037,84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30 037,84</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Копир цифр. Copy Centre DADF с тумб., Финишер-степ, инв.№6520198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39 830,51</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28 677,96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11 152,55</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Многофункц. устр-во МФУ НР Laser Jet 3392 Q6501A,, инв.№6520197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3 262,71</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2 349,18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913,53</w:t>
            </w:r>
          </w:p>
        </w:tc>
      </w:tr>
      <w:tr w:rsidR="009A707A" w:rsidRPr="009A707A" w:rsidTr="00DA3FA1">
        <w:trPr>
          <w:trHeight w:val="25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Ноутбук Toshiba, инв.№6520217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60 394,92</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13 058,40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47 336,52</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Система доступа /КПП/, инв.№6520201</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51 059,33</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5 485,74</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45 573,59</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Сплит система "ДЭУ", инв.№6520208</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10 162,39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1 832,60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8 329,79</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Сплит система "ДЭУ"/1, инв.№6520209</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4 872,40</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878,68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3 993,72</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Сплит система "Панасоник" CS-C18GKD 08/07, инв.№6520210</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15 608,77</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2 814,68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12 794,09</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Сплит система "Самсунг", инв.№6520211</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5 414,14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976,36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4 437,78</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Сплит система "Самсунг"/1, инв.№6520212</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5 414,14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976,36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4 437,78</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Тепловая завеса Тепломаш КЭВ-42П311W (1), инв.№6520204</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22 457,63</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4 417,92</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18 039,71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Тепловая завеса Тепломаш КЭВ-42П311W (2), инв.№6520205</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22 457,63</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4 417,92</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18 039,71</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Уничтожитель док-в HSM 104/3, 1,9мм Зур.секр., инв.№6520192</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26 445,60</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24 329,86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2 115,74</w:t>
            </w:r>
          </w:p>
        </w:tc>
      </w:tr>
      <w:tr w:rsidR="009A707A" w:rsidRPr="009A707A" w:rsidTr="00DA3FA1">
        <w:trPr>
          <w:trHeight w:val="76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Устройство для хранения компьютерных данных, инв.№6520189</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38 822,64</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38 822,64</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0,00</w:t>
            </w:r>
          </w:p>
        </w:tc>
      </w:tr>
      <w:tr w:rsidR="009A707A" w:rsidRPr="009A707A" w:rsidTr="00DA3FA1">
        <w:trPr>
          <w:trHeight w:val="27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Шлагбаум, инв.№6520202</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56 694,92</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6 559,70</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50 135,22</w:t>
            </w:r>
          </w:p>
        </w:tc>
      </w:tr>
      <w:tr w:rsidR="009A707A" w:rsidRPr="009A707A" w:rsidTr="00DA3FA1">
        <w:trPr>
          <w:trHeight w:val="270"/>
        </w:trPr>
        <w:tc>
          <w:tcPr>
            <w:tcW w:w="3460"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Вид (группа) ОС: Сооружения</w:t>
            </w:r>
          </w:p>
        </w:tc>
        <w:tc>
          <w:tcPr>
            <w:tcW w:w="883"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2 403 721,04</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200 402,75</w:t>
            </w:r>
          </w:p>
        </w:tc>
        <w:tc>
          <w:tcPr>
            <w:tcW w:w="1617" w:type="dxa"/>
            <w:tcBorders>
              <w:top w:val="single" w:sz="8" w:space="0" w:color="auto"/>
              <w:left w:val="nil"/>
              <w:bottom w:val="single" w:sz="8"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2 203 318,29</w:t>
            </w:r>
          </w:p>
        </w:tc>
      </w:tr>
      <w:tr w:rsidR="009A707A" w:rsidRPr="009A707A" w:rsidTr="00DA3FA1">
        <w:trPr>
          <w:trHeight w:val="510"/>
        </w:trPr>
        <w:tc>
          <w:tcPr>
            <w:tcW w:w="3460"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Забор металлический, инв.№6510727</w:t>
            </w:r>
          </w:p>
        </w:tc>
        <w:tc>
          <w:tcPr>
            <w:tcW w:w="883"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single" w:sz="4" w:space="0" w:color="auto"/>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208 805,28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25 450,04</w:t>
            </w:r>
          </w:p>
        </w:tc>
        <w:tc>
          <w:tcPr>
            <w:tcW w:w="1617" w:type="dxa"/>
            <w:tcBorders>
              <w:top w:val="single" w:sz="4" w:space="0" w:color="auto"/>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183 355,24</w:t>
            </w:r>
          </w:p>
        </w:tc>
      </w:tr>
      <w:tr w:rsidR="009A707A" w:rsidRPr="009A707A" w:rsidTr="00DA3FA1">
        <w:trPr>
          <w:trHeight w:val="510"/>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Забор, отделяющий двор от домов, инв.№6520173</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13 905,19</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1 694,88</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12 210,31</w:t>
            </w:r>
          </w:p>
        </w:tc>
      </w:tr>
      <w:tr w:rsidR="009A707A" w:rsidRPr="009A707A" w:rsidTr="00DA3FA1">
        <w:trPr>
          <w:trHeight w:val="25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Здание КПП, инв.№6520206</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1 849 202,26</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132 815,67</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1 716 386,59</w:t>
            </w:r>
          </w:p>
        </w:tc>
      </w:tr>
      <w:tr w:rsidR="009A707A" w:rsidRPr="009A707A" w:rsidTr="00DA3FA1">
        <w:trPr>
          <w:trHeight w:val="525"/>
        </w:trPr>
        <w:tc>
          <w:tcPr>
            <w:tcW w:w="3460"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Переходная галерея от главного корпуса, инв.№6512007</w:t>
            </w:r>
          </w:p>
        </w:tc>
        <w:tc>
          <w:tcPr>
            <w:tcW w:w="883" w:type="dxa"/>
            <w:tcBorders>
              <w:top w:val="nil"/>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nil"/>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331 808,31</w:t>
            </w:r>
          </w:p>
        </w:tc>
        <w:tc>
          <w:tcPr>
            <w:tcW w:w="1440" w:type="dxa"/>
            <w:tcBorders>
              <w:top w:val="nil"/>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40 442,16</w:t>
            </w:r>
          </w:p>
        </w:tc>
        <w:tc>
          <w:tcPr>
            <w:tcW w:w="1617" w:type="dxa"/>
            <w:tcBorders>
              <w:top w:val="nil"/>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291 366,15</w:t>
            </w:r>
          </w:p>
        </w:tc>
      </w:tr>
      <w:tr w:rsidR="009A707A" w:rsidRPr="009A707A" w:rsidTr="00DA3FA1">
        <w:trPr>
          <w:trHeight w:val="465"/>
        </w:trPr>
        <w:tc>
          <w:tcPr>
            <w:tcW w:w="3460"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Вид (группа) ОС: Транспортные средства</w:t>
            </w:r>
          </w:p>
        </w:tc>
        <w:tc>
          <w:tcPr>
            <w:tcW w:w="883" w:type="dxa"/>
            <w:tcBorders>
              <w:top w:val="single" w:sz="8" w:space="0" w:color="auto"/>
              <w:left w:val="double" w:sz="6" w:space="0" w:color="auto"/>
              <w:bottom w:val="single" w:sz="8" w:space="0" w:color="auto"/>
              <w:right w:val="nil"/>
            </w:tcBorders>
            <w:shd w:val="clear" w:color="auto" w:fill="auto"/>
            <w:vAlign w:val="center"/>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368 220,34</w:t>
            </w:r>
          </w:p>
        </w:tc>
        <w:tc>
          <w:tcPr>
            <w:tcW w:w="1440"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30 182,00</w:t>
            </w:r>
          </w:p>
        </w:tc>
        <w:tc>
          <w:tcPr>
            <w:tcW w:w="1617" w:type="dxa"/>
            <w:tcBorders>
              <w:top w:val="single" w:sz="8" w:space="0" w:color="auto"/>
              <w:left w:val="double" w:sz="6" w:space="0" w:color="auto"/>
              <w:bottom w:val="single" w:sz="8"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338 038,34</w:t>
            </w:r>
          </w:p>
        </w:tc>
      </w:tr>
      <w:tr w:rsidR="009A707A" w:rsidRPr="009A707A" w:rsidTr="00DA3FA1">
        <w:trPr>
          <w:trHeight w:val="780"/>
        </w:trPr>
        <w:tc>
          <w:tcPr>
            <w:tcW w:w="3460"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Электротележка ЕТ-20132 (с кабиной и с бортами), инв.№6520218</w:t>
            </w:r>
          </w:p>
        </w:tc>
        <w:tc>
          <w:tcPr>
            <w:tcW w:w="883" w:type="dxa"/>
            <w:tcBorders>
              <w:top w:val="single" w:sz="4" w:space="0" w:color="auto"/>
              <w:left w:val="double" w:sz="6" w:space="0" w:color="auto"/>
              <w:bottom w:val="single" w:sz="4" w:space="0" w:color="auto"/>
              <w:right w:val="nil"/>
            </w:tcBorders>
            <w:shd w:val="clear" w:color="auto" w:fill="auto"/>
            <w:vAlign w:val="center"/>
          </w:tcPr>
          <w:p w:rsidR="009A707A" w:rsidRPr="009A707A" w:rsidRDefault="009A707A" w:rsidP="00DA3FA1">
            <w:pPr>
              <w:rPr>
                <w:rFonts w:ascii="Arial" w:hAnsi="Arial"/>
                <w:sz w:val="18"/>
                <w:szCs w:val="18"/>
              </w:rPr>
            </w:pPr>
            <w:r w:rsidRPr="009A707A">
              <w:rPr>
                <w:rFonts w:ascii="Arial" w:hAnsi="Arial"/>
                <w:sz w:val="18"/>
                <w:szCs w:val="18"/>
              </w:rPr>
              <w:t> </w:t>
            </w:r>
          </w:p>
        </w:tc>
        <w:tc>
          <w:tcPr>
            <w:tcW w:w="1800" w:type="dxa"/>
            <w:tcBorders>
              <w:top w:val="single" w:sz="4" w:space="0" w:color="auto"/>
              <w:left w:val="double" w:sz="6" w:space="0" w:color="auto"/>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368 220,34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30 182,00</w:t>
            </w:r>
          </w:p>
        </w:tc>
        <w:tc>
          <w:tcPr>
            <w:tcW w:w="1617" w:type="dxa"/>
            <w:tcBorders>
              <w:top w:val="single" w:sz="4" w:space="0" w:color="auto"/>
              <w:left w:val="nil"/>
              <w:bottom w:val="single" w:sz="4"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338 038,34</w:t>
            </w:r>
          </w:p>
        </w:tc>
      </w:tr>
      <w:tr w:rsidR="009A707A" w:rsidRPr="009A707A" w:rsidTr="00DA3FA1">
        <w:trPr>
          <w:trHeight w:val="285"/>
        </w:trPr>
        <w:tc>
          <w:tcPr>
            <w:tcW w:w="3460" w:type="dxa"/>
            <w:tcBorders>
              <w:top w:val="double" w:sz="6" w:space="0" w:color="auto"/>
              <w:left w:val="double" w:sz="6" w:space="0" w:color="auto"/>
              <w:bottom w:val="double" w:sz="6" w:space="0" w:color="auto"/>
              <w:right w:val="double" w:sz="6" w:space="0" w:color="auto"/>
            </w:tcBorders>
            <w:shd w:val="clear" w:color="auto" w:fill="auto"/>
            <w:noWrap/>
            <w:vAlign w:val="bottom"/>
          </w:tcPr>
          <w:p w:rsidR="009A707A" w:rsidRPr="009A707A" w:rsidRDefault="009A707A" w:rsidP="00DA3FA1">
            <w:pPr>
              <w:rPr>
                <w:rFonts w:ascii="Arial" w:hAnsi="Arial" w:cs="Arial"/>
                <w:b/>
                <w:bCs/>
                <w:sz w:val="18"/>
                <w:szCs w:val="18"/>
              </w:rPr>
            </w:pPr>
            <w:r w:rsidRPr="009A707A">
              <w:rPr>
                <w:rFonts w:ascii="Arial" w:hAnsi="Arial" w:cs="Arial"/>
                <w:b/>
                <w:bCs/>
                <w:sz w:val="18"/>
                <w:szCs w:val="18"/>
              </w:rPr>
              <w:t>Итого:</w:t>
            </w:r>
          </w:p>
        </w:tc>
        <w:tc>
          <w:tcPr>
            <w:tcW w:w="883" w:type="dxa"/>
            <w:tcBorders>
              <w:top w:val="double" w:sz="6" w:space="0" w:color="auto"/>
              <w:left w:val="nil"/>
              <w:bottom w:val="double" w:sz="6" w:space="0" w:color="auto"/>
              <w:right w:val="nil"/>
            </w:tcBorders>
            <w:shd w:val="clear" w:color="auto" w:fill="auto"/>
            <w:noWrap/>
            <w:vAlign w:val="bottom"/>
          </w:tcPr>
          <w:p w:rsidR="009A707A" w:rsidRPr="009A707A" w:rsidRDefault="009A707A" w:rsidP="00DA3FA1">
            <w:pPr>
              <w:rPr>
                <w:rFonts w:ascii="Arial" w:hAnsi="Arial" w:cs="Arial"/>
                <w:b/>
                <w:bCs/>
                <w:sz w:val="18"/>
                <w:szCs w:val="18"/>
              </w:rPr>
            </w:pPr>
            <w:r w:rsidRPr="009A707A">
              <w:rPr>
                <w:rFonts w:ascii="Arial" w:hAnsi="Arial" w:cs="Arial"/>
                <w:b/>
                <w:bCs/>
                <w:sz w:val="18"/>
                <w:szCs w:val="18"/>
              </w:rPr>
              <w:t> </w:t>
            </w:r>
          </w:p>
        </w:tc>
        <w:tc>
          <w:tcPr>
            <w:tcW w:w="1800" w:type="dxa"/>
            <w:tcBorders>
              <w:top w:val="double" w:sz="6" w:space="0" w:color="auto"/>
              <w:left w:val="single" w:sz="4" w:space="0" w:color="auto"/>
              <w:bottom w:val="double" w:sz="6"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41 861 856,89</w:t>
            </w:r>
          </w:p>
        </w:tc>
        <w:tc>
          <w:tcPr>
            <w:tcW w:w="1440" w:type="dxa"/>
            <w:tcBorders>
              <w:top w:val="double" w:sz="6" w:space="0" w:color="auto"/>
              <w:left w:val="single" w:sz="4" w:space="0" w:color="auto"/>
              <w:bottom w:val="double" w:sz="6"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7 827 838,60</w:t>
            </w:r>
          </w:p>
        </w:tc>
        <w:tc>
          <w:tcPr>
            <w:tcW w:w="1617" w:type="dxa"/>
            <w:tcBorders>
              <w:top w:val="double" w:sz="6" w:space="0" w:color="auto"/>
              <w:left w:val="single" w:sz="4" w:space="0" w:color="auto"/>
              <w:bottom w:val="double" w:sz="6" w:space="0" w:color="auto"/>
              <w:right w:val="double" w:sz="6" w:space="0" w:color="auto"/>
            </w:tcBorders>
            <w:shd w:val="clear" w:color="auto" w:fill="auto"/>
            <w:noWrap/>
            <w:vAlign w:val="center"/>
          </w:tcPr>
          <w:p w:rsidR="009A707A" w:rsidRPr="009A707A" w:rsidRDefault="009A707A" w:rsidP="00DA3FA1">
            <w:pPr>
              <w:jc w:val="right"/>
              <w:rPr>
                <w:rFonts w:ascii="Arial" w:hAnsi="Arial"/>
                <w:sz w:val="18"/>
                <w:szCs w:val="18"/>
              </w:rPr>
            </w:pPr>
            <w:r w:rsidRPr="009A707A">
              <w:rPr>
                <w:rFonts w:ascii="Arial" w:hAnsi="Arial"/>
                <w:sz w:val="18"/>
                <w:szCs w:val="18"/>
              </w:rPr>
              <w:t>34 034 018,29</w:t>
            </w:r>
          </w:p>
        </w:tc>
      </w:tr>
    </w:tbl>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 xml:space="preserve">Всего основных средств: </w:t>
      </w:r>
    </w:p>
    <w:p w:rsidR="00AA7EE0" w:rsidRPr="00A512E0" w:rsidRDefault="00AA7EE0" w:rsidP="00BB4B93">
      <w:pPr>
        <w:widowControl/>
        <w:spacing w:before="0" w:after="0"/>
        <w:ind w:left="720"/>
        <w:jc w:val="both"/>
        <w:rPr>
          <w:sz w:val="22"/>
          <w:szCs w:val="22"/>
        </w:rPr>
      </w:pPr>
      <w:r w:rsidRPr="00A512E0">
        <w:rPr>
          <w:sz w:val="22"/>
          <w:szCs w:val="22"/>
        </w:rPr>
        <w:t xml:space="preserve">Первоначальная стоимость –  41 861 т. руб. </w:t>
      </w:r>
    </w:p>
    <w:p w:rsidR="00AA7EE0" w:rsidRPr="00A512E0" w:rsidRDefault="00AA7EE0" w:rsidP="00BB4B93">
      <w:pPr>
        <w:widowControl/>
        <w:spacing w:before="0" w:after="0"/>
        <w:ind w:left="720"/>
        <w:jc w:val="both"/>
        <w:rPr>
          <w:sz w:val="22"/>
          <w:szCs w:val="22"/>
        </w:rPr>
      </w:pPr>
      <w:r w:rsidRPr="00A512E0">
        <w:rPr>
          <w:sz w:val="22"/>
          <w:szCs w:val="22"/>
        </w:rPr>
        <w:t>Сумма начисленной амортизации всего –7 828 т. руб.</w:t>
      </w:r>
    </w:p>
    <w:p w:rsidR="00AA7EE0" w:rsidRPr="00A512E0" w:rsidRDefault="00AA7EE0" w:rsidP="00BB4B93">
      <w:pPr>
        <w:widowControl/>
        <w:spacing w:before="0" w:after="0"/>
        <w:ind w:left="720"/>
        <w:jc w:val="both"/>
        <w:rPr>
          <w:sz w:val="22"/>
          <w:szCs w:val="22"/>
        </w:rPr>
      </w:pPr>
      <w:r w:rsidRPr="00A512E0">
        <w:rPr>
          <w:sz w:val="22"/>
          <w:szCs w:val="22"/>
        </w:rPr>
        <w:t>Остаточная стоимость – 34 034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lastRenderedPageBreak/>
        <w:t>Земельные участки, расположенные под объектами недвижимости ОАО «РН-Влакра», полученными в ходе реорганизации и, находящиеся в аренде у Московского земельного комитета:</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Земельный участок № 1, общей площадью 3 892 кв.м. – г. Москва, ул. Малая Калужская, вл. 15, стр.19</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Земельный участок № 2, общей площадью 9 558 кв.м. – г. Москва, ул. Малая Калужская, вл. 15, стр.1, 17</w:t>
      </w:r>
    </w:p>
    <w:p w:rsidR="00AA7EE0" w:rsidRPr="00A512E0" w:rsidRDefault="00AA7EE0" w:rsidP="00BB4B93">
      <w:pPr>
        <w:widowControl/>
        <w:spacing w:before="0" w:after="0"/>
        <w:ind w:left="1222"/>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А так же земельные участки, расположенные под строениями, частично принадлежащими ОАО «РН-Влакра»:</w:t>
      </w:r>
    </w:p>
    <w:p w:rsidR="00AA7EE0" w:rsidRPr="00A512E0" w:rsidRDefault="00AA7EE0" w:rsidP="00BB4B93">
      <w:pPr>
        <w:widowControl/>
        <w:spacing w:before="0" w:after="0"/>
        <w:ind w:left="720"/>
        <w:jc w:val="both"/>
        <w:rPr>
          <w:sz w:val="22"/>
          <w:szCs w:val="22"/>
        </w:rPr>
      </w:pPr>
    </w:p>
    <w:tbl>
      <w:tblPr>
        <w:tblW w:w="0" w:type="auto"/>
        <w:tblInd w:w="813" w:type="dxa"/>
        <w:tblLayout w:type="fixed"/>
        <w:tblLook w:val="0000"/>
      </w:tblPr>
      <w:tblGrid>
        <w:gridCol w:w="5003"/>
        <w:gridCol w:w="1346"/>
        <w:gridCol w:w="598"/>
      </w:tblGrid>
      <w:tr w:rsidR="00AA7EE0" w:rsidRPr="009A707A">
        <w:tblPrEx>
          <w:tblCellMar>
            <w:top w:w="0" w:type="dxa"/>
            <w:bottom w:w="0" w:type="dxa"/>
          </w:tblCellMar>
        </w:tblPrEx>
        <w:trPr>
          <w:trHeight w:val="255"/>
        </w:trPr>
        <w:tc>
          <w:tcPr>
            <w:tcW w:w="6947" w:type="dxa"/>
            <w:gridSpan w:val="3"/>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sz w:val="18"/>
                <w:szCs w:val="18"/>
              </w:rPr>
            </w:pPr>
            <w:r w:rsidRPr="009A707A">
              <w:rPr>
                <w:rFonts w:ascii="Arial" w:eastAsiaTheme="minorEastAsia" w:hAnsi="Arial" w:cs="Arial"/>
                <w:b/>
                <w:bCs/>
                <w:sz w:val="18"/>
                <w:szCs w:val="18"/>
              </w:rPr>
              <w:t>Расчет размера земельной доли</w:t>
            </w:r>
          </w:p>
        </w:tc>
      </w:tr>
      <w:tr w:rsidR="00AA7EE0" w:rsidRPr="009A707A">
        <w:tblPrEx>
          <w:tblCellMar>
            <w:top w:w="0" w:type="dxa"/>
            <w:bottom w:w="0" w:type="dxa"/>
          </w:tblCellMar>
        </w:tblPrEx>
        <w:trPr>
          <w:trHeight w:val="88"/>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r w:rsidR="00AA7EE0" w:rsidRPr="009A707A">
        <w:tblPrEx>
          <w:tblCellMar>
            <w:top w:w="0" w:type="dxa"/>
            <w:bottom w:w="0" w:type="dxa"/>
          </w:tblCellMar>
        </w:tblPrEx>
        <w:trPr>
          <w:trHeight w:val="255"/>
        </w:trPr>
        <w:tc>
          <w:tcPr>
            <w:tcW w:w="6947" w:type="dxa"/>
            <w:gridSpan w:val="3"/>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sz w:val="18"/>
                <w:szCs w:val="18"/>
              </w:rPr>
            </w:pPr>
            <w:r w:rsidRPr="009A707A">
              <w:rPr>
                <w:rFonts w:ascii="Arial" w:eastAsiaTheme="minorEastAsia" w:hAnsi="Arial" w:cs="Arial"/>
                <w:b/>
                <w:bCs/>
                <w:sz w:val="18"/>
                <w:szCs w:val="18"/>
              </w:rPr>
              <w:t>по адресу  ул. Малая Калужская д.27</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Общая площадь земельного участка (РЗУ)</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1 433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Общая площадь строения (Рс)</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5 598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Площадь РН-Влакры (Ро)</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132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Расчет земельной доли Sд=(РЗУ)*Ро/Рс</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34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Кадастровая ст-ть=34*18951,08</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640 547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руб.</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Налог</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9 608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r w:rsidR="00AA7EE0" w:rsidRPr="009A707A">
        <w:tblPrEx>
          <w:tblCellMar>
            <w:top w:w="0" w:type="dxa"/>
            <w:bottom w:w="0" w:type="dxa"/>
          </w:tblCellMar>
        </w:tblPrEx>
        <w:trPr>
          <w:trHeight w:val="255"/>
        </w:trPr>
        <w:tc>
          <w:tcPr>
            <w:tcW w:w="5003"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c>
          <w:tcPr>
            <w:tcW w:w="1346"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c>
          <w:tcPr>
            <w:tcW w:w="598"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r>
      <w:tr w:rsidR="00AA7EE0" w:rsidRPr="009A707A">
        <w:tblPrEx>
          <w:tblCellMar>
            <w:top w:w="0" w:type="dxa"/>
            <w:bottom w:w="0" w:type="dxa"/>
          </w:tblCellMar>
        </w:tblPrEx>
        <w:trPr>
          <w:trHeight w:val="255"/>
        </w:trPr>
        <w:tc>
          <w:tcPr>
            <w:tcW w:w="5003"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c>
          <w:tcPr>
            <w:tcW w:w="1346"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c>
          <w:tcPr>
            <w:tcW w:w="598" w:type="dxa"/>
            <w:tcBorders>
              <w:top w:val="nil"/>
              <w:left w:val="nil"/>
              <w:bottom w:val="nil"/>
              <w:right w:val="nil"/>
            </w:tcBorders>
            <w:vAlign w:val="bottom"/>
          </w:tcPr>
          <w:p w:rsidR="00AA7EE0" w:rsidRPr="009A707A" w:rsidRDefault="00AA7EE0" w:rsidP="00BB4B93">
            <w:pPr>
              <w:widowControl/>
              <w:spacing w:before="0" w:after="0"/>
              <w:jc w:val="both"/>
              <w:rPr>
                <w:rFonts w:ascii="Arial" w:eastAsiaTheme="minorEastAsia" w:hAnsi="Arial" w:cs="Arial"/>
                <w:sz w:val="18"/>
                <w:szCs w:val="18"/>
              </w:rPr>
            </w:pPr>
          </w:p>
        </w:tc>
      </w:tr>
      <w:tr w:rsidR="00AA7EE0" w:rsidRPr="009A707A">
        <w:tblPrEx>
          <w:tblCellMar>
            <w:top w:w="0" w:type="dxa"/>
            <w:bottom w:w="0" w:type="dxa"/>
          </w:tblCellMar>
        </w:tblPrEx>
        <w:trPr>
          <w:trHeight w:val="255"/>
        </w:trPr>
        <w:tc>
          <w:tcPr>
            <w:tcW w:w="6947" w:type="dxa"/>
            <w:gridSpan w:val="3"/>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sz w:val="18"/>
                <w:szCs w:val="18"/>
              </w:rPr>
            </w:pPr>
            <w:r w:rsidRPr="009A707A">
              <w:rPr>
                <w:rFonts w:ascii="Arial" w:eastAsiaTheme="minorEastAsia" w:hAnsi="Arial" w:cs="Arial"/>
                <w:b/>
                <w:bCs/>
                <w:sz w:val="18"/>
                <w:szCs w:val="18"/>
              </w:rPr>
              <w:t>Расчет размера земельной доли</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r w:rsidR="00AA7EE0" w:rsidRPr="009A707A">
        <w:tblPrEx>
          <w:tblCellMar>
            <w:top w:w="0" w:type="dxa"/>
            <w:bottom w:w="0" w:type="dxa"/>
          </w:tblCellMar>
        </w:tblPrEx>
        <w:trPr>
          <w:trHeight w:val="255"/>
        </w:trPr>
        <w:tc>
          <w:tcPr>
            <w:tcW w:w="6947" w:type="dxa"/>
            <w:gridSpan w:val="3"/>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sz w:val="18"/>
                <w:szCs w:val="18"/>
              </w:rPr>
            </w:pPr>
            <w:r w:rsidRPr="009A707A">
              <w:rPr>
                <w:rFonts w:ascii="Arial" w:eastAsiaTheme="minorEastAsia" w:hAnsi="Arial" w:cs="Arial"/>
                <w:b/>
                <w:bCs/>
                <w:sz w:val="18"/>
                <w:szCs w:val="18"/>
              </w:rPr>
              <w:t>по адресу  ул. Донская д.28</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Общая площадь земельного участка (РЗУ)</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1 839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Общая площадь строения (Рс)</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10 114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Площадь РН-Влакры (Ро)</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846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Расчет земельной доли Sд=(РЗУ)*Ро/Рс</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154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м2</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Кадастровая ст-ть=34*18951,08</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2 918 466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руб.</w:t>
            </w:r>
          </w:p>
        </w:tc>
      </w:tr>
      <w:tr w:rsidR="00AA7EE0" w:rsidRPr="009A707A">
        <w:tblPrEx>
          <w:tblCellMar>
            <w:top w:w="0" w:type="dxa"/>
            <w:bottom w:w="0" w:type="dxa"/>
          </w:tblCellMar>
        </w:tblPrEx>
        <w:trPr>
          <w:trHeight w:val="255"/>
        </w:trPr>
        <w:tc>
          <w:tcPr>
            <w:tcW w:w="5003" w:type="dxa"/>
            <w:tcBorders>
              <w:top w:val="nil"/>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Налог</w:t>
            </w:r>
          </w:p>
        </w:tc>
        <w:tc>
          <w:tcPr>
            <w:tcW w:w="1346"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xml:space="preserve">      32 833 </w:t>
            </w:r>
          </w:p>
        </w:tc>
        <w:tc>
          <w:tcPr>
            <w:tcW w:w="598" w:type="dxa"/>
            <w:tcBorders>
              <w:top w:val="nil"/>
              <w:left w:val="nil"/>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sz w:val="18"/>
                <w:szCs w:val="18"/>
              </w:rPr>
            </w:pPr>
            <w:r w:rsidRPr="009A707A">
              <w:rPr>
                <w:rFonts w:ascii="Arial" w:eastAsiaTheme="minorEastAsia" w:hAnsi="Arial" w:cs="Arial"/>
                <w:sz w:val="18"/>
                <w:szCs w:val="18"/>
              </w:rPr>
              <w:t> </w:t>
            </w:r>
          </w:p>
        </w:tc>
      </w:tr>
    </w:tbl>
    <w:p w:rsidR="00AA7EE0" w:rsidRPr="00A512E0" w:rsidRDefault="00AA7EE0" w:rsidP="00BB4B93">
      <w:pPr>
        <w:widowControl/>
        <w:spacing w:before="0" w:after="0"/>
        <w:ind w:left="168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1210</w:t>
      </w:r>
      <w:r w:rsidRPr="00A512E0">
        <w:rPr>
          <w:sz w:val="22"/>
          <w:szCs w:val="22"/>
          <w:u w:val="single"/>
        </w:rPr>
        <w:t xml:space="preserve">  </w:t>
      </w:r>
      <w:r w:rsidRPr="00A512E0">
        <w:rPr>
          <w:sz w:val="22"/>
          <w:szCs w:val="22"/>
        </w:rPr>
        <w:t>«Запасы»:</w:t>
      </w:r>
    </w:p>
    <w:p w:rsidR="00AA7EE0" w:rsidRPr="00A512E0" w:rsidRDefault="00AA7EE0" w:rsidP="00BB4B93">
      <w:pPr>
        <w:widowControl/>
        <w:spacing w:before="0" w:after="0"/>
        <w:ind w:left="720"/>
        <w:jc w:val="both"/>
        <w:rPr>
          <w:sz w:val="22"/>
          <w:szCs w:val="22"/>
        </w:rPr>
      </w:pPr>
      <w:r w:rsidRPr="00A512E0">
        <w:rPr>
          <w:sz w:val="22"/>
          <w:szCs w:val="22"/>
        </w:rPr>
        <w:t>На 31 Декабря 2010г.: 190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380 т. руб., в т.ч.:</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Инвентарь и хоз. принадлежности – 123 т. руб.;</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Прочие материалы – 156  т. руб.</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Покупные полуфабрикаты – 53 т. руб.</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Запасные части – 42 т. руб.</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Спецодежда – 6 т. руб.</w:t>
      </w:r>
    </w:p>
    <w:p w:rsidR="00AA7EE0" w:rsidRPr="00A512E0" w:rsidRDefault="00AA7EE0" w:rsidP="00BB4B93">
      <w:pPr>
        <w:widowControl/>
        <w:spacing w:before="0" w:after="0"/>
        <w:ind w:left="720" w:firstLine="54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1230</w:t>
      </w:r>
      <w:r w:rsidRPr="00A512E0">
        <w:rPr>
          <w:sz w:val="22"/>
          <w:szCs w:val="22"/>
          <w:u w:val="single"/>
        </w:rPr>
        <w:t xml:space="preserve">  </w:t>
      </w:r>
      <w:r w:rsidRPr="00A512E0">
        <w:rPr>
          <w:sz w:val="22"/>
          <w:szCs w:val="22"/>
        </w:rPr>
        <w:t>«Дебиторская задолженность»:</w:t>
      </w:r>
    </w:p>
    <w:p w:rsidR="00AA7EE0" w:rsidRPr="00A512E0" w:rsidRDefault="00AA7EE0" w:rsidP="00BB4B93">
      <w:pPr>
        <w:widowControl/>
        <w:spacing w:before="0" w:after="0"/>
        <w:ind w:left="720"/>
        <w:jc w:val="both"/>
        <w:rPr>
          <w:sz w:val="22"/>
          <w:szCs w:val="22"/>
        </w:rPr>
      </w:pPr>
      <w:r w:rsidRPr="00A512E0">
        <w:rPr>
          <w:sz w:val="22"/>
          <w:szCs w:val="22"/>
        </w:rPr>
        <w:t>На 31 Декабря 2010г.: 6 274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8 389 т. руб.</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 Строка </w:t>
      </w:r>
      <w:r w:rsidRPr="00A512E0">
        <w:rPr>
          <w:b/>
          <w:bCs/>
          <w:sz w:val="22"/>
          <w:szCs w:val="22"/>
        </w:rPr>
        <w:t xml:space="preserve"> </w:t>
      </w:r>
      <w:r w:rsidRPr="00A512E0">
        <w:rPr>
          <w:sz w:val="22"/>
          <w:szCs w:val="22"/>
        </w:rPr>
        <w:t>«НДС по авансам и переплатам»:</w:t>
      </w:r>
    </w:p>
    <w:p w:rsidR="00AA7EE0" w:rsidRPr="00A512E0" w:rsidRDefault="00AA7EE0" w:rsidP="00BB4B93">
      <w:pPr>
        <w:widowControl/>
        <w:spacing w:before="0" w:after="0"/>
        <w:ind w:left="720"/>
        <w:jc w:val="both"/>
        <w:rPr>
          <w:sz w:val="22"/>
          <w:szCs w:val="22"/>
        </w:rPr>
      </w:pPr>
      <w:r w:rsidRPr="00A512E0">
        <w:rPr>
          <w:sz w:val="22"/>
          <w:szCs w:val="22"/>
        </w:rPr>
        <w:t>На 31 Декабря 2010г.: 1 233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1 524 т. руб.</w:t>
      </w:r>
    </w:p>
    <w:p w:rsidR="00AA7EE0" w:rsidRPr="00A512E0" w:rsidRDefault="00AA7EE0" w:rsidP="00BB4B93">
      <w:pPr>
        <w:widowControl/>
        <w:spacing w:before="0" w:after="0"/>
        <w:ind w:left="720"/>
        <w:jc w:val="both"/>
        <w:rPr>
          <w:sz w:val="22"/>
          <w:szCs w:val="22"/>
        </w:rPr>
      </w:pPr>
    </w:p>
    <w:tbl>
      <w:tblPr>
        <w:tblW w:w="0" w:type="auto"/>
        <w:tblInd w:w="818" w:type="dxa"/>
        <w:tblLayout w:type="fixed"/>
        <w:tblLook w:val="0000"/>
      </w:tblPr>
      <w:tblGrid>
        <w:gridCol w:w="4542"/>
        <w:gridCol w:w="1800"/>
        <w:gridCol w:w="2162"/>
      </w:tblGrid>
      <w:tr w:rsidR="00AA7EE0" w:rsidRPr="009A707A" w:rsidTr="009A707A">
        <w:tblPrEx>
          <w:tblCellMar>
            <w:top w:w="0" w:type="dxa"/>
            <w:bottom w:w="0" w:type="dxa"/>
          </w:tblCellMar>
        </w:tblPrEx>
        <w:trPr>
          <w:trHeight w:val="255"/>
        </w:trPr>
        <w:tc>
          <w:tcPr>
            <w:tcW w:w="4542" w:type="dxa"/>
            <w:tcBorders>
              <w:top w:val="single" w:sz="8" w:space="0" w:color="auto"/>
              <w:left w:val="single" w:sz="8" w:space="0" w:color="auto"/>
              <w:bottom w:val="nil"/>
              <w:right w:val="single" w:sz="8" w:space="0" w:color="auto"/>
            </w:tcBorders>
            <w:vAlign w:val="bottom"/>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Расшифровка дебиторской задолженности</w:t>
            </w:r>
          </w:p>
        </w:tc>
        <w:tc>
          <w:tcPr>
            <w:tcW w:w="1800" w:type="dxa"/>
            <w:tcBorders>
              <w:top w:val="single" w:sz="8" w:space="0" w:color="auto"/>
              <w:left w:val="single" w:sz="4" w:space="0" w:color="auto"/>
              <w:bottom w:val="single" w:sz="8" w:space="0" w:color="auto"/>
              <w:right w:val="single" w:sz="4" w:space="0" w:color="auto"/>
            </w:tcBorders>
            <w:vAlign w:val="center"/>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Сумма</w:t>
            </w:r>
          </w:p>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(тыс. руб.)</w:t>
            </w:r>
          </w:p>
        </w:tc>
        <w:tc>
          <w:tcPr>
            <w:tcW w:w="2162" w:type="dxa"/>
            <w:tcBorders>
              <w:top w:val="single" w:sz="4" w:space="0" w:color="auto"/>
              <w:left w:val="single" w:sz="4" w:space="0" w:color="auto"/>
              <w:bottom w:val="nil"/>
              <w:right w:val="single" w:sz="4" w:space="0" w:color="auto"/>
            </w:tcBorders>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Дата</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8" w:space="0" w:color="auto"/>
              <w:right w:val="single" w:sz="8" w:space="0" w:color="auto"/>
            </w:tcBorders>
            <w:vAlign w:val="bottom"/>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в том числе:</w:t>
            </w:r>
          </w:p>
        </w:tc>
        <w:tc>
          <w:tcPr>
            <w:tcW w:w="1800" w:type="dxa"/>
            <w:tcBorders>
              <w:top w:val="single" w:sz="8" w:space="0" w:color="auto"/>
              <w:left w:val="single" w:sz="4" w:space="0" w:color="auto"/>
              <w:bottom w:val="single" w:sz="8" w:space="0" w:color="auto"/>
              <w:right w:val="single" w:sz="4" w:space="0" w:color="auto"/>
            </w:tcBorders>
            <w:vAlign w:val="center"/>
          </w:tcPr>
          <w:p w:rsidR="00AA7EE0" w:rsidRPr="009A707A" w:rsidRDefault="00AA7EE0" w:rsidP="00BB4B93">
            <w:pPr>
              <w:widowControl/>
              <w:spacing w:before="0" w:after="0"/>
              <w:jc w:val="both"/>
              <w:rPr>
                <w:rFonts w:eastAsiaTheme="minorEastAsia"/>
                <w:b/>
                <w:bCs/>
                <w:sz w:val="18"/>
                <w:szCs w:val="18"/>
              </w:rPr>
            </w:pPr>
          </w:p>
        </w:tc>
        <w:tc>
          <w:tcPr>
            <w:tcW w:w="2162" w:type="dxa"/>
            <w:tcBorders>
              <w:top w:val="nil"/>
              <w:left w:val="single" w:sz="4" w:space="0" w:color="auto"/>
              <w:bottom w:val="single" w:sz="4" w:space="0" w:color="auto"/>
              <w:right w:val="single" w:sz="4" w:space="0" w:color="auto"/>
            </w:tcBorders>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возникновения</w:t>
            </w:r>
          </w:p>
        </w:tc>
      </w:tr>
      <w:tr w:rsidR="00AA7EE0" w:rsidRPr="009A707A" w:rsidTr="009A707A">
        <w:tblPrEx>
          <w:tblCellMar>
            <w:top w:w="0" w:type="dxa"/>
            <w:bottom w:w="0" w:type="dxa"/>
          </w:tblCellMar>
        </w:tblPrEx>
        <w:trPr>
          <w:trHeight w:val="300"/>
        </w:trPr>
        <w:tc>
          <w:tcPr>
            <w:tcW w:w="4542" w:type="dxa"/>
            <w:tcBorders>
              <w:top w:val="single" w:sz="4" w:space="0" w:color="auto"/>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 xml:space="preserve">Покупатели и заказчики </w:t>
            </w:r>
          </w:p>
        </w:tc>
        <w:tc>
          <w:tcPr>
            <w:tcW w:w="1800" w:type="dxa"/>
            <w:tcBorders>
              <w:top w:val="single" w:sz="4" w:space="0" w:color="auto"/>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4 283</w:t>
            </w:r>
          </w:p>
        </w:tc>
        <w:tc>
          <w:tcPr>
            <w:tcW w:w="2162" w:type="dxa"/>
            <w:tcBorders>
              <w:top w:val="single" w:sz="4" w:space="0" w:color="auto"/>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lastRenderedPageBreak/>
              <w:t>Авансы выданные</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774</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 по вкладам, размещенным на депозитах</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1 254</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Авансовый платеж по аренде земельного участка  (МОСКОМЗЕМ)</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1 034</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Налоги и сборы</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1041</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Прочие</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3</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НДС с авансов полученных, отраженный на счете                 «76 АВ»</w:t>
            </w:r>
          </w:p>
        </w:tc>
        <w:tc>
          <w:tcPr>
            <w:tcW w:w="1800"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1 524</w:t>
            </w:r>
          </w:p>
        </w:tc>
        <w:tc>
          <w:tcPr>
            <w:tcW w:w="2162" w:type="dxa"/>
            <w:tcBorders>
              <w:top w:val="nil"/>
              <w:left w:val="nil"/>
              <w:bottom w:val="single" w:sz="4" w:space="0" w:color="auto"/>
              <w:right w:val="single" w:sz="8" w:space="0" w:color="auto"/>
            </w:tcBorders>
            <w:vAlign w:val="center"/>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В текущем периоде</w:t>
            </w:r>
          </w:p>
        </w:tc>
      </w:tr>
      <w:tr w:rsidR="00AA7EE0" w:rsidRPr="009A707A" w:rsidTr="009A707A">
        <w:tblPrEx>
          <w:tblCellMar>
            <w:top w:w="0" w:type="dxa"/>
            <w:bottom w:w="0" w:type="dxa"/>
          </w:tblCellMar>
        </w:tblPrEx>
        <w:trPr>
          <w:trHeight w:val="240"/>
        </w:trPr>
        <w:tc>
          <w:tcPr>
            <w:tcW w:w="4542" w:type="dxa"/>
            <w:tcBorders>
              <w:top w:val="nil"/>
              <w:left w:val="single" w:sz="8"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Всего:</w:t>
            </w:r>
          </w:p>
        </w:tc>
        <w:tc>
          <w:tcPr>
            <w:tcW w:w="1800" w:type="dxa"/>
            <w:tcBorders>
              <w:top w:val="nil"/>
              <w:left w:val="nil"/>
              <w:bottom w:val="single" w:sz="4" w:space="0" w:color="auto"/>
              <w:right w:val="single" w:sz="8" w:space="0" w:color="auto"/>
            </w:tcBorders>
            <w:vAlign w:val="bottom"/>
          </w:tcPr>
          <w:p w:rsidR="00AA7EE0" w:rsidRPr="009A707A" w:rsidRDefault="00AA7EE0" w:rsidP="00BB4B93">
            <w:pPr>
              <w:widowControl/>
              <w:spacing w:before="0" w:after="0"/>
              <w:jc w:val="both"/>
              <w:rPr>
                <w:rFonts w:eastAsiaTheme="minorEastAsia"/>
                <w:b/>
                <w:bCs/>
                <w:sz w:val="18"/>
                <w:szCs w:val="18"/>
              </w:rPr>
            </w:pPr>
            <w:r w:rsidRPr="009A707A">
              <w:rPr>
                <w:rFonts w:eastAsiaTheme="minorEastAsia"/>
                <w:b/>
                <w:bCs/>
                <w:sz w:val="18"/>
                <w:szCs w:val="18"/>
              </w:rPr>
              <w:t xml:space="preserve">7 508 </w:t>
            </w:r>
          </w:p>
        </w:tc>
        <w:tc>
          <w:tcPr>
            <w:tcW w:w="2162" w:type="dxa"/>
            <w:tcBorders>
              <w:top w:val="nil"/>
              <w:left w:val="nil"/>
              <w:bottom w:val="single" w:sz="4" w:space="0" w:color="auto"/>
              <w:right w:val="single" w:sz="8" w:space="0" w:color="auto"/>
            </w:tcBorders>
          </w:tcPr>
          <w:p w:rsidR="00AA7EE0" w:rsidRPr="009A707A" w:rsidRDefault="00AA7EE0" w:rsidP="00BB4B93">
            <w:pPr>
              <w:widowControl/>
              <w:spacing w:before="0" w:after="0"/>
              <w:jc w:val="both"/>
              <w:rPr>
                <w:rFonts w:eastAsiaTheme="minorEastAsia"/>
                <w:b/>
                <w:bCs/>
                <w:sz w:val="18"/>
                <w:szCs w:val="18"/>
              </w:rPr>
            </w:pPr>
          </w:p>
        </w:tc>
      </w:tr>
    </w:tbl>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w:t>
      </w:r>
      <w:r w:rsidRPr="00A512E0">
        <w:rPr>
          <w:sz w:val="22"/>
          <w:szCs w:val="22"/>
          <w:u w:val="single"/>
        </w:rPr>
        <w:t xml:space="preserve"> </w:t>
      </w:r>
      <w:r w:rsidRPr="00A512E0">
        <w:rPr>
          <w:sz w:val="22"/>
          <w:szCs w:val="22"/>
        </w:rPr>
        <w:t>«Расчетные счета»:</w:t>
      </w:r>
    </w:p>
    <w:p w:rsidR="00AA7EE0" w:rsidRPr="00A512E0" w:rsidRDefault="00AA7EE0" w:rsidP="00BB4B93">
      <w:pPr>
        <w:widowControl/>
        <w:spacing w:before="0" w:after="0"/>
        <w:ind w:left="720"/>
        <w:jc w:val="both"/>
        <w:rPr>
          <w:sz w:val="22"/>
          <w:szCs w:val="22"/>
        </w:rPr>
      </w:pPr>
      <w:r w:rsidRPr="00A512E0">
        <w:rPr>
          <w:sz w:val="22"/>
          <w:szCs w:val="22"/>
        </w:rPr>
        <w:t>На 31 Декабря 2010г.: - 180 445 т. руб.</w:t>
      </w:r>
    </w:p>
    <w:p w:rsidR="00AA7EE0" w:rsidRPr="00A512E0" w:rsidRDefault="00AA7EE0" w:rsidP="00BB4B93">
      <w:pPr>
        <w:widowControl/>
        <w:spacing w:before="0" w:after="0"/>
        <w:ind w:left="720"/>
        <w:jc w:val="both"/>
        <w:rPr>
          <w:b/>
          <w:bCs/>
          <w:sz w:val="22"/>
          <w:szCs w:val="22"/>
          <w:u w:val="single"/>
        </w:rPr>
      </w:pPr>
      <w:r w:rsidRPr="00A512E0">
        <w:rPr>
          <w:sz w:val="22"/>
          <w:szCs w:val="22"/>
        </w:rPr>
        <w:t>На 31 Декабря 2011г.: - 27 636 т. руб.</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w:t>
      </w:r>
      <w:r w:rsidRPr="00A512E0">
        <w:rPr>
          <w:sz w:val="22"/>
          <w:szCs w:val="22"/>
          <w:u w:val="single"/>
        </w:rPr>
        <w:t xml:space="preserve"> </w:t>
      </w:r>
      <w:r w:rsidRPr="00A512E0">
        <w:rPr>
          <w:sz w:val="22"/>
          <w:szCs w:val="22"/>
        </w:rPr>
        <w:t>«Денежные эквиваленты»:</w:t>
      </w:r>
    </w:p>
    <w:p w:rsidR="00AA7EE0" w:rsidRPr="00A512E0" w:rsidRDefault="00AA7EE0" w:rsidP="00BB4B93">
      <w:pPr>
        <w:widowControl/>
        <w:spacing w:before="0" w:after="0"/>
        <w:ind w:left="720"/>
        <w:jc w:val="both"/>
        <w:rPr>
          <w:sz w:val="22"/>
          <w:szCs w:val="22"/>
        </w:rPr>
      </w:pPr>
      <w:r w:rsidRPr="00A512E0">
        <w:rPr>
          <w:sz w:val="22"/>
          <w:szCs w:val="22"/>
        </w:rPr>
        <w:t>На 31 Декабря 2010г. -     33 000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212 400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Согласно учетной политики организации и в соответствии с п. 5 ПБУ 23\011, в качестве денежных эквивалентов отражены высоколиквидные финансовые вложения, которые</w:t>
      </w:r>
      <w:r w:rsidRPr="00A512E0">
        <w:rPr>
          <w:sz w:val="22"/>
          <w:szCs w:val="22"/>
        </w:rPr>
        <w:br/>
        <w:t>могут быть легко обращены в заранее известную сумму денежных средств;</w:t>
      </w:r>
      <w:r w:rsidRPr="00A512E0">
        <w:rPr>
          <w:sz w:val="22"/>
          <w:szCs w:val="22"/>
        </w:rPr>
        <w:br/>
        <w:t>подвержены незначительному риску изменения стоимости, а именно: депозиты до востребования, размещенные в ОАО Банк «ВБРР».</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w:t>
      </w:r>
      <w:r w:rsidRPr="00A512E0">
        <w:rPr>
          <w:sz w:val="22"/>
          <w:szCs w:val="22"/>
          <w:u w:val="single"/>
        </w:rPr>
        <w:t xml:space="preserve">  </w:t>
      </w:r>
      <w:r w:rsidRPr="00A512E0">
        <w:rPr>
          <w:sz w:val="22"/>
          <w:szCs w:val="22"/>
        </w:rPr>
        <w:t>«Расходы будущих периодов»:</w:t>
      </w:r>
    </w:p>
    <w:p w:rsidR="00AA7EE0" w:rsidRPr="00A512E0" w:rsidRDefault="00AA7EE0" w:rsidP="00BB4B93">
      <w:pPr>
        <w:widowControl/>
        <w:spacing w:before="0" w:after="0"/>
        <w:ind w:left="720"/>
        <w:jc w:val="both"/>
        <w:rPr>
          <w:sz w:val="22"/>
          <w:szCs w:val="22"/>
        </w:rPr>
      </w:pPr>
      <w:r w:rsidRPr="00A512E0">
        <w:rPr>
          <w:sz w:val="22"/>
          <w:szCs w:val="22"/>
        </w:rPr>
        <w:t>На 31 Декабря 2010г.: 575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27 т. руб., в т.ч.:</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 xml:space="preserve">Полис КАСКО  –  10 т. руб. </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Полис ОСАГО  –   1 т.  руб.</w:t>
      </w:r>
    </w:p>
    <w:p w:rsidR="00AA7EE0" w:rsidRPr="00A512E0" w:rsidRDefault="00AA7EE0" w:rsidP="00BB4B93">
      <w:pPr>
        <w:widowControl/>
        <w:numPr>
          <w:ilvl w:val="0"/>
          <w:numId w:val="1"/>
        </w:numPr>
        <w:tabs>
          <w:tab w:val="left" w:pos="1222"/>
        </w:tabs>
        <w:spacing w:before="0" w:after="0"/>
        <w:ind w:left="1222" w:hanging="360"/>
        <w:jc w:val="both"/>
        <w:rPr>
          <w:sz w:val="22"/>
          <w:szCs w:val="22"/>
        </w:rPr>
      </w:pPr>
      <w:r w:rsidRPr="00A512E0">
        <w:rPr>
          <w:sz w:val="22"/>
          <w:szCs w:val="22"/>
        </w:rPr>
        <w:t>Прочие</w:t>
      </w:r>
      <w:r w:rsidRPr="00A512E0">
        <w:rPr>
          <w:sz w:val="22"/>
          <w:szCs w:val="22"/>
        </w:rPr>
        <w:tab/>
        <w:t xml:space="preserve">     -           16 т. руб. </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1160 </w:t>
      </w:r>
      <w:r w:rsidRPr="00A512E0">
        <w:rPr>
          <w:sz w:val="22"/>
          <w:szCs w:val="22"/>
        </w:rPr>
        <w:t>«Отложенные налоговые обязательства»:</w:t>
      </w:r>
    </w:p>
    <w:p w:rsidR="00AA7EE0" w:rsidRPr="00A512E0" w:rsidRDefault="00AA7EE0" w:rsidP="00BB4B93">
      <w:pPr>
        <w:widowControl/>
        <w:spacing w:before="0" w:after="0"/>
        <w:ind w:left="720"/>
        <w:jc w:val="both"/>
        <w:rPr>
          <w:sz w:val="22"/>
          <w:szCs w:val="22"/>
        </w:rPr>
      </w:pPr>
      <w:r w:rsidRPr="00A512E0">
        <w:rPr>
          <w:sz w:val="22"/>
          <w:szCs w:val="22"/>
        </w:rPr>
        <w:t>На 31 Декабря 2011г.: - 487 т. руб., в т.ч.</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Отложенные налоговые обязательства сформированы из-за разницы в суммах начисленного резерва на сумму предстоящих отпусков в бухгалтерском и налоговом учете. Сумма начисленного в бухгалтерском учете резерва составляет 2 434 т. руб. В налоговом учете резерв на сумму предстоящих отпусков не формировался.</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1310</w:t>
      </w:r>
      <w:r w:rsidRPr="00A512E0">
        <w:rPr>
          <w:sz w:val="22"/>
          <w:szCs w:val="22"/>
        </w:rPr>
        <w:t xml:space="preserve"> «Уставный капитал»:</w:t>
      </w:r>
    </w:p>
    <w:p w:rsidR="00AA7EE0" w:rsidRPr="00A512E0" w:rsidRDefault="00AA7EE0" w:rsidP="00BB4B93">
      <w:pPr>
        <w:widowControl/>
        <w:spacing w:before="0" w:after="0"/>
        <w:ind w:left="720"/>
        <w:jc w:val="both"/>
        <w:rPr>
          <w:sz w:val="22"/>
          <w:szCs w:val="22"/>
        </w:rPr>
      </w:pPr>
      <w:r w:rsidRPr="00A512E0">
        <w:rPr>
          <w:sz w:val="22"/>
          <w:szCs w:val="22"/>
        </w:rPr>
        <w:t>На 31 Декабря 2010г.: - 249 971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- 250 804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Увеличение уставного капитала Общества связано с присоединением  ЗАО «КП Донская», в ходе реорганизации, утвержденной Решением годового общего собрания акционеров ОАО «РН-Влакра», Протокол № 3 от 15 июня 2010 года.</w:t>
      </w:r>
    </w:p>
    <w:p w:rsidR="00AA7EE0" w:rsidRPr="00A512E0" w:rsidRDefault="00AA7EE0" w:rsidP="00BB4B93">
      <w:pPr>
        <w:widowControl/>
        <w:spacing w:before="0" w:after="0"/>
        <w:ind w:left="720" w:firstLine="54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 Строка 1370</w:t>
      </w:r>
      <w:r w:rsidRPr="00A512E0">
        <w:rPr>
          <w:sz w:val="22"/>
          <w:szCs w:val="22"/>
        </w:rPr>
        <w:t xml:space="preserve"> «Нераспределенная прибыль (непокрытый убыток)»:</w:t>
      </w:r>
    </w:p>
    <w:p w:rsidR="00AA7EE0" w:rsidRPr="00A512E0" w:rsidRDefault="00AA7EE0" w:rsidP="00BB4B93">
      <w:pPr>
        <w:widowControl/>
        <w:spacing w:before="0" w:after="0"/>
        <w:ind w:left="720"/>
        <w:jc w:val="both"/>
        <w:rPr>
          <w:sz w:val="22"/>
          <w:szCs w:val="22"/>
        </w:rPr>
      </w:pPr>
      <w:r w:rsidRPr="00A512E0">
        <w:rPr>
          <w:sz w:val="22"/>
          <w:szCs w:val="22"/>
        </w:rPr>
        <w:t>На 31 Декабря 2010г.: - (-11 354)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- 15 829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1520</w:t>
      </w:r>
      <w:r w:rsidRPr="00A512E0">
        <w:rPr>
          <w:sz w:val="22"/>
          <w:szCs w:val="22"/>
        </w:rPr>
        <w:t xml:space="preserve"> «Кредиторская задолженность»:</w:t>
      </w:r>
    </w:p>
    <w:p w:rsidR="00AA7EE0" w:rsidRPr="00A512E0" w:rsidRDefault="00AA7EE0" w:rsidP="00BB4B93">
      <w:pPr>
        <w:widowControl/>
        <w:spacing w:before="0" w:after="0"/>
        <w:ind w:left="720"/>
        <w:jc w:val="both"/>
        <w:rPr>
          <w:sz w:val="22"/>
          <w:szCs w:val="22"/>
        </w:rPr>
      </w:pPr>
      <w:r w:rsidRPr="00A512E0">
        <w:rPr>
          <w:sz w:val="22"/>
          <w:szCs w:val="22"/>
        </w:rPr>
        <w:t>На 31 Декабря 2010г.: - 18 826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- 15 810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15201</w:t>
      </w:r>
      <w:r w:rsidRPr="00A512E0">
        <w:rPr>
          <w:sz w:val="22"/>
          <w:szCs w:val="22"/>
        </w:rPr>
        <w:t xml:space="preserve"> « Расчеты с поставщиками и подрядчиками»:</w:t>
      </w:r>
    </w:p>
    <w:p w:rsidR="00AA7EE0" w:rsidRPr="00A512E0" w:rsidRDefault="00AA7EE0" w:rsidP="00BB4B93">
      <w:pPr>
        <w:widowControl/>
        <w:spacing w:before="0" w:after="0"/>
        <w:ind w:left="720"/>
        <w:jc w:val="both"/>
        <w:rPr>
          <w:sz w:val="22"/>
          <w:szCs w:val="22"/>
        </w:rPr>
      </w:pPr>
      <w:r w:rsidRPr="00A512E0">
        <w:rPr>
          <w:sz w:val="22"/>
          <w:szCs w:val="22"/>
        </w:rPr>
        <w:t>На 31 Декабря 2010г.: - 6 772  т. руб.</w:t>
      </w:r>
    </w:p>
    <w:p w:rsidR="00AA7EE0" w:rsidRPr="00A512E0" w:rsidRDefault="00AA7EE0" w:rsidP="00BB4B93">
      <w:pPr>
        <w:widowControl/>
        <w:spacing w:before="0" w:after="0"/>
        <w:ind w:left="720"/>
        <w:jc w:val="both"/>
        <w:rPr>
          <w:sz w:val="22"/>
          <w:szCs w:val="22"/>
        </w:rPr>
      </w:pPr>
      <w:r w:rsidRPr="00A512E0">
        <w:rPr>
          <w:sz w:val="22"/>
          <w:szCs w:val="22"/>
        </w:rPr>
        <w:lastRenderedPageBreak/>
        <w:t>На 31 Декабря 2011г.: - 759 т. руб.</w:t>
      </w:r>
    </w:p>
    <w:p w:rsidR="00AA7EE0" w:rsidRPr="00A512E0" w:rsidRDefault="00AA7EE0" w:rsidP="00BB4B93">
      <w:pPr>
        <w:widowControl/>
        <w:spacing w:before="0" w:after="0"/>
        <w:ind w:left="720"/>
        <w:jc w:val="both"/>
        <w:rPr>
          <w:sz w:val="22"/>
          <w:szCs w:val="22"/>
        </w:rPr>
      </w:pPr>
    </w:p>
    <w:tbl>
      <w:tblPr>
        <w:tblW w:w="0" w:type="auto"/>
        <w:tblInd w:w="813" w:type="dxa"/>
        <w:tblLayout w:type="fixed"/>
        <w:tblLook w:val="0000"/>
      </w:tblPr>
      <w:tblGrid>
        <w:gridCol w:w="5260"/>
        <w:gridCol w:w="3085"/>
      </w:tblGrid>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sz w:val="18"/>
                <w:szCs w:val="18"/>
              </w:rPr>
            </w:pPr>
            <w:r w:rsidRPr="009A707A">
              <w:rPr>
                <w:rFonts w:ascii="Arial" w:eastAsiaTheme="minorEastAsia" w:hAnsi="Arial" w:cs="Arial"/>
                <w:b/>
                <w:bCs/>
                <w:sz w:val="18"/>
                <w:szCs w:val="18"/>
              </w:rPr>
              <w:t>Задолженность перед поставщиками</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b/>
                <w:bCs/>
                <w:i/>
                <w:iCs/>
                <w:sz w:val="18"/>
                <w:szCs w:val="18"/>
              </w:rPr>
            </w:pPr>
            <w:r w:rsidRPr="009A707A">
              <w:rPr>
                <w:rFonts w:ascii="Arial" w:eastAsiaTheme="minorEastAsia" w:hAnsi="Arial" w:cs="Arial"/>
                <w:b/>
                <w:bCs/>
                <w:i/>
                <w:iCs/>
                <w:sz w:val="18"/>
                <w:szCs w:val="18"/>
              </w:rPr>
              <w:t xml:space="preserve">              Сумма (тыс.руб.)</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ЗАО Влакра</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479</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АльпСтар</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144</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АйТиПрофсервис</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15</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Зебра -телеком</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3</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ГСВМ</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68</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Линдстрем</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10</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Станкомодуль</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7</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Мосводосток</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6</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Реестр РН</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26</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Экосток ЭЦ</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i/>
                <w:iCs/>
                <w:sz w:val="18"/>
                <w:szCs w:val="18"/>
              </w:rPr>
              <w:t xml:space="preserve">1 </w:t>
            </w:r>
          </w:p>
        </w:tc>
      </w:tr>
      <w:tr w:rsidR="00AA7EE0" w:rsidRPr="009A707A">
        <w:tblPrEx>
          <w:tblCellMar>
            <w:top w:w="0" w:type="dxa"/>
            <w:bottom w:w="0" w:type="dxa"/>
          </w:tblCellMar>
        </w:tblPrEx>
        <w:trPr>
          <w:trHeight w:val="255"/>
        </w:trPr>
        <w:tc>
          <w:tcPr>
            <w:tcW w:w="5260"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eastAsiaTheme="minorEastAsia"/>
                <w:b/>
                <w:bCs/>
                <w:sz w:val="18"/>
                <w:szCs w:val="18"/>
              </w:rPr>
              <w:t>Всего:</w:t>
            </w:r>
          </w:p>
        </w:tc>
        <w:tc>
          <w:tcPr>
            <w:tcW w:w="3085" w:type="dxa"/>
            <w:tcBorders>
              <w:top w:val="single" w:sz="4" w:space="0" w:color="auto"/>
              <w:left w:val="single" w:sz="4" w:space="0" w:color="auto"/>
              <w:bottom w:val="single" w:sz="4" w:space="0" w:color="auto"/>
              <w:right w:val="single" w:sz="4" w:space="0" w:color="auto"/>
            </w:tcBorders>
            <w:vAlign w:val="bottom"/>
          </w:tcPr>
          <w:p w:rsidR="00AA7EE0" w:rsidRPr="009A707A" w:rsidRDefault="00AA7EE0" w:rsidP="00BB4B93">
            <w:pPr>
              <w:widowControl/>
              <w:spacing w:before="0" w:after="0"/>
              <w:jc w:val="both"/>
              <w:rPr>
                <w:rFonts w:ascii="Arial" w:eastAsiaTheme="minorEastAsia" w:hAnsi="Arial" w:cs="Arial"/>
                <w:i/>
                <w:iCs/>
                <w:sz w:val="18"/>
                <w:szCs w:val="18"/>
              </w:rPr>
            </w:pPr>
            <w:r w:rsidRPr="009A707A">
              <w:rPr>
                <w:rFonts w:ascii="Arial" w:eastAsiaTheme="minorEastAsia" w:hAnsi="Arial" w:cs="Arial"/>
                <w:b/>
                <w:bCs/>
                <w:i/>
                <w:iCs/>
                <w:sz w:val="18"/>
                <w:szCs w:val="18"/>
              </w:rPr>
              <w:t>759</w:t>
            </w:r>
          </w:p>
        </w:tc>
      </w:tr>
    </w:tbl>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15202</w:t>
      </w:r>
      <w:r w:rsidRPr="00A512E0">
        <w:rPr>
          <w:sz w:val="22"/>
          <w:szCs w:val="22"/>
        </w:rPr>
        <w:t xml:space="preserve"> « Расчеты с покупателями и заказчиками»:</w:t>
      </w:r>
    </w:p>
    <w:p w:rsidR="00AA7EE0" w:rsidRPr="00A512E0" w:rsidRDefault="00AA7EE0" w:rsidP="00BB4B93">
      <w:pPr>
        <w:widowControl/>
        <w:spacing w:before="0" w:after="0"/>
        <w:ind w:left="720"/>
        <w:jc w:val="both"/>
        <w:rPr>
          <w:sz w:val="22"/>
          <w:szCs w:val="22"/>
        </w:rPr>
      </w:pPr>
      <w:r w:rsidRPr="00A512E0">
        <w:rPr>
          <w:sz w:val="22"/>
          <w:szCs w:val="22"/>
        </w:rPr>
        <w:t>На 31 Декабря 2010г.: - 8 083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- 9 956 т. руб.</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15205</w:t>
      </w:r>
      <w:r w:rsidRPr="00A512E0">
        <w:rPr>
          <w:sz w:val="22"/>
          <w:szCs w:val="22"/>
          <w:u w:val="single"/>
        </w:rPr>
        <w:t xml:space="preserve"> </w:t>
      </w:r>
      <w:r w:rsidRPr="00A512E0">
        <w:rPr>
          <w:sz w:val="22"/>
          <w:szCs w:val="22"/>
        </w:rPr>
        <w:t>«Расчеты с персоналом по оплате труда»:</w:t>
      </w:r>
    </w:p>
    <w:p w:rsidR="00AA7EE0" w:rsidRPr="00A512E0" w:rsidRDefault="00AA7EE0" w:rsidP="00BB4B93">
      <w:pPr>
        <w:widowControl/>
        <w:spacing w:before="0" w:after="0"/>
        <w:ind w:left="720"/>
        <w:jc w:val="both"/>
        <w:rPr>
          <w:sz w:val="22"/>
          <w:szCs w:val="22"/>
        </w:rPr>
      </w:pPr>
      <w:r w:rsidRPr="00A512E0">
        <w:rPr>
          <w:sz w:val="22"/>
          <w:szCs w:val="22"/>
        </w:rPr>
        <w:t>На 31 Декабря 2010г.: - 3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- 0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15203 </w:t>
      </w:r>
      <w:r w:rsidRPr="00A512E0">
        <w:rPr>
          <w:sz w:val="22"/>
          <w:szCs w:val="22"/>
          <w:u w:val="single"/>
        </w:rPr>
        <w:t xml:space="preserve"> «</w:t>
      </w:r>
      <w:r w:rsidRPr="00A512E0">
        <w:rPr>
          <w:sz w:val="22"/>
          <w:szCs w:val="22"/>
        </w:rPr>
        <w:t>Расчеты по налогам  и сборам»:</w:t>
      </w:r>
    </w:p>
    <w:p w:rsidR="00AA7EE0" w:rsidRPr="00A512E0" w:rsidRDefault="00AA7EE0" w:rsidP="009A707A">
      <w:pPr>
        <w:widowControl/>
        <w:spacing w:before="0" w:after="0"/>
        <w:ind w:left="720"/>
        <w:jc w:val="both"/>
        <w:rPr>
          <w:sz w:val="22"/>
          <w:szCs w:val="22"/>
        </w:rPr>
      </w:pPr>
      <w:r w:rsidRPr="00A512E0">
        <w:rPr>
          <w:sz w:val="22"/>
          <w:szCs w:val="22"/>
        </w:rPr>
        <w:t>На 31 Декабря 2010г.: - 3 968  т. руб.</w:t>
      </w:r>
    </w:p>
    <w:p w:rsidR="00AA7EE0" w:rsidRPr="00A512E0" w:rsidRDefault="00AA7EE0" w:rsidP="009A707A">
      <w:pPr>
        <w:widowControl/>
        <w:tabs>
          <w:tab w:val="center" w:pos="5667"/>
        </w:tabs>
        <w:spacing w:before="0" w:after="0"/>
        <w:ind w:left="709"/>
        <w:jc w:val="both"/>
        <w:rPr>
          <w:b/>
          <w:bCs/>
          <w:sz w:val="22"/>
          <w:szCs w:val="22"/>
          <w:u w:val="single"/>
        </w:rPr>
      </w:pPr>
      <w:r w:rsidRPr="00A512E0">
        <w:rPr>
          <w:sz w:val="22"/>
          <w:szCs w:val="22"/>
        </w:rPr>
        <w:t>На 31 Декабря 2011г.: - 5 082 руб.</w:t>
      </w:r>
    </w:p>
    <w:p w:rsidR="00AA7EE0" w:rsidRPr="00A512E0" w:rsidRDefault="00AA7EE0" w:rsidP="00BB4B93">
      <w:pPr>
        <w:widowControl/>
        <w:tabs>
          <w:tab w:val="center" w:pos="5667"/>
        </w:tabs>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 1540</w:t>
      </w:r>
      <w:r w:rsidRPr="00A512E0">
        <w:rPr>
          <w:sz w:val="22"/>
          <w:szCs w:val="22"/>
        </w:rPr>
        <w:t xml:space="preserve"> «Оценочные обязательства»:</w:t>
      </w:r>
    </w:p>
    <w:p w:rsidR="00AA7EE0" w:rsidRPr="00A512E0" w:rsidRDefault="00AA7EE0" w:rsidP="00BB4B93">
      <w:pPr>
        <w:widowControl/>
        <w:spacing w:before="0" w:after="0"/>
        <w:ind w:left="720"/>
        <w:jc w:val="both"/>
        <w:rPr>
          <w:sz w:val="22"/>
          <w:szCs w:val="22"/>
        </w:rPr>
      </w:pPr>
      <w:r w:rsidRPr="00A512E0">
        <w:rPr>
          <w:sz w:val="22"/>
          <w:szCs w:val="22"/>
        </w:rPr>
        <w:t>На 31 Декабря 2010г.: - 0  т. руб.</w:t>
      </w:r>
    </w:p>
    <w:p w:rsidR="00AA7EE0" w:rsidRPr="00A512E0" w:rsidRDefault="00AA7EE0" w:rsidP="00BB4B93">
      <w:pPr>
        <w:widowControl/>
        <w:spacing w:before="0" w:after="0"/>
        <w:ind w:left="720"/>
        <w:jc w:val="both"/>
        <w:rPr>
          <w:sz w:val="22"/>
          <w:szCs w:val="22"/>
        </w:rPr>
      </w:pPr>
      <w:r w:rsidRPr="00A512E0">
        <w:rPr>
          <w:sz w:val="22"/>
          <w:szCs w:val="22"/>
        </w:rPr>
        <w:t>На 31 Декабря 2011г.: - 2 434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Остаток по данной статье представляет собой сумму, начисленного в бухгалтерском учете резерва предстоящих отпусков и взносов. В налоговом учете резерв на сумму предстоящих отпусков не формировался.</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4. Расшифровка отдельных показателей Отчета о прибылях и убытках:</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b/>
          <w:bCs/>
          <w:sz w:val="22"/>
          <w:szCs w:val="22"/>
          <w:u w:val="single"/>
        </w:rPr>
        <w:t>Доходы и расходы по обычным видам деятельности за 2011 год</w:t>
      </w:r>
      <w:r w:rsidRPr="00A512E0">
        <w:rPr>
          <w:sz w:val="22"/>
          <w:szCs w:val="22"/>
        </w:rPr>
        <w:t>:</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2110 </w:t>
      </w:r>
      <w:r w:rsidRPr="00A512E0">
        <w:rPr>
          <w:sz w:val="22"/>
          <w:szCs w:val="22"/>
          <w:u w:val="single"/>
        </w:rPr>
        <w:t xml:space="preserve"> «</w:t>
      </w:r>
      <w:r w:rsidRPr="00A512E0">
        <w:rPr>
          <w:sz w:val="22"/>
          <w:szCs w:val="22"/>
        </w:rPr>
        <w:t>Выручка»:</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- 112 282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- 125 384 т. руб.</w:t>
      </w:r>
    </w:p>
    <w:p w:rsidR="00AA7EE0" w:rsidRPr="00A512E0" w:rsidRDefault="00AA7EE0" w:rsidP="00BB4B93">
      <w:pPr>
        <w:widowControl/>
        <w:spacing w:before="0" w:after="0"/>
        <w:ind w:left="720" w:firstLine="708"/>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2120 </w:t>
      </w:r>
      <w:r w:rsidRPr="00A512E0">
        <w:rPr>
          <w:sz w:val="22"/>
          <w:szCs w:val="22"/>
          <w:u w:val="single"/>
        </w:rPr>
        <w:t xml:space="preserve"> «</w:t>
      </w:r>
      <w:r w:rsidRPr="00A512E0">
        <w:rPr>
          <w:sz w:val="22"/>
          <w:szCs w:val="22"/>
        </w:rPr>
        <w:t>Себестоимость продаж»:</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(-77 964)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(-80 584) т. руб.</w:t>
      </w:r>
    </w:p>
    <w:p w:rsidR="00AA7EE0" w:rsidRPr="00A512E0" w:rsidRDefault="00AA7EE0" w:rsidP="00BB4B93">
      <w:pPr>
        <w:widowControl/>
        <w:spacing w:before="0" w:after="0"/>
        <w:ind w:left="720" w:firstLine="708"/>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2220 </w:t>
      </w:r>
      <w:r w:rsidRPr="00A512E0">
        <w:rPr>
          <w:sz w:val="22"/>
          <w:szCs w:val="22"/>
          <w:u w:val="single"/>
        </w:rPr>
        <w:t xml:space="preserve"> «</w:t>
      </w:r>
      <w:r w:rsidRPr="00A512E0">
        <w:rPr>
          <w:sz w:val="22"/>
          <w:szCs w:val="22"/>
        </w:rPr>
        <w:t>Управленческие расходы»:</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(-30 233)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(-16 772) т. руб.</w:t>
      </w:r>
    </w:p>
    <w:p w:rsidR="00AA7EE0" w:rsidRPr="00A512E0" w:rsidRDefault="00AA7EE0" w:rsidP="00BB4B93">
      <w:pPr>
        <w:widowControl/>
        <w:spacing w:before="0" w:after="0"/>
        <w:ind w:left="720" w:firstLine="708"/>
        <w:jc w:val="both"/>
        <w:rPr>
          <w:b/>
          <w:bCs/>
          <w:sz w:val="22"/>
          <w:szCs w:val="22"/>
          <w:u w:val="single"/>
        </w:rPr>
      </w:pP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b/>
          <w:bCs/>
          <w:sz w:val="22"/>
          <w:szCs w:val="22"/>
          <w:u w:val="single"/>
        </w:rPr>
        <w:t>Прочие Доходы и расходы за 2011 год</w:t>
      </w:r>
      <w:r w:rsidRPr="00A512E0">
        <w:rPr>
          <w:sz w:val="22"/>
          <w:szCs w:val="22"/>
        </w:rPr>
        <w:t>:</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2320 </w:t>
      </w:r>
      <w:r w:rsidRPr="00A512E0">
        <w:rPr>
          <w:sz w:val="22"/>
          <w:szCs w:val="22"/>
          <w:u w:val="single"/>
        </w:rPr>
        <w:t xml:space="preserve"> «</w:t>
      </w:r>
      <w:r w:rsidRPr="00A512E0">
        <w:rPr>
          <w:sz w:val="22"/>
          <w:szCs w:val="22"/>
        </w:rPr>
        <w:t>Проценты к получению»:</w:t>
      </w:r>
    </w:p>
    <w:p w:rsidR="00AA7EE0" w:rsidRPr="00A512E0" w:rsidRDefault="00AA7EE0" w:rsidP="00BB4B93">
      <w:pPr>
        <w:widowControl/>
        <w:spacing w:before="0" w:after="0"/>
        <w:ind w:left="720"/>
        <w:jc w:val="both"/>
        <w:rPr>
          <w:sz w:val="22"/>
          <w:szCs w:val="22"/>
        </w:rPr>
      </w:pPr>
      <w:r w:rsidRPr="00A512E0">
        <w:rPr>
          <w:sz w:val="22"/>
          <w:szCs w:val="22"/>
        </w:rPr>
        <w:lastRenderedPageBreak/>
        <w:t>За Январь - Декабрь 2010г.: - 4595 т. руб.</w:t>
      </w:r>
    </w:p>
    <w:p w:rsidR="00AA7EE0" w:rsidRPr="00A512E0" w:rsidRDefault="00AA7EE0" w:rsidP="00BB4B93">
      <w:pPr>
        <w:widowControl/>
        <w:spacing w:before="0" w:after="0"/>
        <w:ind w:left="720"/>
        <w:jc w:val="both"/>
        <w:rPr>
          <w:b/>
          <w:bCs/>
          <w:sz w:val="22"/>
          <w:szCs w:val="22"/>
          <w:u w:val="single"/>
        </w:rPr>
      </w:pPr>
      <w:r w:rsidRPr="00A512E0">
        <w:rPr>
          <w:sz w:val="22"/>
          <w:szCs w:val="22"/>
        </w:rPr>
        <w:t>За Январь - Декабрь 2011г.: - 6 199 т. руб.</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23401 </w:t>
      </w:r>
      <w:r w:rsidRPr="00A512E0">
        <w:rPr>
          <w:sz w:val="22"/>
          <w:szCs w:val="22"/>
          <w:u w:val="single"/>
        </w:rPr>
        <w:t xml:space="preserve"> «</w:t>
      </w:r>
      <w:r w:rsidRPr="00A512E0">
        <w:rPr>
          <w:sz w:val="22"/>
          <w:szCs w:val="22"/>
        </w:rPr>
        <w:t>Доходы, связанные с реализацией ОС»:</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- 0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- 1 992 т. руб.</w:t>
      </w:r>
    </w:p>
    <w:p w:rsidR="00AA7EE0" w:rsidRPr="00A512E0" w:rsidRDefault="00AA7EE0"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23503 </w:t>
      </w:r>
      <w:r w:rsidRPr="00A512E0">
        <w:rPr>
          <w:sz w:val="22"/>
          <w:szCs w:val="22"/>
          <w:u w:val="single"/>
        </w:rPr>
        <w:t xml:space="preserve"> «</w:t>
      </w:r>
      <w:r w:rsidRPr="00A512E0">
        <w:rPr>
          <w:sz w:val="22"/>
          <w:szCs w:val="22"/>
        </w:rPr>
        <w:t>Расходы, связанные с реализацией ОС»:</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- 0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(-2 302) т. руб.</w:t>
      </w:r>
    </w:p>
    <w:p w:rsidR="00AA7EE0" w:rsidRPr="00A512E0" w:rsidRDefault="00AA7EE0" w:rsidP="00BB4B93">
      <w:pPr>
        <w:widowControl/>
        <w:spacing w:before="0" w:after="0"/>
        <w:ind w:left="720" w:firstLine="540"/>
        <w:jc w:val="both"/>
        <w:rPr>
          <w:sz w:val="22"/>
          <w:szCs w:val="22"/>
        </w:rPr>
      </w:pPr>
    </w:p>
    <w:p w:rsidR="00AA7EE0" w:rsidRPr="00A512E0" w:rsidRDefault="00AA7EE0" w:rsidP="00BB4B93">
      <w:pPr>
        <w:widowControl/>
        <w:spacing w:before="0" w:after="0"/>
        <w:ind w:left="720" w:firstLine="54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 Строка 23509 </w:t>
      </w:r>
      <w:r w:rsidRPr="00A512E0">
        <w:rPr>
          <w:sz w:val="22"/>
          <w:szCs w:val="22"/>
          <w:u w:val="single"/>
        </w:rPr>
        <w:t xml:space="preserve"> «</w:t>
      </w:r>
      <w:r w:rsidRPr="00A512E0">
        <w:rPr>
          <w:sz w:val="22"/>
          <w:szCs w:val="22"/>
        </w:rPr>
        <w:t>Отчисления в оценочные резервы»:</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- 0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- 206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sz w:val="22"/>
          <w:szCs w:val="22"/>
        </w:rPr>
        <w:t>Остаток по данной статье отражает сумму резерва по сомнительным долгам, который начислен в бухгалтерском учете на сумму дебиторской задолженности, которая с большой вероятностью не будет погашена.</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Строка </w:t>
      </w:r>
      <w:r w:rsidRPr="00A512E0">
        <w:rPr>
          <w:sz w:val="22"/>
          <w:szCs w:val="22"/>
          <w:u w:val="single"/>
        </w:rPr>
        <w:t xml:space="preserve"> «</w:t>
      </w:r>
      <w:r w:rsidRPr="00A512E0">
        <w:rPr>
          <w:sz w:val="22"/>
          <w:szCs w:val="22"/>
        </w:rPr>
        <w:t>Расходы на услуги банков»:</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(-127)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(-94)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Строка</w:t>
      </w:r>
      <w:r w:rsidRPr="00A512E0">
        <w:rPr>
          <w:sz w:val="22"/>
          <w:szCs w:val="22"/>
          <w:u w:val="single"/>
        </w:rPr>
        <w:t xml:space="preserve"> «Прочие операционные расходы</w:t>
      </w:r>
      <w:r w:rsidRPr="00A512E0">
        <w:rPr>
          <w:sz w:val="22"/>
          <w:szCs w:val="22"/>
        </w:rPr>
        <w:t>»:</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(-3805)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(-818) т. руб.</w:t>
      </w:r>
    </w:p>
    <w:p w:rsidR="009A707A" w:rsidRDefault="009A707A" w:rsidP="00BB4B93">
      <w:pPr>
        <w:widowControl/>
        <w:spacing w:before="0" w:after="0"/>
        <w:ind w:left="720" w:firstLine="540"/>
        <w:jc w:val="both"/>
        <w:rPr>
          <w:b/>
          <w:bCs/>
          <w:sz w:val="22"/>
          <w:szCs w:val="22"/>
          <w:u w:val="single"/>
        </w:rPr>
      </w:pPr>
    </w:p>
    <w:p w:rsidR="00AA7EE0" w:rsidRPr="00A512E0" w:rsidRDefault="00AA7EE0" w:rsidP="00BB4B93">
      <w:pPr>
        <w:widowControl/>
        <w:spacing w:before="0" w:after="0"/>
        <w:ind w:left="720" w:firstLine="540"/>
        <w:jc w:val="both"/>
        <w:rPr>
          <w:sz w:val="22"/>
          <w:szCs w:val="22"/>
        </w:rPr>
      </w:pPr>
      <w:r w:rsidRPr="00A512E0">
        <w:rPr>
          <w:b/>
          <w:bCs/>
          <w:sz w:val="22"/>
          <w:szCs w:val="22"/>
          <w:u w:val="single"/>
        </w:rPr>
        <w:t xml:space="preserve"> Строка </w:t>
      </w:r>
      <w:r w:rsidRPr="00A512E0">
        <w:rPr>
          <w:sz w:val="22"/>
          <w:szCs w:val="22"/>
          <w:u w:val="single"/>
        </w:rPr>
        <w:t xml:space="preserve"> «Прочие внереализационные расходы</w:t>
      </w:r>
      <w:r w:rsidRPr="00A512E0">
        <w:rPr>
          <w:sz w:val="22"/>
          <w:szCs w:val="22"/>
        </w:rPr>
        <w:t>»:</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2010г.: - 984 т. руб.</w:t>
      </w:r>
    </w:p>
    <w:p w:rsidR="00AA7EE0" w:rsidRPr="00A512E0" w:rsidRDefault="00AA7EE0" w:rsidP="00BB4B93">
      <w:pPr>
        <w:widowControl/>
        <w:spacing w:before="0" w:after="0"/>
        <w:ind w:left="720"/>
        <w:jc w:val="both"/>
        <w:rPr>
          <w:sz w:val="22"/>
          <w:szCs w:val="22"/>
        </w:rPr>
      </w:pPr>
      <w:r w:rsidRPr="00A512E0">
        <w:rPr>
          <w:sz w:val="22"/>
          <w:szCs w:val="22"/>
        </w:rPr>
        <w:t>За Январь - Декабрь 2011г.: - 42 т. руб.</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sz w:val="22"/>
          <w:szCs w:val="22"/>
        </w:rPr>
      </w:pPr>
      <w:r w:rsidRPr="00A512E0">
        <w:rPr>
          <w:b/>
          <w:bCs/>
          <w:sz w:val="22"/>
          <w:szCs w:val="22"/>
          <w:u w:val="single"/>
        </w:rPr>
        <w:t>Справочно:</w:t>
      </w:r>
      <w:r w:rsidRPr="00A512E0">
        <w:rPr>
          <w:sz w:val="22"/>
          <w:szCs w:val="22"/>
        </w:rPr>
        <w:t xml:space="preserve"> Постоянные налоговые обязательства (активы) в сумме 1 420 000 руб.  сформированы в бухгалтерском учете при возникновении постоянных разниц, а именно: из-за расходов, которые не включаются в расчет налоговой базы по налогу на прибыль.</w:t>
      </w:r>
    </w:p>
    <w:p w:rsidR="00AA7EE0" w:rsidRPr="00A512E0" w:rsidRDefault="00AA7EE0" w:rsidP="00BB4B93">
      <w:pPr>
        <w:widowControl/>
        <w:spacing w:before="0" w:after="0"/>
        <w:ind w:left="720"/>
        <w:jc w:val="both"/>
        <w:rPr>
          <w:sz w:val="22"/>
          <w:szCs w:val="22"/>
        </w:rPr>
      </w:pPr>
    </w:p>
    <w:p w:rsidR="00AA7EE0" w:rsidRDefault="00AA7EE0" w:rsidP="00BB4B93">
      <w:pPr>
        <w:widowControl/>
        <w:spacing w:before="0" w:after="0"/>
        <w:ind w:left="720"/>
        <w:jc w:val="both"/>
        <w:rPr>
          <w:sz w:val="22"/>
          <w:szCs w:val="22"/>
        </w:rPr>
      </w:pPr>
    </w:p>
    <w:tbl>
      <w:tblPr>
        <w:tblW w:w="10120" w:type="dxa"/>
        <w:tblInd w:w="93" w:type="dxa"/>
        <w:tblLook w:val="0000"/>
      </w:tblPr>
      <w:tblGrid>
        <w:gridCol w:w="960"/>
        <w:gridCol w:w="1320"/>
        <w:gridCol w:w="2360"/>
        <w:gridCol w:w="2140"/>
        <w:gridCol w:w="1720"/>
        <w:gridCol w:w="1620"/>
      </w:tblGrid>
      <w:tr w:rsidR="009A707A" w:rsidRPr="009A707A" w:rsidTr="009A707A">
        <w:trPr>
          <w:trHeight w:val="448"/>
        </w:trPr>
        <w:tc>
          <w:tcPr>
            <w:tcW w:w="10120" w:type="dxa"/>
            <w:gridSpan w:val="6"/>
            <w:tcBorders>
              <w:top w:val="nil"/>
              <w:left w:val="nil"/>
              <w:bottom w:val="nil"/>
              <w:right w:val="nil"/>
            </w:tcBorders>
            <w:shd w:val="clear" w:color="auto" w:fill="auto"/>
            <w:noWrap/>
            <w:vAlign w:val="bottom"/>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Расчет Базовой прибыли на одну акцию</w:t>
            </w:r>
          </w:p>
          <w:p w:rsidR="009A707A" w:rsidRPr="009A707A" w:rsidRDefault="009A707A" w:rsidP="00DA3FA1">
            <w:pPr>
              <w:jc w:val="center"/>
              <w:rPr>
                <w:rFonts w:ascii="Calibri" w:hAnsi="Calibri"/>
                <w:b/>
                <w:bCs/>
                <w:color w:val="000000"/>
                <w:sz w:val="18"/>
                <w:szCs w:val="18"/>
              </w:rPr>
            </w:pPr>
          </w:p>
        </w:tc>
      </w:tr>
      <w:tr w:rsidR="009A707A" w:rsidRPr="009A707A" w:rsidTr="00DA3FA1">
        <w:trPr>
          <w:trHeight w:val="1200"/>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 п/п</w:t>
            </w:r>
          </w:p>
        </w:tc>
        <w:tc>
          <w:tcPr>
            <w:tcW w:w="1320" w:type="dxa"/>
            <w:tcBorders>
              <w:top w:val="single" w:sz="8" w:space="0" w:color="auto"/>
              <w:left w:val="nil"/>
              <w:bottom w:val="single" w:sz="4" w:space="0" w:color="auto"/>
              <w:right w:val="single" w:sz="4"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Дата</w:t>
            </w:r>
          </w:p>
        </w:tc>
        <w:tc>
          <w:tcPr>
            <w:tcW w:w="2360" w:type="dxa"/>
            <w:tcBorders>
              <w:top w:val="single" w:sz="8" w:space="0" w:color="auto"/>
              <w:left w:val="nil"/>
              <w:bottom w:val="single" w:sz="4" w:space="0" w:color="auto"/>
              <w:right w:val="single" w:sz="4"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Кол-во обыкновенных акций (шт.)</w:t>
            </w:r>
          </w:p>
        </w:tc>
        <w:tc>
          <w:tcPr>
            <w:tcW w:w="2140" w:type="dxa"/>
            <w:tcBorders>
              <w:top w:val="single" w:sz="8" w:space="0" w:color="auto"/>
              <w:left w:val="nil"/>
              <w:bottom w:val="single" w:sz="4" w:space="0" w:color="auto"/>
              <w:right w:val="single" w:sz="4"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Средневзвешенное количество акций за период (шт.)</w:t>
            </w:r>
          </w:p>
        </w:tc>
        <w:tc>
          <w:tcPr>
            <w:tcW w:w="1720" w:type="dxa"/>
            <w:tcBorders>
              <w:top w:val="single" w:sz="8" w:space="0" w:color="auto"/>
              <w:left w:val="nil"/>
              <w:bottom w:val="single" w:sz="4" w:space="0" w:color="auto"/>
              <w:right w:val="single" w:sz="4"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Чистая прибыль за 2011 год           (руб.)</w:t>
            </w:r>
          </w:p>
        </w:tc>
        <w:tc>
          <w:tcPr>
            <w:tcW w:w="1620" w:type="dxa"/>
            <w:tcBorders>
              <w:top w:val="single" w:sz="8" w:space="0" w:color="auto"/>
              <w:left w:val="nil"/>
              <w:bottom w:val="single" w:sz="4" w:space="0" w:color="auto"/>
              <w:right w:val="single" w:sz="8" w:space="0" w:color="auto"/>
            </w:tcBorders>
            <w:shd w:val="clear" w:color="auto" w:fill="auto"/>
            <w:vAlign w:val="center"/>
          </w:tcPr>
          <w:p w:rsidR="009A707A" w:rsidRPr="009A707A" w:rsidRDefault="009A707A" w:rsidP="00DA3FA1">
            <w:pPr>
              <w:jc w:val="center"/>
              <w:rPr>
                <w:rFonts w:ascii="Calibri" w:hAnsi="Calibri"/>
                <w:b/>
                <w:bCs/>
                <w:color w:val="000000"/>
                <w:sz w:val="18"/>
                <w:szCs w:val="18"/>
              </w:rPr>
            </w:pPr>
            <w:r w:rsidRPr="009A707A">
              <w:rPr>
                <w:rFonts w:ascii="Calibri" w:hAnsi="Calibri"/>
                <w:b/>
                <w:bCs/>
                <w:color w:val="000000"/>
                <w:sz w:val="18"/>
                <w:szCs w:val="18"/>
              </w:rPr>
              <w:t>Базовая прибыль на одну акцию (руб.)</w:t>
            </w: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01.01.2011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57 997 850</w:t>
            </w:r>
          </w:p>
        </w:tc>
        <w:tc>
          <w:tcPr>
            <w:tcW w:w="2140" w:type="dxa"/>
            <w:vMerge w:val="restart"/>
            <w:tcBorders>
              <w:top w:val="nil"/>
              <w:left w:val="single" w:sz="4" w:space="0" w:color="auto"/>
              <w:bottom w:val="single" w:sz="8" w:space="0" w:color="000000"/>
              <w:right w:val="single" w:sz="4" w:space="0" w:color="auto"/>
            </w:tcBorders>
            <w:shd w:val="clear" w:color="auto" w:fill="auto"/>
            <w:noWrap/>
            <w:vAlign w:val="center"/>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81 291 327</w:t>
            </w:r>
          </w:p>
        </w:tc>
        <w:tc>
          <w:tcPr>
            <w:tcW w:w="1720" w:type="dxa"/>
            <w:vMerge w:val="restart"/>
            <w:tcBorders>
              <w:top w:val="nil"/>
              <w:left w:val="single" w:sz="4" w:space="0" w:color="auto"/>
              <w:bottom w:val="single" w:sz="8" w:space="0" w:color="000000"/>
              <w:right w:val="single" w:sz="4" w:space="0" w:color="auto"/>
            </w:tcBorders>
            <w:shd w:val="clear" w:color="auto" w:fill="auto"/>
            <w:noWrap/>
            <w:vAlign w:val="center"/>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24 786 000</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0,3049</w:t>
            </w: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2</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01.02.2011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57 997 850</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3</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01.03.2011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57 997 850</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4</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01.04.2011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57 997 850</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5</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01.05.2011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6</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01.06.2011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lastRenderedPageBreak/>
              <w:t>7</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01.07.2011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8</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01.08.2011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01.09.2011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10</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01.10.2011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11</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01.11.2011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12</w:t>
            </w:r>
          </w:p>
        </w:tc>
        <w:tc>
          <w:tcPr>
            <w:tcW w:w="132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01.12.2011</w:t>
            </w:r>
          </w:p>
        </w:tc>
        <w:tc>
          <w:tcPr>
            <w:tcW w:w="2360" w:type="dxa"/>
            <w:tcBorders>
              <w:top w:val="nil"/>
              <w:left w:val="nil"/>
              <w:bottom w:val="single" w:sz="4"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r w:rsidR="009A707A" w:rsidRPr="009A707A" w:rsidTr="00DA3FA1">
        <w:trPr>
          <w:trHeight w:val="405"/>
        </w:trPr>
        <w:tc>
          <w:tcPr>
            <w:tcW w:w="960" w:type="dxa"/>
            <w:tcBorders>
              <w:top w:val="nil"/>
              <w:left w:val="single" w:sz="8" w:space="0" w:color="auto"/>
              <w:bottom w:val="single" w:sz="8"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13</w:t>
            </w:r>
          </w:p>
        </w:tc>
        <w:tc>
          <w:tcPr>
            <w:tcW w:w="1320" w:type="dxa"/>
            <w:tcBorders>
              <w:top w:val="nil"/>
              <w:left w:val="nil"/>
              <w:bottom w:val="single" w:sz="8" w:space="0" w:color="auto"/>
              <w:right w:val="single" w:sz="4" w:space="0" w:color="auto"/>
            </w:tcBorders>
            <w:shd w:val="clear" w:color="auto" w:fill="auto"/>
            <w:noWrap/>
            <w:vAlign w:val="bottom"/>
          </w:tcPr>
          <w:p w:rsidR="009A707A" w:rsidRPr="009A707A" w:rsidRDefault="009A707A" w:rsidP="00DA3FA1">
            <w:pPr>
              <w:jc w:val="right"/>
              <w:rPr>
                <w:rFonts w:ascii="Calibri" w:hAnsi="Calibri"/>
                <w:color w:val="000000"/>
                <w:sz w:val="18"/>
                <w:szCs w:val="18"/>
              </w:rPr>
            </w:pPr>
            <w:r w:rsidRPr="009A707A">
              <w:rPr>
                <w:rFonts w:ascii="Calibri" w:hAnsi="Calibri"/>
                <w:color w:val="000000"/>
                <w:sz w:val="18"/>
                <w:szCs w:val="18"/>
              </w:rPr>
              <w:t>01.01.2012</w:t>
            </w:r>
          </w:p>
        </w:tc>
        <w:tc>
          <w:tcPr>
            <w:tcW w:w="2360" w:type="dxa"/>
            <w:tcBorders>
              <w:top w:val="nil"/>
              <w:left w:val="nil"/>
              <w:bottom w:val="single" w:sz="8" w:space="0" w:color="auto"/>
              <w:right w:val="single" w:sz="4" w:space="0" w:color="auto"/>
            </w:tcBorders>
            <w:shd w:val="clear" w:color="auto" w:fill="auto"/>
            <w:noWrap/>
            <w:vAlign w:val="bottom"/>
          </w:tcPr>
          <w:p w:rsidR="009A707A" w:rsidRPr="009A707A" w:rsidRDefault="009A707A" w:rsidP="00DA3FA1">
            <w:pPr>
              <w:jc w:val="center"/>
              <w:rPr>
                <w:rFonts w:ascii="Calibri" w:hAnsi="Calibri"/>
                <w:color w:val="000000"/>
                <w:sz w:val="18"/>
                <w:szCs w:val="18"/>
              </w:rPr>
            </w:pPr>
            <w:r w:rsidRPr="009A707A">
              <w:rPr>
                <w:rFonts w:ascii="Calibri" w:hAnsi="Calibri"/>
                <w:color w:val="000000"/>
                <w:sz w:val="18"/>
                <w:szCs w:val="18"/>
              </w:rPr>
              <w:t>91 643 984</w:t>
            </w:r>
          </w:p>
        </w:tc>
        <w:tc>
          <w:tcPr>
            <w:tcW w:w="214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720" w:type="dxa"/>
            <w:vMerge/>
            <w:tcBorders>
              <w:top w:val="nil"/>
              <w:left w:val="single" w:sz="4" w:space="0" w:color="auto"/>
              <w:bottom w:val="single" w:sz="8" w:space="0" w:color="000000"/>
              <w:right w:val="single" w:sz="4" w:space="0" w:color="auto"/>
            </w:tcBorders>
            <w:vAlign w:val="center"/>
          </w:tcPr>
          <w:p w:rsidR="009A707A" w:rsidRPr="009A707A" w:rsidRDefault="009A707A" w:rsidP="00DA3FA1">
            <w:pPr>
              <w:rPr>
                <w:rFonts w:ascii="Calibri" w:hAnsi="Calibri"/>
                <w:color w:val="000000"/>
                <w:sz w:val="18"/>
                <w:szCs w:val="18"/>
              </w:rPr>
            </w:pPr>
          </w:p>
        </w:tc>
        <w:tc>
          <w:tcPr>
            <w:tcW w:w="1620" w:type="dxa"/>
            <w:vMerge/>
            <w:tcBorders>
              <w:top w:val="nil"/>
              <w:left w:val="single" w:sz="4" w:space="0" w:color="auto"/>
              <w:bottom w:val="single" w:sz="8" w:space="0" w:color="000000"/>
              <w:right w:val="single" w:sz="8" w:space="0" w:color="auto"/>
            </w:tcBorders>
            <w:vAlign w:val="center"/>
          </w:tcPr>
          <w:p w:rsidR="009A707A" w:rsidRPr="009A707A" w:rsidRDefault="009A707A" w:rsidP="00DA3FA1">
            <w:pPr>
              <w:rPr>
                <w:rFonts w:ascii="Calibri" w:hAnsi="Calibri"/>
                <w:color w:val="000000"/>
                <w:sz w:val="18"/>
                <w:szCs w:val="18"/>
              </w:rPr>
            </w:pPr>
          </w:p>
        </w:tc>
      </w:tr>
    </w:tbl>
    <w:p w:rsidR="009A707A" w:rsidRDefault="009A707A" w:rsidP="00BB4B93">
      <w:pPr>
        <w:widowControl/>
        <w:spacing w:before="0" w:after="0"/>
        <w:ind w:left="720"/>
        <w:jc w:val="both"/>
        <w:rPr>
          <w:sz w:val="22"/>
          <w:szCs w:val="22"/>
        </w:rPr>
      </w:pPr>
    </w:p>
    <w:p w:rsidR="00AA7EE0" w:rsidRPr="00A512E0" w:rsidRDefault="00AA7EE0" w:rsidP="00BB4B93">
      <w:pPr>
        <w:widowControl/>
        <w:spacing w:before="0" w:after="0"/>
        <w:ind w:left="720"/>
        <w:jc w:val="both"/>
        <w:rPr>
          <w:b/>
          <w:bCs/>
          <w:sz w:val="22"/>
          <w:szCs w:val="22"/>
        </w:rPr>
      </w:pPr>
      <w:r w:rsidRPr="00A512E0">
        <w:rPr>
          <w:b/>
          <w:bCs/>
          <w:sz w:val="22"/>
          <w:szCs w:val="22"/>
        </w:rPr>
        <w:t>4. Характеристика перспектив.</w:t>
      </w:r>
    </w:p>
    <w:p w:rsidR="00AA7EE0" w:rsidRPr="00A512E0" w:rsidRDefault="00AA7EE0" w:rsidP="00BB4B93">
      <w:pPr>
        <w:widowControl/>
        <w:spacing w:before="0" w:after="0"/>
        <w:ind w:left="720"/>
        <w:jc w:val="both"/>
        <w:rPr>
          <w:i/>
          <w:iCs/>
          <w:sz w:val="22"/>
          <w:szCs w:val="22"/>
        </w:rPr>
      </w:pPr>
      <w:r w:rsidRPr="00A512E0">
        <w:rPr>
          <w:sz w:val="22"/>
          <w:szCs w:val="22"/>
        </w:rPr>
        <w:t>При подготовке финансовой (бухгалтерской) отчетности руководство исходило из соблюдения принципа допущения непрерывности деятельности Общества. У Общества нет никаких намерений или потребностей в ликвидации, прекращении финансово-хозяйственной деятельности или обращении за защитой от кредиторов. Активы и обязательства учитывались на том основании, что мы сможем выполнить свои обязательства и реализовать свои активы в ходе обычной деятельности.</w:t>
      </w:r>
    </w:p>
    <w:p w:rsidR="00AA7EE0" w:rsidRPr="00A512E0" w:rsidRDefault="00AA7EE0" w:rsidP="00BB4B93">
      <w:pPr>
        <w:widowControl/>
        <w:spacing w:before="0" w:after="0"/>
        <w:ind w:left="720"/>
        <w:jc w:val="both"/>
        <w:rPr>
          <w:i/>
          <w:iCs/>
          <w:sz w:val="22"/>
          <w:szCs w:val="22"/>
        </w:rPr>
      </w:pPr>
      <w:r w:rsidRPr="00A512E0">
        <w:rPr>
          <w:sz w:val="22"/>
          <w:szCs w:val="22"/>
        </w:rPr>
        <w:t>Руководство Общества, не имеет никаких планов, выполнение которых может существенно повлиять на оценочную стоимость и группировку активов и обязательств, представленные в финансовой (бухгалтерской) отчетности Общества.</w:t>
      </w:r>
    </w:p>
    <w:p w:rsidR="00AA7EE0" w:rsidRPr="00A512E0" w:rsidRDefault="00AA7EE0" w:rsidP="00BB4B93">
      <w:pPr>
        <w:widowControl/>
        <w:spacing w:before="0" w:after="0"/>
        <w:ind w:left="720"/>
        <w:jc w:val="both"/>
        <w:rPr>
          <w:sz w:val="22"/>
          <w:szCs w:val="22"/>
        </w:rPr>
      </w:pPr>
      <w:r w:rsidRPr="00A512E0">
        <w:rPr>
          <w:sz w:val="22"/>
          <w:szCs w:val="22"/>
        </w:rPr>
        <w:t>Общество располагает достаточным капиталом, чтобы устоять перед рисками, присущими характеру и масштабу своей деятельности.</w:t>
      </w:r>
    </w:p>
    <w:p w:rsidR="00AA7EE0" w:rsidRPr="00A512E0" w:rsidRDefault="00AA7EE0" w:rsidP="00BB4B93">
      <w:pPr>
        <w:widowControl/>
        <w:spacing w:before="0" w:after="0"/>
        <w:ind w:left="720"/>
        <w:jc w:val="both"/>
        <w:rPr>
          <w:sz w:val="22"/>
          <w:szCs w:val="22"/>
        </w:rPr>
      </w:pPr>
      <w:r w:rsidRPr="00A512E0">
        <w:rPr>
          <w:sz w:val="22"/>
          <w:szCs w:val="22"/>
        </w:rPr>
        <w:t>Организационная структура и система внутреннего контроля Общества соответствует его бизнес-плану и стратегии деятельности.</w:t>
      </w:r>
    </w:p>
    <w:p w:rsidR="00AA7EE0" w:rsidRPr="00A512E0" w:rsidRDefault="00AA7EE0" w:rsidP="00BB4B93">
      <w:pPr>
        <w:widowControl/>
        <w:spacing w:before="0" w:after="0"/>
        <w:ind w:left="720"/>
        <w:jc w:val="both"/>
        <w:rPr>
          <w:sz w:val="22"/>
          <w:szCs w:val="22"/>
        </w:rPr>
      </w:pPr>
    </w:p>
    <w:p w:rsidR="00AA7EE0" w:rsidRPr="00A512E0" w:rsidRDefault="00AA7EE0" w:rsidP="00BB4B93">
      <w:pPr>
        <w:widowControl/>
        <w:tabs>
          <w:tab w:val="left" w:pos="720"/>
        </w:tabs>
        <w:spacing w:before="0" w:after="0"/>
        <w:ind w:left="720" w:right="-96"/>
        <w:jc w:val="both"/>
        <w:rPr>
          <w:sz w:val="22"/>
          <w:szCs w:val="22"/>
        </w:rPr>
      </w:pPr>
    </w:p>
    <w:p w:rsidR="00AA7EE0" w:rsidRPr="00A512E0" w:rsidRDefault="00AA7EE0" w:rsidP="00BB4B93">
      <w:pPr>
        <w:widowControl/>
        <w:tabs>
          <w:tab w:val="left" w:pos="720"/>
        </w:tabs>
        <w:spacing w:before="0" w:after="0"/>
        <w:ind w:left="720" w:right="-96"/>
        <w:jc w:val="both"/>
        <w:rPr>
          <w:b/>
          <w:bCs/>
          <w:sz w:val="22"/>
          <w:szCs w:val="22"/>
        </w:rPr>
      </w:pPr>
      <w:r w:rsidRPr="00A512E0">
        <w:rPr>
          <w:b/>
          <w:bCs/>
          <w:sz w:val="22"/>
          <w:szCs w:val="22"/>
        </w:rPr>
        <w:t>Генеральный директор</w:t>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t xml:space="preserve">С. В. Грицкевич     </w:t>
      </w:r>
    </w:p>
    <w:p w:rsidR="00AA7EE0" w:rsidRPr="00A512E0" w:rsidRDefault="00AA7EE0" w:rsidP="00BB4B93">
      <w:pPr>
        <w:widowControl/>
        <w:tabs>
          <w:tab w:val="left" w:pos="720"/>
        </w:tabs>
        <w:spacing w:before="0" w:after="0"/>
        <w:ind w:left="720" w:right="-96"/>
        <w:jc w:val="both"/>
        <w:rPr>
          <w:b/>
          <w:bCs/>
          <w:sz w:val="22"/>
          <w:szCs w:val="22"/>
        </w:rPr>
      </w:pPr>
    </w:p>
    <w:p w:rsidR="00AA7EE0" w:rsidRPr="00A512E0" w:rsidRDefault="00AA7EE0" w:rsidP="00BB4B93">
      <w:pPr>
        <w:widowControl/>
        <w:tabs>
          <w:tab w:val="left" w:pos="720"/>
        </w:tabs>
        <w:spacing w:before="0" w:after="0"/>
        <w:ind w:left="720" w:right="-96"/>
        <w:jc w:val="both"/>
        <w:rPr>
          <w:b/>
          <w:bCs/>
          <w:sz w:val="22"/>
          <w:szCs w:val="22"/>
        </w:rPr>
      </w:pPr>
    </w:p>
    <w:p w:rsidR="00AA7EE0" w:rsidRDefault="00AA7EE0" w:rsidP="00BB4B93">
      <w:pPr>
        <w:widowControl/>
        <w:tabs>
          <w:tab w:val="left" w:pos="720"/>
        </w:tabs>
        <w:spacing w:before="0" w:after="0"/>
        <w:ind w:left="720" w:right="-96"/>
        <w:jc w:val="both"/>
        <w:rPr>
          <w:b/>
          <w:bCs/>
          <w:sz w:val="22"/>
          <w:szCs w:val="22"/>
        </w:rPr>
      </w:pPr>
      <w:r w:rsidRPr="00A512E0">
        <w:rPr>
          <w:b/>
          <w:bCs/>
          <w:sz w:val="22"/>
          <w:szCs w:val="22"/>
        </w:rPr>
        <w:t>Главный бухгалтер</w:t>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r>
      <w:r w:rsidRPr="00A512E0">
        <w:rPr>
          <w:b/>
          <w:bCs/>
          <w:sz w:val="22"/>
          <w:szCs w:val="22"/>
        </w:rPr>
        <w:tab/>
        <w:t xml:space="preserve">О. В. Козлова                                                                                                     </w:t>
      </w:r>
    </w:p>
    <w:p w:rsidR="00AA7EE0" w:rsidRDefault="00AA7EE0" w:rsidP="00BB4B93">
      <w:pPr>
        <w:widowControl/>
        <w:tabs>
          <w:tab w:val="left" w:pos="720"/>
        </w:tabs>
        <w:spacing w:before="0" w:after="0"/>
        <w:ind w:left="720" w:right="-96"/>
        <w:jc w:val="both"/>
        <w:rPr>
          <w:sz w:val="22"/>
          <w:szCs w:val="22"/>
        </w:rPr>
      </w:pPr>
    </w:p>
    <w:p w:rsidR="00AA7EE0" w:rsidRDefault="00AA7EE0" w:rsidP="00BB4B93">
      <w:pPr>
        <w:widowControl/>
        <w:tabs>
          <w:tab w:val="left" w:pos="720"/>
        </w:tabs>
        <w:spacing w:before="0" w:after="0"/>
        <w:ind w:left="720" w:right="-96"/>
        <w:jc w:val="both"/>
        <w:rPr>
          <w:sz w:val="22"/>
          <w:szCs w:val="22"/>
        </w:rPr>
      </w:pPr>
    </w:p>
    <w:p w:rsidR="00AA7EE0" w:rsidRDefault="00AA7EE0" w:rsidP="00BB4B93">
      <w:pPr>
        <w:widowControl/>
        <w:tabs>
          <w:tab w:val="left" w:pos="720"/>
        </w:tabs>
        <w:spacing w:before="0" w:after="0"/>
        <w:ind w:left="720" w:right="-96"/>
        <w:jc w:val="both"/>
        <w:rPr>
          <w:sz w:val="22"/>
          <w:szCs w:val="22"/>
        </w:rPr>
      </w:pPr>
    </w:p>
    <w:p w:rsidR="00AA7EE0" w:rsidRDefault="00AA7EE0" w:rsidP="00BB4B93">
      <w:pPr>
        <w:widowControl/>
        <w:tabs>
          <w:tab w:val="left" w:pos="720"/>
        </w:tabs>
        <w:spacing w:before="0" w:after="0"/>
        <w:ind w:left="720" w:right="-96"/>
        <w:jc w:val="both"/>
        <w:rPr>
          <w:sz w:val="22"/>
          <w:szCs w:val="22"/>
        </w:rPr>
      </w:pPr>
    </w:p>
    <w:p w:rsidR="00AA7EE0" w:rsidRDefault="00AA7EE0" w:rsidP="00BB4B93">
      <w:pPr>
        <w:ind w:left="400"/>
        <w:jc w:val="both"/>
      </w:pPr>
    </w:p>
    <w:p w:rsidR="00A512E0" w:rsidRDefault="00A512E0" w:rsidP="00BB4B93">
      <w:pPr>
        <w:ind w:left="400"/>
        <w:jc w:val="both"/>
        <w:rPr>
          <w:rStyle w:val="Subst"/>
          <w:bCs/>
          <w:iCs/>
        </w:rPr>
      </w:pPr>
      <w:r>
        <w:rPr>
          <w:rStyle w:val="Subst"/>
          <w:bCs/>
          <w:iCs/>
        </w:rPr>
        <w:br w:type="page"/>
      </w:r>
      <w:r w:rsidR="00144859" w:rsidRPr="00A512E0">
        <w:rPr>
          <w:rStyle w:val="Subst"/>
          <w:bCs/>
          <w:i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674.5pt">
            <v:imagedata r:id="rId10" o:title=""/>
          </v:shape>
        </w:pict>
      </w:r>
      <w:r w:rsidR="00AA7EE0">
        <w:rPr>
          <w:rStyle w:val="Subst"/>
          <w:bCs/>
          <w:iCs/>
        </w:rPr>
        <w:br/>
      </w:r>
      <w:r w:rsidR="00AA7EE0">
        <w:rPr>
          <w:rStyle w:val="Subst"/>
          <w:bCs/>
          <w:iCs/>
        </w:rPr>
        <w:br/>
      </w:r>
      <w:r w:rsidR="00AA7EE0">
        <w:rPr>
          <w:rStyle w:val="Subst"/>
          <w:bCs/>
          <w:iCs/>
        </w:rPr>
        <w:br/>
      </w:r>
      <w:r w:rsidR="00144859" w:rsidRPr="00A512E0">
        <w:rPr>
          <w:rStyle w:val="Subst"/>
          <w:bCs/>
          <w:iCs/>
        </w:rPr>
        <w:lastRenderedPageBreak/>
        <w:pict>
          <v:shape id="_x0000_i1026" type="#_x0000_t75" style="width:478.2pt;height:674.5pt">
            <v:imagedata r:id="rId11" o:title=""/>
          </v:shape>
        </w:pict>
      </w:r>
    </w:p>
    <w:p w:rsidR="00A512E0" w:rsidRDefault="00A512E0" w:rsidP="00BB4B93">
      <w:pPr>
        <w:ind w:left="400"/>
        <w:jc w:val="both"/>
        <w:rPr>
          <w:rStyle w:val="Subst"/>
          <w:bCs/>
          <w:iCs/>
        </w:rPr>
      </w:pPr>
    </w:p>
    <w:p w:rsidR="00A512E0" w:rsidRDefault="00A512E0" w:rsidP="00BB4B93">
      <w:pPr>
        <w:ind w:left="400"/>
        <w:jc w:val="both"/>
        <w:rPr>
          <w:rStyle w:val="Subst"/>
          <w:bCs/>
          <w:iCs/>
        </w:rPr>
      </w:pPr>
    </w:p>
    <w:p w:rsidR="00A512E0" w:rsidRDefault="00144859" w:rsidP="00BB4B93">
      <w:pPr>
        <w:ind w:left="400"/>
        <w:jc w:val="both"/>
        <w:rPr>
          <w:rStyle w:val="Subst"/>
          <w:bCs/>
          <w:iCs/>
        </w:rPr>
      </w:pPr>
      <w:r w:rsidRPr="00A512E0">
        <w:rPr>
          <w:rStyle w:val="Subst"/>
          <w:bCs/>
          <w:iCs/>
        </w:rPr>
        <w:lastRenderedPageBreak/>
        <w:pict>
          <v:shape id="_x0000_i1027" type="#_x0000_t75" style="width:478.2pt;height:674.5pt">
            <v:imagedata r:id="rId12" o:title=""/>
          </v:shape>
        </w:pict>
      </w:r>
    </w:p>
    <w:p w:rsidR="00A512E0" w:rsidRDefault="00A512E0" w:rsidP="00BB4B93">
      <w:pPr>
        <w:ind w:left="400"/>
        <w:jc w:val="both"/>
        <w:rPr>
          <w:rStyle w:val="Subst"/>
          <w:bCs/>
          <w:iCs/>
        </w:rPr>
      </w:pPr>
    </w:p>
    <w:p w:rsidR="00A512E0" w:rsidRDefault="00A512E0" w:rsidP="00BB4B93">
      <w:pPr>
        <w:ind w:left="400"/>
        <w:jc w:val="both"/>
        <w:rPr>
          <w:rStyle w:val="Subst"/>
          <w:bCs/>
          <w:iCs/>
        </w:rPr>
      </w:pPr>
    </w:p>
    <w:p w:rsidR="00A512E0" w:rsidRDefault="00144859" w:rsidP="00BB4B93">
      <w:pPr>
        <w:ind w:left="400"/>
        <w:jc w:val="both"/>
        <w:rPr>
          <w:rStyle w:val="Subst"/>
          <w:bCs/>
          <w:iCs/>
        </w:rPr>
      </w:pPr>
      <w:r w:rsidRPr="00A512E0">
        <w:rPr>
          <w:rStyle w:val="Subst"/>
          <w:bCs/>
          <w:iCs/>
        </w:rPr>
        <w:lastRenderedPageBreak/>
        <w:pict>
          <v:shape id="_x0000_i1028" type="#_x0000_t75" style="width:478.2pt;height:674.5pt">
            <v:imagedata r:id="rId13" o:title=""/>
          </v:shape>
        </w:pict>
      </w:r>
    </w:p>
    <w:p w:rsidR="00A512E0" w:rsidRDefault="00A512E0" w:rsidP="00BB4B93">
      <w:pPr>
        <w:ind w:left="400"/>
        <w:jc w:val="both"/>
        <w:rPr>
          <w:rStyle w:val="Subst"/>
          <w:bCs/>
          <w:iCs/>
        </w:rPr>
      </w:pPr>
    </w:p>
    <w:p w:rsidR="00A512E0" w:rsidRDefault="00A512E0" w:rsidP="00BB4B93">
      <w:pPr>
        <w:ind w:left="400"/>
        <w:jc w:val="both"/>
        <w:rPr>
          <w:rStyle w:val="Subst"/>
          <w:bCs/>
          <w:iCs/>
        </w:rPr>
      </w:pPr>
    </w:p>
    <w:p w:rsidR="00AA7EE0" w:rsidRPr="00A512E0" w:rsidRDefault="00144859" w:rsidP="00BB4B93">
      <w:pPr>
        <w:ind w:left="400"/>
        <w:jc w:val="both"/>
        <w:rPr>
          <w:b/>
          <w:i/>
        </w:rPr>
      </w:pPr>
      <w:r w:rsidRPr="00A512E0">
        <w:rPr>
          <w:rStyle w:val="Subst"/>
          <w:bCs/>
          <w:iCs/>
        </w:rPr>
        <w:lastRenderedPageBreak/>
        <w:pict>
          <v:shape id="_x0000_i1029" type="#_x0000_t75" style="width:478.2pt;height:674.5pt">
            <v:imagedata r:id="rId14" o:title=""/>
          </v:shape>
        </w:pict>
      </w:r>
      <w:r w:rsidR="00AA7EE0">
        <w:rPr>
          <w:rStyle w:val="Subst"/>
          <w:bCs/>
          <w:iCs/>
        </w:rPr>
        <w:br/>
      </w:r>
    </w:p>
    <w:p w:rsidR="00AA7EE0" w:rsidRDefault="00AA7EE0" w:rsidP="00BB4B93">
      <w:pPr>
        <w:jc w:val="both"/>
      </w:pPr>
    </w:p>
    <w:p w:rsidR="00AA7EE0" w:rsidRDefault="00AA7EE0" w:rsidP="00BB4B93">
      <w:pPr>
        <w:pStyle w:val="2"/>
        <w:jc w:val="both"/>
      </w:pPr>
      <w:bookmarkStart w:id="76" w:name="_Toc324431788"/>
      <w:r>
        <w:lastRenderedPageBreak/>
        <w:t>7.2. Квартальная бухгалтерская(финансовая) отчетность эмитента за последний завершенный отчетный квартал</w:t>
      </w:r>
      <w:bookmarkEnd w:id="76"/>
    </w:p>
    <w:p w:rsidR="00AA7EE0" w:rsidRDefault="00AA7EE0" w:rsidP="00BB4B93">
      <w:pPr>
        <w:pStyle w:val="SubHeading"/>
        <w:jc w:val="both"/>
      </w:pPr>
    </w:p>
    <w:p w:rsidR="00AA7EE0" w:rsidRDefault="00AA7EE0" w:rsidP="00BB4B93">
      <w:pPr>
        <w:pStyle w:val="SubHeading"/>
        <w:jc w:val="both"/>
      </w:pPr>
    </w:p>
    <w:p w:rsidR="00AA7EE0" w:rsidRDefault="00AA7EE0" w:rsidP="00226FB4">
      <w:pPr>
        <w:jc w:val="center"/>
        <w:rPr>
          <w:b/>
          <w:bCs/>
        </w:rPr>
      </w:pPr>
      <w:r>
        <w:rPr>
          <w:b/>
          <w:bCs/>
        </w:rPr>
        <w:t>Бухгалтерский баланс</w:t>
      </w:r>
      <w:r>
        <w:rPr>
          <w:b/>
          <w:bCs/>
        </w:rPr>
        <w:br/>
        <w:t>за 3 месяца 2012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0710001</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31.03.2012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792"/>
        <w:gridCol w:w="3840"/>
        <w:gridCol w:w="720"/>
        <w:gridCol w:w="1280"/>
        <w:gridCol w:w="1280"/>
        <w:gridCol w:w="1340"/>
      </w:tblGrid>
      <w:tr w:rsidR="00AA7EE0" w:rsidRPr="00BB4B93">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31.03.2012 г.</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31.12.2011 г.</w:t>
            </w:r>
          </w:p>
        </w:tc>
        <w:tc>
          <w:tcPr>
            <w:tcW w:w="134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Нематериальные активы</w:t>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226FB4">
            <w:pPr>
              <w:jc w:val="both"/>
              <w:rPr>
                <w:rFonts w:eastAsiaTheme="minorEastAsia"/>
              </w:rPr>
            </w:pPr>
            <w:r w:rsidRPr="00BB4B93">
              <w:rPr>
                <w:rFonts w:eastAsiaTheme="minorEastAsia"/>
              </w:rPr>
              <w:t>Результаты исследований и разработок</w:t>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F42C9D" w:rsidP="00226FB4">
            <w:pPr>
              <w:rPr>
                <w:rFonts w:eastAsiaTheme="minorEastAsia"/>
              </w:rPr>
            </w:pPr>
            <w:r w:rsidRPr="00F42C9D">
              <w:rPr>
                <w:rFonts w:eastAsiaTheme="minorEastAsia"/>
              </w:rPr>
              <w:t xml:space="preserve">  </w:t>
            </w:r>
            <w:r w:rsidR="00AA7EE0" w:rsidRPr="00BB4B93">
              <w:rPr>
                <w:rFonts w:eastAsiaTheme="minorEastAsia"/>
              </w:rPr>
              <w:t>Расходы на научно-исследовательские, опытно-конструкторские и технологические работы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rPr>
                <w:rFonts w:eastAsiaTheme="minorEastAsia"/>
              </w:rPr>
            </w:pPr>
            <w:r w:rsidRPr="00BB4B93">
              <w:rPr>
                <w:rFonts w:eastAsiaTheme="minorEastAsia"/>
              </w:rPr>
              <w:t>Выполнение научно-исследовательских, опытно-конструкторских и технологических работ</w:t>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11202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F42C9D">
        <w:tblPrEx>
          <w:tblCellMar>
            <w:top w:w="0" w:type="dxa"/>
            <w:bottom w:w="0" w:type="dxa"/>
          </w:tblCellMar>
        </w:tblPrEx>
        <w:trPr>
          <w:trHeight w:val="265"/>
        </w:trPr>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F42C9D" w:rsidRDefault="00F42C9D" w:rsidP="00F42C9D">
            <w:pPr>
              <w:jc w:val="both"/>
              <w:rPr>
                <w:rFonts w:eastAsiaTheme="minorEastAsia"/>
                <w:lang w:val="en-US"/>
              </w:rPr>
            </w:pPr>
            <w:r>
              <w:rPr>
                <w:rFonts w:eastAsiaTheme="minorEastAsia"/>
              </w:rPr>
              <w:t>Основные средства</w:t>
            </w:r>
            <w:r>
              <w:rPr>
                <w:rFonts w:eastAsiaTheme="minorEastAsia"/>
              </w:rPr>
              <w:tab/>
            </w:r>
            <w:r>
              <w:rPr>
                <w:rFonts w:eastAsiaTheme="minorEastAsia"/>
              </w:rPr>
              <w:tab/>
            </w:r>
            <w:r w:rsidR="00AA7EE0"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5</w:t>
            </w:r>
            <w:r w:rsidRPr="00BB4B93">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33 234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34 034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35 726</w:t>
            </w:r>
          </w:p>
        </w:tc>
      </w:tr>
      <w:tr w:rsidR="00AA7EE0" w:rsidRPr="00BB4B93" w:rsidTr="00F42C9D">
        <w:tblPrEx>
          <w:tblCellMar>
            <w:top w:w="0" w:type="dxa"/>
            <w:bottom w:w="0" w:type="dxa"/>
          </w:tblCellMar>
        </w:tblPrEx>
        <w:trPr>
          <w:trHeight w:val="315"/>
        </w:trPr>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F42C9D" w:rsidRDefault="00F42C9D" w:rsidP="00226FB4">
            <w:pPr>
              <w:jc w:val="both"/>
              <w:rPr>
                <w:rFonts w:eastAsiaTheme="minorEastAsia"/>
                <w:lang w:val="en-US"/>
              </w:rPr>
            </w:pPr>
            <w:r>
              <w:rPr>
                <w:rFonts w:eastAsiaTheme="minorEastAsia"/>
              </w:rPr>
              <w:t>в том числе:</w:t>
            </w:r>
            <w:r>
              <w:rPr>
                <w:rFonts w:eastAsiaTheme="minorEastAsia"/>
              </w:rPr>
              <w:tab/>
            </w:r>
            <w:r>
              <w:rPr>
                <w:rFonts w:eastAsiaTheme="minorEastAsia"/>
              </w:rPr>
              <w:tab/>
            </w:r>
            <w:r>
              <w:rPr>
                <w:rFonts w:eastAsiaTheme="minorEastAsia"/>
              </w:rPr>
              <w:tab/>
            </w:r>
            <w:r>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Основные средства в организации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5</w:t>
            </w:r>
            <w:r w:rsidRPr="00BB4B93">
              <w:rPr>
                <w:rFonts w:eastAsiaTheme="minorEastAsia"/>
              </w:rPr>
              <w:t>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33 234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34 034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35 726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6</w:t>
            </w:r>
            <w:r w:rsidRPr="00BB4B93">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7</w:t>
            </w:r>
            <w:r w:rsidRPr="00BB4B93">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8</w:t>
            </w:r>
            <w:r w:rsidRPr="00BB4B93">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575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487</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F42C9D">
            <w:pPr>
              <w:jc w:val="both"/>
              <w:rPr>
                <w:rFonts w:eastAsiaTheme="minorEastAsia"/>
              </w:rPr>
            </w:pPr>
            <w:r w:rsidRPr="00BB4B93">
              <w:rPr>
                <w:rFonts w:eastAsiaTheme="minorEastAsia"/>
              </w:rPr>
              <w:t>11</w:t>
            </w:r>
            <w:r w:rsidR="00F42C9D">
              <w:rPr>
                <w:rFonts w:eastAsiaTheme="minorEastAsia"/>
                <w:lang w:val="en-US"/>
              </w:rPr>
              <w:t>9</w:t>
            </w:r>
            <w:r w:rsidRPr="00BB4B93">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33 809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34 521</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35 726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514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380</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Материалы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514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380</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190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Брак в производстве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Товары отгруженные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Товары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Готовая продукция</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на продажу</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Выполненные этапы по незавершенным работам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Основное производство</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Полуфабрикаты собственного производства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12109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Вспомогательные производства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Обслуживающие производства и хозяйства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12111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НДС по приобретенным ОС</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12201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НДС по приобретенным НМА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12202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НДС по приобретенным материально-производственным запасам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12203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226FB4">
            <w:pPr>
              <w:jc w:val="both"/>
              <w:rPr>
                <w:rFonts w:eastAsiaTheme="minorEastAsia"/>
              </w:rPr>
            </w:pPr>
            <w:r w:rsidRPr="00BB4B93">
              <w:rPr>
                <w:rFonts w:eastAsiaTheme="minorEastAsia"/>
              </w:rPr>
              <w:t>Дебиторская задолженность</w:t>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9 702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8 389</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6 274</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567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774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529</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5 573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4 283</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3 898</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1 843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966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364</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по социальному страхованию и обеспечению</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подотчетными лицами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31</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персоналом по прочим операциям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по вкладам в уставный (складочный) капитал</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разными дебиторами и кредиторами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12308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1 712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2 291</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1 452</w:t>
            </w:r>
          </w:p>
        </w:tc>
      </w:tr>
      <w:tr w:rsidR="00AA7EE0" w:rsidRPr="00BB4B93" w:rsidTr="00226FB4">
        <w:tblPrEx>
          <w:tblCellMar>
            <w:top w:w="0" w:type="dxa"/>
            <w:bottom w:w="0" w:type="dxa"/>
          </w:tblCellMar>
        </w:tblPrEx>
        <w:trPr>
          <w:trHeight w:val="581"/>
        </w:trPr>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226FB4">
            <w:pPr>
              <w:jc w:val="both"/>
              <w:rPr>
                <w:rFonts w:eastAsiaTheme="minorEastAsia"/>
              </w:rPr>
            </w:pPr>
            <w:r w:rsidRPr="00BB4B93">
              <w:rPr>
                <w:rFonts w:eastAsiaTheme="minorEastAsia"/>
              </w:rPr>
              <w:t>Финансовые вложения (за исклю</w:t>
            </w:r>
            <w:r w:rsidR="00226FB4">
              <w:rPr>
                <w:rFonts w:eastAsiaTheme="minorEastAsia"/>
              </w:rPr>
              <w:t>чением денежных эквивалентов)</w:t>
            </w:r>
            <w:r w:rsidR="00226FB4">
              <w:rPr>
                <w:rFonts w:eastAsiaTheme="minorEastAsia"/>
              </w:rPr>
              <w:tab/>
            </w:r>
            <w:r w:rsidRPr="00BB4B93">
              <w:rPr>
                <w:rFonts w:eastAsiaTheme="minorEastAsia"/>
              </w:rPr>
              <w:tab/>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Акции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Долговые ценные бумаги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Предоставленные займы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Вклады по договору простого товарищества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Приобретенные права в рамках оказания финансовых услуг</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Депозитные счета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Депозитные счета (в валюте)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12407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226FB4">
            <w:pPr>
              <w:jc w:val="both"/>
              <w:rPr>
                <w:rFonts w:eastAsiaTheme="minorEastAsia"/>
              </w:rPr>
            </w:pPr>
            <w:r w:rsidRPr="00BB4B93">
              <w:rPr>
                <w:rFonts w:eastAsiaTheme="minorEastAsia"/>
              </w:rPr>
              <w:t>Денежные средства и денежные эквиваленты</w:t>
            </w:r>
            <w:r w:rsidRPr="00BB4B93">
              <w:rPr>
                <w:rFonts w:eastAsiaTheme="minorEastAsia"/>
              </w:rPr>
              <w:tab/>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253 945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240 036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213 445</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Касса организации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Операционная касса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Касса организации (в валюте)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Расчетные счета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1 545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27 636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180 445</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Валютные счета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Аккредитивы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Чековые книжки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специальные счета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Аккредитивы (в валюте)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12509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специальные счета (в валюте)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Переводы в пути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12511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12512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252 400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212 400</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33 000</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226FB4">
            <w:pPr>
              <w:jc w:val="both"/>
              <w:rPr>
                <w:rFonts w:eastAsiaTheme="minorEastAsia"/>
              </w:rPr>
            </w:pPr>
            <w:r w:rsidRPr="00BB4B93">
              <w:rPr>
                <w:rFonts w:eastAsiaTheme="minorEastAsia"/>
              </w:rPr>
              <w:t>Прочие оборотные активы</w:t>
            </w:r>
            <w:r w:rsidRPr="00BB4B93">
              <w:rPr>
                <w:rFonts w:eastAsiaTheme="minorEastAsia"/>
              </w:rPr>
              <w:tab/>
            </w:r>
            <w:r w:rsidRPr="00BB4B93">
              <w:rPr>
                <w:rFonts w:eastAsiaTheme="minorEastAsia"/>
              </w:rPr>
              <w:tab/>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1 772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1 551</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1 808</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Акцизы по оплаченным материальным ценностям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документы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Денежные документы (в валюте)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НДС по авансам и переплатам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1 405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1 524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1 233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367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27</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575</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Недостачи и потери от порчи ценностей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Резервы предстоящих расходов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12607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265 933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250 356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221 717</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299 742</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284 877</w:t>
            </w:r>
          </w:p>
        </w:tc>
        <w:tc>
          <w:tcPr>
            <w:tcW w:w="134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257 443</w:t>
            </w:r>
          </w:p>
        </w:tc>
      </w:tr>
    </w:tbl>
    <w:p w:rsidR="00AA7EE0" w:rsidRDefault="00AA7EE0" w:rsidP="00BB4B93">
      <w:pPr>
        <w:jc w:val="both"/>
      </w:pPr>
    </w:p>
    <w:p w:rsidR="00AA7EE0" w:rsidRDefault="00AA7EE0" w:rsidP="00BB4B93">
      <w:pPr>
        <w:pStyle w:val="ThinDelim"/>
        <w:jc w:val="both"/>
      </w:pPr>
    </w:p>
    <w:tbl>
      <w:tblPr>
        <w:tblW w:w="0" w:type="auto"/>
        <w:tblLayout w:type="fixed"/>
        <w:tblCellMar>
          <w:left w:w="72" w:type="dxa"/>
          <w:right w:w="72" w:type="dxa"/>
        </w:tblCellMar>
        <w:tblLook w:val="0000"/>
      </w:tblPr>
      <w:tblGrid>
        <w:gridCol w:w="792"/>
        <w:gridCol w:w="3840"/>
        <w:gridCol w:w="720"/>
        <w:gridCol w:w="1280"/>
        <w:gridCol w:w="1280"/>
        <w:gridCol w:w="1340"/>
      </w:tblGrid>
      <w:tr w:rsidR="00AA7EE0" w:rsidRPr="00BB4B93">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31.03.2012 г.</w:t>
            </w:r>
          </w:p>
        </w:tc>
        <w:tc>
          <w:tcPr>
            <w:tcW w:w="128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 31.12.2011 г.</w:t>
            </w:r>
          </w:p>
        </w:tc>
        <w:tc>
          <w:tcPr>
            <w:tcW w:w="134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На 31.12.2010 г.</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250 804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250 804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249 971</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Резервы, образованные в соответствии с законодательством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13601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Резервы, образованные в соответствии с учредительными документами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13602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24 354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15 829</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-11 354</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275 158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266 633</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238 617</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21 710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15 810</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18 826</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5 399</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759</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6 772</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15202</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9 214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9 956</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8 083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4 525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5 082</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3 968</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по социальному страхованию и обеспечению</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727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персоналом по оплате труда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15205</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1 757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w:t>
            </w: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подотчетными лицами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15206</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Задолженность участникам (учредителям) по выплате доходов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15207</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Расчеты с разными дебиторами и кредиторами</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15208</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31</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2 874</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2 434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24 583</w:t>
            </w:r>
          </w:p>
        </w:tc>
        <w:tc>
          <w:tcPr>
            <w:tcW w:w="12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18 244</w:t>
            </w:r>
          </w:p>
        </w:tc>
        <w:tc>
          <w:tcPr>
            <w:tcW w:w="134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18 826</w:t>
            </w:r>
          </w:p>
        </w:tc>
      </w:tr>
      <w:tr w:rsidR="00AA7EE0" w:rsidRPr="00BB4B93">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299 742</w:t>
            </w:r>
          </w:p>
        </w:tc>
        <w:tc>
          <w:tcPr>
            <w:tcW w:w="128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284 877</w:t>
            </w:r>
          </w:p>
        </w:tc>
        <w:tc>
          <w:tcPr>
            <w:tcW w:w="134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257 443</w:t>
            </w:r>
          </w:p>
        </w:tc>
      </w:tr>
    </w:tbl>
    <w:p w:rsidR="00AA7EE0" w:rsidRDefault="00AA7EE0" w:rsidP="00BB4B93">
      <w:pPr>
        <w:jc w:val="both"/>
      </w:pPr>
    </w:p>
    <w:p w:rsidR="00AA7EE0" w:rsidRDefault="00AA7EE0" w:rsidP="00BB4B93">
      <w:pPr>
        <w:jc w:val="both"/>
      </w:pP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tab/>
      </w:r>
      <w:r>
        <w:rPr>
          <w:rStyle w:val="Subst"/>
          <w:bCs/>
          <w:iCs/>
        </w:rPr>
        <w:br/>
      </w:r>
    </w:p>
    <w:p w:rsidR="00AA7EE0" w:rsidRDefault="00AA7EE0" w:rsidP="00226FB4">
      <w:pPr>
        <w:pStyle w:val="SubHeading"/>
        <w:jc w:val="center"/>
        <w:rPr>
          <w:b/>
          <w:bCs/>
        </w:rPr>
      </w:pPr>
      <w:r>
        <w:br w:type="page"/>
      </w:r>
      <w:r>
        <w:rPr>
          <w:b/>
          <w:bCs/>
        </w:rPr>
        <w:lastRenderedPageBreak/>
        <w:t>Отчет о прибылях и убытках</w:t>
      </w:r>
      <w:r>
        <w:rPr>
          <w:b/>
          <w:bCs/>
        </w:rPr>
        <w:br/>
        <w:t>за 3 месяца 2012 г.</w:t>
      </w:r>
    </w:p>
    <w:tbl>
      <w:tblPr>
        <w:tblW w:w="0" w:type="auto"/>
        <w:tblLayout w:type="fixed"/>
        <w:tblCellMar>
          <w:left w:w="72" w:type="dxa"/>
          <w:right w:w="72" w:type="dxa"/>
        </w:tblCellMar>
        <w:tblLook w:val="0000"/>
      </w:tblPr>
      <w:tblGrid>
        <w:gridCol w:w="6112"/>
        <w:gridCol w:w="1560"/>
        <w:gridCol w:w="1580"/>
      </w:tblGrid>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Коды</w:t>
            </w:r>
          </w:p>
        </w:tc>
      </w:tr>
      <w:tr w:rsidR="00AA7EE0" w:rsidRPr="00BB4B93">
        <w:tblPrEx>
          <w:tblCellMar>
            <w:top w:w="0" w:type="dxa"/>
            <w:bottom w:w="0" w:type="dxa"/>
          </w:tblCellMar>
        </w:tblPrEx>
        <w:tc>
          <w:tcPr>
            <w:tcW w:w="7672" w:type="dxa"/>
            <w:gridSpan w:val="2"/>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0710002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31.03.2012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Организация:</w:t>
            </w:r>
            <w:r w:rsidRPr="00BB4B93">
              <w:rPr>
                <w:rFonts w:eastAsiaTheme="minorEastAsia"/>
                <w:b/>
                <w:bCs/>
              </w:rPr>
              <w:t xml:space="preserve"> Открытое акционерное общество "РН-Влакра"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86421646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Идентификационный номер налогоплательщика</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7725636702</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Вид деятельности</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70.20</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Организационно-правовая форма / форма собственности:</w:t>
            </w:r>
            <w:r w:rsidRPr="00BB4B93">
              <w:rPr>
                <w:rFonts w:eastAsiaTheme="minorEastAsia"/>
                <w:b/>
                <w:bCs/>
              </w:rPr>
              <w:t xml:space="preserve"> открытое акционерное общество</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47 / 16</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Единица измерения:</w:t>
            </w:r>
            <w:r w:rsidRPr="00BB4B93">
              <w:rPr>
                <w:rFonts w:eastAsiaTheme="minorEastAsia"/>
                <w:b/>
                <w:bCs/>
              </w:rPr>
              <w:t xml:space="preserve"> тыс. руб.</w:t>
            </w:r>
          </w:p>
        </w:tc>
        <w:tc>
          <w:tcPr>
            <w:tcW w:w="1560" w:type="dxa"/>
            <w:tcBorders>
              <w:top w:val="nil"/>
              <w:left w:val="nil"/>
              <w:bottom w:val="nil"/>
              <w:right w:val="nil"/>
            </w:tcBorders>
          </w:tcPr>
          <w:p w:rsidR="00AA7EE0" w:rsidRPr="00BB4B93" w:rsidRDefault="00AA7EE0" w:rsidP="00BB4B93">
            <w:pPr>
              <w:jc w:val="both"/>
              <w:rPr>
                <w:rFonts w:eastAsiaTheme="minorEastAsia"/>
              </w:rPr>
            </w:pPr>
            <w:r w:rsidRPr="00BB4B93">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b/>
                <w:bCs/>
              </w:rPr>
            </w:pPr>
            <w:r w:rsidRPr="00BB4B93">
              <w:rPr>
                <w:rFonts w:eastAsiaTheme="minorEastAsia"/>
                <w:b/>
                <w:bCs/>
              </w:rPr>
              <w:t>384</w:t>
            </w:r>
          </w:p>
        </w:tc>
      </w:tr>
      <w:tr w:rsidR="00AA7EE0" w:rsidRPr="00BB4B93">
        <w:tblPrEx>
          <w:tblCellMar>
            <w:top w:w="0" w:type="dxa"/>
            <w:bottom w:w="0" w:type="dxa"/>
          </w:tblCellMar>
        </w:tblPrEx>
        <w:tc>
          <w:tcPr>
            <w:tcW w:w="6112" w:type="dxa"/>
            <w:tcBorders>
              <w:top w:val="nil"/>
              <w:left w:val="nil"/>
              <w:bottom w:val="nil"/>
              <w:right w:val="nil"/>
            </w:tcBorders>
          </w:tcPr>
          <w:p w:rsidR="00AA7EE0" w:rsidRPr="00BB4B93" w:rsidRDefault="00AA7EE0" w:rsidP="00BB4B93">
            <w:pPr>
              <w:jc w:val="both"/>
              <w:rPr>
                <w:rFonts w:eastAsiaTheme="minorEastAsia"/>
                <w:b/>
                <w:bCs/>
              </w:rPr>
            </w:pPr>
            <w:r w:rsidRPr="00BB4B93">
              <w:rPr>
                <w:rFonts w:eastAsiaTheme="minorEastAsia"/>
              </w:rPr>
              <w:t>Местонахождение (адрес):</w:t>
            </w:r>
            <w:r w:rsidRPr="00BB4B93">
              <w:rPr>
                <w:rFonts w:eastAsiaTheme="minorEastAsia"/>
                <w:b/>
                <w:bCs/>
              </w:rPr>
              <w:t xml:space="preserve"> 119071 Россия, Москва, Малая Калужская 15 стр. 1</w:t>
            </w:r>
          </w:p>
        </w:tc>
        <w:tc>
          <w:tcPr>
            <w:tcW w:w="1560" w:type="dxa"/>
            <w:tcBorders>
              <w:top w:val="nil"/>
              <w:left w:val="nil"/>
              <w:bottom w:val="nil"/>
              <w:right w:val="nil"/>
            </w:tcBorders>
          </w:tcPr>
          <w:p w:rsidR="00AA7EE0" w:rsidRPr="00BB4B93" w:rsidRDefault="00AA7EE0" w:rsidP="00BB4B93">
            <w:pPr>
              <w:jc w:val="both"/>
              <w:rPr>
                <w:rFonts w:eastAsiaTheme="minorEastAsia"/>
              </w:rPr>
            </w:pPr>
          </w:p>
        </w:tc>
        <w:tc>
          <w:tcPr>
            <w:tcW w:w="1580" w:type="dxa"/>
            <w:tcBorders>
              <w:top w:val="nil"/>
              <w:left w:val="nil"/>
              <w:bottom w:val="nil"/>
              <w:right w:val="nil"/>
            </w:tcBorders>
          </w:tcPr>
          <w:p w:rsidR="00AA7EE0" w:rsidRPr="00BB4B93" w:rsidRDefault="00AA7EE0" w:rsidP="00BB4B93">
            <w:pPr>
              <w:jc w:val="both"/>
              <w:rPr>
                <w:rFonts w:eastAsiaTheme="minorEastAsia"/>
              </w:rPr>
            </w:pPr>
          </w:p>
        </w:tc>
      </w:tr>
    </w:tbl>
    <w:p w:rsidR="00AA7EE0" w:rsidRDefault="00AA7EE0" w:rsidP="00BB4B93">
      <w:pPr>
        <w:pStyle w:val="ThinDelim"/>
        <w:jc w:val="both"/>
      </w:pPr>
    </w:p>
    <w:tbl>
      <w:tblPr>
        <w:tblW w:w="0" w:type="auto"/>
        <w:tblLayout w:type="fixed"/>
        <w:tblCellMar>
          <w:left w:w="72" w:type="dxa"/>
          <w:right w:w="72" w:type="dxa"/>
        </w:tblCellMar>
        <w:tblLook w:val="0000"/>
      </w:tblPr>
      <w:tblGrid>
        <w:gridCol w:w="712"/>
        <w:gridCol w:w="4889"/>
        <w:gridCol w:w="850"/>
        <w:gridCol w:w="1360"/>
        <w:gridCol w:w="1400"/>
      </w:tblGrid>
      <w:tr w:rsidR="00AA7EE0" w:rsidRPr="00BB4B93" w:rsidTr="00226FB4">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Пояснения</w:t>
            </w:r>
          </w:p>
        </w:tc>
        <w:tc>
          <w:tcPr>
            <w:tcW w:w="4889"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Наименование показателя</w:t>
            </w:r>
          </w:p>
        </w:tc>
        <w:tc>
          <w:tcPr>
            <w:tcW w:w="85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За  3 мес.2012 г.</w:t>
            </w:r>
          </w:p>
        </w:tc>
        <w:tc>
          <w:tcPr>
            <w:tcW w:w="140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За  3 мес.2011 г.</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w:t>
            </w: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5</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Выручка</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30 361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31 099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21101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30 361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31 099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21102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Себестоимость продаж</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-17 681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-23 249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21201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-17 681</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-23 249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21202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Валовая прибыль (убыток)</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12 680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7 850</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21001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12 680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7 850</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21002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Коммерческие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Управленческие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-3 746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-6 292</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22201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-3 746</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-6 292</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22202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Прибыль (убыток) от продаж</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8 934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1 558</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22001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8 934</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1 558</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22002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Доходы от участия в других организациях</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к получению</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2 153</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1 709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к получению</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23201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2 153</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1 709</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по государственным ценным бумагам</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23202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по государственным ценным бумагам по ставке 0%</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23203</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Проценты к уплате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доходы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-225</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 участием в российских организациях</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 участием в иностранных организациях</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 реализацией основных средств</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23503</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 реализацией нематериальных активов</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23504</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 реализацией прочего имущества</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23505</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связанный с реализацией права требования как оказания финансовых услуг</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23506</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по операциям с финансовыми инструментами срочных сделок, обращающимися на организованном рынке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23507</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связанные со сдачей имущества в аренду (субаренду)</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23508</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Отчисление в оценочные резервы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23509</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на услуги банков</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операционные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-185</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-205</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Штрафы, пени, неустойки к получению</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Убыток прошлых лет</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23513</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Курсовые разницы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23514</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Расходы в виде списанной дебиторской задолженности</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23515</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внереализационные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23516</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-15</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-20</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Прочие косвенные расходы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23517</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Прибыль (убыток) до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10 887</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3 042</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том числе: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деятельности с основной системой налогообложения</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23001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10 887</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3 042</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по отдельным видам деятельности (ЕНВД)</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23002</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Текущий налог на прибыль</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-2 450</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-1 084</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в т.ч. постоянные налоговые обязательства (активы)</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185</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476</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отложенных налоговых обязательств</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Изменение отложенных налоговых активов</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88</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Прочее</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Чистая прибыль (убыток)</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8 525</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1 958</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СПРАВОЧНО:</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Результат от переоценки внеоборотных активов, не включаемый в чистую прибыль (убыток) периода</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Результат от прочих операций, не включаемый в чистую прибыль (убыток) периода</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Совокупный финансовый результат периода</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8 525</w:t>
            </w: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1 958</w:t>
            </w: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Базовая прибыль (убыток) на акцию</w:t>
            </w:r>
          </w:p>
        </w:tc>
        <w:tc>
          <w:tcPr>
            <w:tcW w:w="85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p>
        </w:tc>
      </w:tr>
      <w:tr w:rsidR="00AA7EE0" w:rsidRPr="00BB4B93" w:rsidTr="00226FB4">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4889"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Разводненная прибыль (убыток) на акцию</w:t>
            </w:r>
          </w:p>
        </w:tc>
        <w:tc>
          <w:tcPr>
            <w:tcW w:w="85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AA7EE0" w:rsidRPr="00BB4B93" w:rsidRDefault="00AA7EE0" w:rsidP="00BB4B93">
            <w:pPr>
              <w:jc w:val="both"/>
              <w:rPr>
                <w:rFonts w:eastAsiaTheme="minorEastAsia"/>
              </w:rPr>
            </w:pPr>
          </w:p>
        </w:tc>
        <w:tc>
          <w:tcPr>
            <w:tcW w:w="140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p>
        </w:tc>
      </w:tr>
    </w:tbl>
    <w:p w:rsidR="00AA7EE0" w:rsidRDefault="00AA7EE0" w:rsidP="00BB4B93">
      <w:pPr>
        <w:pStyle w:val="2"/>
        <w:jc w:val="both"/>
      </w:pPr>
      <w:bookmarkStart w:id="77" w:name="_Toc324431789"/>
      <w:r>
        <w:lastRenderedPageBreak/>
        <w:t>7.3. Сводная бухгалтерская отчетность эмитента за последний завершенный финансовый год</w:t>
      </w:r>
      <w:bookmarkEnd w:id="77"/>
    </w:p>
    <w:p w:rsidR="00AA7EE0" w:rsidRDefault="00AA7EE0" w:rsidP="00BB4B93">
      <w:pPr>
        <w:jc w:val="both"/>
      </w:pPr>
      <w:r>
        <w:t>Не указывается в данном отчетном квартале</w:t>
      </w:r>
    </w:p>
    <w:p w:rsidR="00AA7EE0" w:rsidRDefault="00AA7EE0" w:rsidP="00BB4B93">
      <w:pPr>
        <w:pStyle w:val="2"/>
        <w:jc w:val="both"/>
      </w:pPr>
      <w:bookmarkStart w:id="78" w:name="_Toc324431790"/>
      <w:r>
        <w:t>7.4. Сведения об учетной политике эмитента</w:t>
      </w:r>
      <w:bookmarkEnd w:id="78"/>
    </w:p>
    <w:p w:rsidR="00AA7EE0" w:rsidRDefault="00AA7EE0" w:rsidP="00BB4B93">
      <w:pPr>
        <w:spacing w:before="30" w:after="120"/>
        <w:ind w:left="17"/>
        <w:jc w:val="both"/>
      </w:pPr>
      <w:r>
        <w:t>Учетная политика, принятая на 2011 г., действует в 2012 г.</w:t>
      </w:r>
    </w:p>
    <w:p w:rsidR="00AA7EE0" w:rsidRDefault="00AA7EE0" w:rsidP="00BB4B93">
      <w:pPr>
        <w:spacing w:before="30" w:after="120"/>
        <w:ind w:left="17"/>
        <w:jc w:val="both"/>
      </w:pPr>
    </w:p>
    <w:tbl>
      <w:tblPr>
        <w:tblW w:w="0" w:type="auto"/>
        <w:tblLayout w:type="fixed"/>
        <w:tblCellMar>
          <w:left w:w="0" w:type="dxa"/>
          <w:right w:w="0" w:type="dxa"/>
        </w:tblCellMar>
        <w:tblLook w:val="0000"/>
      </w:tblPr>
      <w:tblGrid>
        <w:gridCol w:w="4717"/>
        <w:gridCol w:w="4950"/>
      </w:tblGrid>
      <w:tr w:rsidR="00AA7EE0" w:rsidRPr="00226FB4">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Об утверждении Положения об учетной политике для целей налогообложения на 2011 год</w:t>
            </w:r>
          </w:p>
        </w:tc>
        <w:tc>
          <w:tcPr>
            <w:tcW w:w="4950" w:type="dxa"/>
            <w:tcBorders>
              <w:top w:val="nil"/>
              <w:left w:val="nil"/>
              <w:bottom w:val="nil"/>
              <w:right w:val="nil"/>
            </w:tcBorders>
            <w:vAlign w:val="bottom"/>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 xml:space="preserve">                        «31» декабря 2010 г.</w:t>
            </w:r>
          </w:p>
        </w:tc>
      </w:tr>
      <w:tr w:rsidR="00AA7EE0" w:rsidRPr="00226FB4">
        <w:tblPrEx>
          <w:tblCellMar>
            <w:top w:w="0" w:type="dxa"/>
            <w:left w:w="0" w:type="dxa"/>
            <w:bottom w:w="0" w:type="dxa"/>
            <w:right w:w="0" w:type="dxa"/>
          </w:tblCellMar>
        </w:tblPrEx>
        <w:trPr>
          <w:trHeight w:val="276"/>
        </w:trPr>
        <w:tc>
          <w:tcPr>
            <w:tcW w:w="9667" w:type="dxa"/>
            <w:gridSpan w:val="2"/>
            <w:tcBorders>
              <w:top w:val="nil"/>
              <w:left w:val="nil"/>
              <w:bottom w:val="nil"/>
              <w:right w:val="nil"/>
            </w:tcBorders>
          </w:tcPr>
          <w:p w:rsidR="00AA7EE0" w:rsidRPr="00226FB4" w:rsidRDefault="00AA7EE0" w:rsidP="00F42C9D">
            <w:pPr>
              <w:spacing w:before="3015" w:after="0"/>
              <w:jc w:val="center"/>
              <w:rPr>
                <w:rFonts w:eastAsiaTheme="minorEastAsia"/>
                <w:sz w:val="22"/>
                <w:szCs w:val="22"/>
              </w:rPr>
            </w:pPr>
            <w:r w:rsidRPr="00226FB4">
              <w:rPr>
                <w:rFonts w:eastAsiaTheme="minorEastAsia"/>
                <w:b/>
                <w:bCs/>
                <w:sz w:val="22"/>
                <w:szCs w:val="22"/>
              </w:rPr>
              <w:t>ПРИКАЗ № б/н</w:t>
            </w:r>
          </w:p>
        </w:tc>
      </w:tr>
      <w:tr w:rsidR="00AA7EE0" w:rsidRPr="00226FB4">
        <w:tblPrEx>
          <w:tblCellMar>
            <w:top w:w="0" w:type="dxa"/>
            <w:left w:w="0" w:type="dxa"/>
            <w:bottom w:w="0" w:type="dxa"/>
            <w:right w:w="0" w:type="dxa"/>
          </w:tblCellMar>
        </w:tblPrEx>
        <w:trPr>
          <w:trHeight w:val="741"/>
        </w:trPr>
        <w:tc>
          <w:tcPr>
            <w:tcW w:w="9667" w:type="dxa"/>
            <w:gridSpan w:val="2"/>
            <w:tcBorders>
              <w:top w:val="nil"/>
              <w:left w:val="nil"/>
              <w:bottom w:val="nil"/>
              <w:right w:val="nil"/>
            </w:tcBorders>
          </w:tcPr>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В соответствии с Налоговым кодексом РФ и иными актами законодательства о налогах и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сборах ПРИКАЗЫВАЮ:</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утвердить Положение об учетной политике для целей налогообложения на 2011 год согласно</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 приложению к настоящему приказу.</w:t>
            </w: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tc>
      </w:tr>
      <w:tr w:rsidR="00AA7EE0" w:rsidRPr="00226FB4">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Генеральный директор</w:t>
            </w:r>
          </w:p>
        </w:tc>
        <w:tc>
          <w:tcPr>
            <w:tcW w:w="4950"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________________    / Дзюбан М.В./</w:t>
            </w:r>
          </w:p>
        </w:tc>
      </w:tr>
    </w:tbl>
    <w:p w:rsidR="00AA7EE0" w:rsidRPr="00226FB4" w:rsidRDefault="00AA7EE0" w:rsidP="00BB4B93">
      <w:pPr>
        <w:spacing w:before="0" w:after="0"/>
        <w:jc w:val="both"/>
        <w:rPr>
          <w:sz w:val="22"/>
          <w:szCs w:val="22"/>
        </w:rPr>
        <w:sectPr w:rsidR="00AA7EE0" w:rsidRPr="00226FB4" w:rsidSect="00BB4B93">
          <w:footerReference w:type="default" r:id="rId15"/>
          <w:pgSz w:w="11907" w:h="16441"/>
          <w:pgMar w:top="851" w:right="851" w:bottom="851" w:left="1418" w:header="720" w:footer="720" w:gutter="0"/>
          <w:cols w:space="720"/>
          <w:noEndnote/>
        </w:sectPr>
      </w:pPr>
      <w:r w:rsidRPr="00226FB4">
        <w:rPr>
          <w:sz w:val="22"/>
          <w:szCs w:val="22"/>
        </w:rPr>
        <w:t>ОАО «РН-Влакра»</w:t>
      </w:r>
    </w:p>
    <w:tbl>
      <w:tblPr>
        <w:tblW w:w="0" w:type="auto"/>
        <w:tblLayout w:type="fixed"/>
        <w:tblCellMar>
          <w:left w:w="0" w:type="dxa"/>
          <w:right w:w="0" w:type="dxa"/>
        </w:tblCellMar>
        <w:tblLook w:val="0000"/>
      </w:tblPr>
      <w:tblGrid>
        <w:gridCol w:w="448"/>
        <w:gridCol w:w="9214"/>
      </w:tblGrid>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0" w:after="0"/>
              <w:ind w:left="5863"/>
              <w:jc w:val="both"/>
              <w:rPr>
                <w:rFonts w:eastAsiaTheme="minorEastAsia"/>
                <w:sz w:val="22"/>
                <w:szCs w:val="22"/>
              </w:rPr>
            </w:pPr>
            <w:r w:rsidRPr="00226FB4">
              <w:rPr>
                <w:rFonts w:eastAsiaTheme="minorEastAsia"/>
                <w:sz w:val="22"/>
                <w:szCs w:val="22"/>
              </w:rPr>
              <w:t>ПРИЛОЖЕНИЕ</w:t>
            </w:r>
            <w:r w:rsidRPr="00226FB4">
              <w:rPr>
                <w:rFonts w:eastAsiaTheme="minorEastAsia"/>
                <w:sz w:val="22"/>
                <w:szCs w:val="22"/>
              </w:rPr>
              <w:br/>
              <w:t xml:space="preserve">к приказу № б/н </w:t>
            </w:r>
            <w:r w:rsidRPr="00226FB4">
              <w:rPr>
                <w:rFonts w:eastAsiaTheme="minorEastAsia"/>
                <w:sz w:val="22"/>
                <w:szCs w:val="22"/>
              </w:rPr>
              <w:br/>
              <w:t>«Об утверждении Положения об учетной политике для целей налогообложения на 2011 год»</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615" w:after="120"/>
              <w:ind w:left="6"/>
              <w:jc w:val="both"/>
              <w:rPr>
                <w:rFonts w:eastAsiaTheme="minorEastAsia"/>
                <w:sz w:val="22"/>
                <w:szCs w:val="22"/>
              </w:rPr>
            </w:pPr>
            <w:r w:rsidRPr="00226FB4">
              <w:rPr>
                <w:rFonts w:eastAsiaTheme="minorEastAsia"/>
                <w:b/>
                <w:bCs/>
                <w:sz w:val="22"/>
                <w:szCs w:val="22"/>
              </w:rPr>
              <w:t>Положение об учетной политике для целей налогообложения на 2011 год</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480" w:after="120"/>
              <w:ind w:left="17"/>
              <w:jc w:val="both"/>
              <w:rPr>
                <w:rFonts w:eastAsiaTheme="minorEastAsia"/>
                <w:sz w:val="22"/>
                <w:szCs w:val="22"/>
              </w:rPr>
            </w:pPr>
            <w:r w:rsidRPr="00226FB4">
              <w:rPr>
                <w:rFonts w:eastAsiaTheme="minorEastAsia"/>
                <w:b/>
                <w:bCs/>
                <w:sz w:val="22"/>
                <w:szCs w:val="22"/>
              </w:rPr>
              <w:t>ОБЩИЕ ПОЛОЖЕНИЯ</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w:t>
            </w:r>
          </w:p>
        </w:tc>
        <w:tc>
          <w:tcPr>
            <w:tcW w:w="9214"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При начале осуществления новых видов деятельности организация обязана определить и прописать в учетной политике для целей налогообложения принципы и порядок отражения для целей налогообложения этих видов деятельности.</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w:t>
            </w:r>
          </w:p>
        </w:tc>
        <w:tc>
          <w:tcPr>
            <w:tcW w:w="9214"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Под налоговым учетом понимается система обобщения информации для определения налоговой базы по определенному налогу на основе данных первичных документов, сгруппированных в соответствии с порядком, предусмотренным соответствующей главой Налогового кодекса РФ и (или) иным актом законодательства о налогах и сборах, определяющим порядок исчисления конкретного налога.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w:t>
            </w:r>
          </w:p>
        </w:tc>
        <w:tc>
          <w:tcPr>
            <w:tcW w:w="9214"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Настоящая учетная политика является документом, отражающим специфику способов ведения налогового учета и (или) исчисления налога и (или) уплаты налога в случаях, когда:</w:t>
            </w:r>
            <w:r w:rsidRPr="00226FB4">
              <w:rPr>
                <w:rFonts w:eastAsiaTheme="minorEastAsia"/>
                <w:sz w:val="22"/>
                <w:szCs w:val="22"/>
              </w:rPr>
              <w:br/>
              <w:t>1) налоговое законодательство содержит положения, позволяющие делать выбор из нескольких вариантов, предусмотренных законодательством и (или) прямо не предусмотренных законодательством, но не противоречащих ему;</w:t>
            </w:r>
            <w:r w:rsidRPr="00226FB4">
              <w:rPr>
                <w:rFonts w:eastAsiaTheme="minorEastAsia"/>
                <w:sz w:val="22"/>
                <w:szCs w:val="22"/>
              </w:rPr>
              <w:br/>
              <w:t>2) налоговое законодательство содержит лишь общие положения, но не содержит конкретных способов ведения налогового учета или порядка исчисления и (или) уплаты налога;</w:t>
            </w:r>
            <w:r w:rsidRPr="00226FB4">
              <w:rPr>
                <w:rFonts w:eastAsiaTheme="minorEastAsia"/>
                <w:sz w:val="22"/>
                <w:szCs w:val="22"/>
              </w:rPr>
              <w:br/>
              <w:t>3) налоговое законодательство содержит неясные или неоднозначные или противоречивые нормы или неустранимые сомнения;</w:t>
            </w:r>
            <w:r w:rsidRPr="00226FB4">
              <w:rPr>
                <w:rFonts w:eastAsiaTheme="minorEastAsia"/>
                <w:sz w:val="22"/>
                <w:szCs w:val="22"/>
              </w:rPr>
              <w:br/>
              <w:t>4) налоговое законодательство любым иным образом делает возможным (или не запрещает) применение налогоплательщиком способов учета, установленных учетной политикой.</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w:t>
            </w:r>
          </w:p>
        </w:tc>
        <w:tc>
          <w:tcPr>
            <w:tcW w:w="9214"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Настоящий документ разработан в соответствии с общими положениями об основных началах законодательства о налогах и сборах, установленными частью первой Налогового кодекса РФ, и на основании иных актов действующего законодательства.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5.</w:t>
            </w:r>
          </w:p>
        </w:tc>
        <w:tc>
          <w:tcPr>
            <w:tcW w:w="9214" w:type="dxa"/>
            <w:tcBorders>
              <w:top w:val="nil"/>
              <w:left w:val="nil"/>
              <w:bottom w:val="nil"/>
              <w:right w:val="nil"/>
            </w:tcBorders>
          </w:tcPr>
          <w:p w:rsidR="00AA7EE0" w:rsidRPr="00037586" w:rsidRDefault="00AA7EE0" w:rsidP="00037586">
            <w:pPr>
              <w:spacing w:before="15" w:after="120"/>
              <w:ind w:left="17"/>
              <w:jc w:val="both"/>
              <w:rPr>
                <w:rFonts w:eastAsiaTheme="minorEastAsia"/>
                <w:sz w:val="22"/>
                <w:szCs w:val="22"/>
                <w:lang w:val="en-US"/>
              </w:rPr>
            </w:pPr>
            <w:r w:rsidRPr="00226FB4">
              <w:rPr>
                <w:rFonts w:eastAsiaTheme="minorEastAsia"/>
                <w:sz w:val="22"/>
                <w:szCs w:val="22"/>
              </w:rPr>
              <w:t>Правила ведения налогового учета, определенные в учетной политике для целей налогообложения, остаются неизменными в течение всего налогового периода. Исключением могут быть лишь те ситуации, когда внесение изменений в порядок ведения налогового учета допускается Налоговым кодексом РФ. Любые изменения и дополнения в настоящую учетную политику вносятся приказом по организации и доводятся до всех подразделений организации, задействованных в формировании налогового учета.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480" w:after="120"/>
              <w:ind w:left="17"/>
              <w:jc w:val="both"/>
              <w:rPr>
                <w:rFonts w:eastAsiaTheme="minorEastAsia"/>
                <w:sz w:val="22"/>
                <w:szCs w:val="22"/>
              </w:rPr>
            </w:pPr>
            <w:r w:rsidRPr="00226FB4">
              <w:rPr>
                <w:rFonts w:eastAsiaTheme="minorEastAsia"/>
                <w:b/>
                <w:bCs/>
                <w:sz w:val="22"/>
                <w:szCs w:val="22"/>
              </w:rPr>
              <w:t>Учетная политика по налогу на прибыль</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амортизируемого имущества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начисления амортизации</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6.</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 составе амортизируемого имущества учитываются объекты, соответствующие требованиям статей 256 и 257 Налогового кодекса РФ, срок эксплуатации которых превышает 12 месяцев. Объекты, вводимые в эксплуатацию в 2011 году, учитываются в качестве амортизируемого имущества, если их первоначальная стоимость превышает 40 000 рублей.</w:t>
            </w:r>
            <w:r w:rsidRPr="00226FB4">
              <w:rPr>
                <w:rFonts w:eastAsiaTheme="minorEastAsia"/>
                <w:sz w:val="22"/>
                <w:szCs w:val="22"/>
              </w:rPr>
              <w:br/>
            </w:r>
            <w:r w:rsidRPr="00226FB4">
              <w:rPr>
                <w:rFonts w:eastAsiaTheme="minorEastAsia"/>
                <w:i/>
                <w:iCs/>
                <w:sz w:val="22"/>
                <w:szCs w:val="22"/>
              </w:rPr>
              <w:t>Основание: статья 257 Налогового кодекса РФ</w:t>
            </w:r>
            <w:r w:rsidRPr="00226FB4">
              <w:rPr>
                <w:rFonts w:eastAsiaTheme="minorEastAsia"/>
                <w:sz w:val="22"/>
                <w:szCs w:val="22"/>
              </w:rPr>
              <w:br/>
              <w:t xml:space="preserve">Для начисления амортизации по всем основным средствам используется линейный метод. </w:t>
            </w:r>
            <w:r w:rsidRPr="00226FB4">
              <w:rPr>
                <w:rFonts w:eastAsiaTheme="minorEastAsia"/>
                <w:sz w:val="22"/>
                <w:szCs w:val="22"/>
              </w:rPr>
              <w:br/>
            </w:r>
            <w:r w:rsidRPr="00226FB4">
              <w:rPr>
                <w:rFonts w:eastAsiaTheme="minorEastAsia"/>
                <w:i/>
                <w:iCs/>
                <w:sz w:val="22"/>
                <w:szCs w:val="22"/>
              </w:rPr>
              <w:lastRenderedPageBreak/>
              <w:t>Основание: статья 259 Налогового кодекса РФ (п. 1, 3)</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lastRenderedPageBreak/>
              <w:t>7.</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Норма амортизации по приобретаемым основным средствам, бывшим в эксплуатации у прежнего собственника, определяется исходя из срока полезного использования, установленного в соответствии с Классификацией основных средств без учета эксплуатации имущества предыдущими собственниками (при применении линейного метода начисления амортизации)</w:t>
            </w:r>
            <w:r w:rsidRPr="00226FB4">
              <w:rPr>
                <w:rFonts w:eastAsiaTheme="minorEastAsia"/>
                <w:sz w:val="22"/>
                <w:szCs w:val="22"/>
              </w:rPr>
              <w:br/>
            </w:r>
            <w:r w:rsidRPr="00226FB4">
              <w:rPr>
                <w:rFonts w:eastAsiaTheme="minorEastAsia"/>
                <w:i/>
                <w:iCs/>
                <w:sz w:val="22"/>
                <w:szCs w:val="22"/>
              </w:rPr>
              <w:t>Основание: статья 259 Налогового кодекса РФ (п. 7)</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Повышающие коэффициенты амортизации</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8.</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Повышающие коэффициенты амортизации основных средств не применяются.</w:t>
            </w:r>
            <w:r w:rsidRPr="00226FB4">
              <w:rPr>
                <w:rFonts w:eastAsiaTheme="minorEastAsia"/>
                <w:sz w:val="22"/>
                <w:szCs w:val="22"/>
              </w:rPr>
              <w:br/>
            </w:r>
            <w:r w:rsidRPr="00226FB4">
              <w:rPr>
                <w:rFonts w:eastAsiaTheme="minorEastAsia"/>
                <w:i/>
                <w:iCs/>
                <w:sz w:val="22"/>
                <w:szCs w:val="22"/>
              </w:rPr>
              <w:t>Основание: статья 259.3 Налогового кодекса РФ (п. 1,2)</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Понижающие коэффициенты амортизации</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9.</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Понижающие коэффициенты амортизации основных средств не применяются.</w:t>
            </w:r>
            <w:r w:rsidRPr="00226FB4">
              <w:rPr>
                <w:rFonts w:eastAsiaTheme="minorEastAsia"/>
                <w:sz w:val="22"/>
                <w:szCs w:val="22"/>
              </w:rPr>
              <w:br/>
            </w:r>
            <w:r w:rsidRPr="00226FB4">
              <w:rPr>
                <w:rFonts w:eastAsiaTheme="minorEastAsia"/>
                <w:i/>
                <w:iCs/>
                <w:sz w:val="22"/>
                <w:szCs w:val="22"/>
              </w:rPr>
              <w:t>Основание: статья 259.3 Налогового кодекса РФ (п. 3)</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товарно-материальных ценностей</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определения стоимости сырья и материалов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10.</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Для определения размера материальных расходов стоимость сырья и материалов, используемых при производстве (изготовлении) товаров (выполнении работ, оказании услуг), определяется по средней стоимости.</w:t>
            </w:r>
            <w:r w:rsidRPr="00226FB4">
              <w:rPr>
                <w:rFonts w:eastAsiaTheme="minorEastAsia"/>
                <w:sz w:val="22"/>
                <w:szCs w:val="22"/>
              </w:rPr>
              <w:br/>
            </w:r>
            <w:r w:rsidRPr="00226FB4">
              <w:rPr>
                <w:rFonts w:eastAsiaTheme="minorEastAsia"/>
                <w:i/>
                <w:iCs/>
                <w:sz w:val="22"/>
                <w:szCs w:val="22"/>
              </w:rPr>
              <w:t>Основание: статья 254 Налогового кодекса РФ (п. 8)</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Формирование резервов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Резерв на предстоящий ремонт основных средств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11.</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Резерв предстоящих расходов на ремонт основных средств не создается.</w:t>
            </w:r>
            <w:r w:rsidRPr="00226FB4">
              <w:rPr>
                <w:rFonts w:eastAsiaTheme="minorEastAsia"/>
                <w:sz w:val="22"/>
                <w:szCs w:val="22"/>
              </w:rPr>
              <w:br/>
            </w:r>
            <w:r w:rsidRPr="00226FB4">
              <w:rPr>
                <w:rFonts w:eastAsiaTheme="minorEastAsia"/>
                <w:i/>
                <w:iCs/>
                <w:sz w:val="22"/>
                <w:szCs w:val="22"/>
              </w:rPr>
              <w:t>Основание: статьи 260 и 324 Налогового кодекса РФ</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Резерв по сомнительным долгам</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12.</w:t>
            </w:r>
          </w:p>
        </w:tc>
        <w:tc>
          <w:tcPr>
            <w:tcW w:w="9214" w:type="dxa"/>
            <w:tcBorders>
              <w:top w:val="nil"/>
              <w:left w:val="nil"/>
              <w:bottom w:val="nil"/>
              <w:right w:val="nil"/>
            </w:tcBorders>
          </w:tcPr>
          <w:p w:rsidR="00AA7EE0" w:rsidRPr="00037586" w:rsidRDefault="00AA7EE0" w:rsidP="00BB4B93">
            <w:pPr>
              <w:spacing w:before="14" w:after="120"/>
              <w:ind w:left="17"/>
              <w:jc w:val="both"/>
              <w:rPr>
                <w:rFonts w:eastAsiaTheme="minorEastAsia"/>
                <w:sz w:val="22"/>
                <w:szCs w:val="22"/>
              </w:rPr>
            </w:pPr>
            <w:r w:rsidRPr="00226FB4">
              <w:rPr>
                <w:rFonts w:eastAsiaTheme="minorEastAsia"/>
                <w:sz w:val="22"/>
                <w:szCs w:val="22"/>
              </w:rPr>
              <w:t>Резерв по со</w:t>
            </w:r>
            <w:r w:rsidR="00037586">
              <w:rPr>
                <w:rFonts w:eastAsiaTheme="minorEastAsia"/>
                <w:sz w:val="22"/>
                <w:szCs w:val="22"/>
              </w:rPr>
              <w:t>мнительным долгам не создается.</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Резерв предстоящих расходов на оплату отпусков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13.</w:t>
            </w:r>
          </w:p>
        </w:tc>
        <w:tc>
          <w:tcPr>
            <w:tcW w:w="9214" w:type="dxa"/>
            <w:tcBorders>
              <w:top w:val="nil"/>
              <w:left w:val="nil"/>
              <w:bottom w:val="nil"/>
              <w:right w:val="nil"/>
            </w:tcBorders>
          </w:tcPr>
          <w:p w:rsidR="00AA7EE0" w:rsidRPr="00037586" w:rsidRDefault="00AA7EE0" w:rsidP="00037586">
            <w:pPr>
              <w:spacing w:before="14" w:after="120"/>
              <w:ind w:left="17"/>
              <w:jc w:val="both"/>
              <w:rPr>
                <w:rFonts w:eastAsiaTheme="minorEastAsia"/>
                <w:sz w:val="22"/>
                <w:szCs w:val="22"/>
              </w:rPr>
            </w:pPr>
            <w:r w:rsidRPr="00226FB4">
              <w:rPr>
                <w:rFonts w:eastAsiaTheme="minorEastAsia"/>
                <w:sz w:val="22"/>
                <w:szCs w:val="22"/>
              </w:rPr>
              <w:t xml:space="preserve">Не создается резерв предстоящих расходов на оплату отпусков. </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процентов по заемным средствам</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Нормирование процентов по долговым обязательствам</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14.</w:t>
            </w:r>
          </w:p>
        </w:tc>
        <w:tc>
          <w:tcPr>
            <w:tcW w:w="9214" w:type="dxa"/>
            <w:tcBorders>
              <w:top w:val="nil"/>
              <w:left w:val="nil"/>
              <w:bottom w:val="nil"/>
              <w:right w:val="nil"/>
            </w:tcBorders>
          </w:tcPr>
          <w:p w:rsidR="00AA7EE0" w:rsidRPr="00226FB4" w:rsidRDefault="00AA7EE0" w:rsidP="00BB4B93">
            <w:pPr>
              <w:widowControl/>
              <w:spacing w:before="0" w:after="200" w:line="276" w:lineRule="auto"/>
              <w:ind w:firstLine="539"/>
              <w:jc w:val="both"/>
              <w:rPr>
                <w:rFonts w:eastAsiaTheme="minorEastAsia"/>
                <w:vanish/>
                <w:sz w:val="22"/>
                <w:szCs w:val="22"/>
              </w:rPr>
            </w:pPr>
            <w:r w:rsidRPr="00226FB4">
              <w:rPr>
                <w:rFonts w:eastAsiaTheme="minorEastAsia"/>
                <w:sz w:val="22"/>
                <w:szCs w:val="22"/>
              </w:rPr>
              <w:t>Проценты по заемным средствам включаются в расходы с 1 января 2011 года по 31 декабря 2011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r w:rsidRPr="00226FB4">
              <w:rPr>
                <w:rFonts w:eastAsiaTheme="minorEastAsia"/>
                <w:vanish/>
                <w:sz w:val="22"/>
                <w:szCs w:val="22"/>
              </w:rPr>
              <w:t> </w:t>
            </w:r>
          </w:p>
          <w:p w:rsidR="00AA7EE0" w:rsidRPr="00226FB4" w:rsidRDefault="00AA7EE0" w:rsidP="00BB4B93">
            <w:pPr>
              <w:spacing w:before="14" w:after="120"/>
              <w:ind w:left="17"/>
              <w:jc w:val="both"/>
              <w:rPr>
                <w:rFonts w:eastAsiaTheme="minorEastAsia"/>
                <w:sz w:val="22"/>
                <w:szCs w:val="22"/>
              </w:rPr>
            </w:pPr>
            <w:r w:rsidRPr="00226FB4">
              <w:rPr>
                <w:rFonts w:eastAsiaTheme="minorEastAsia"/>
                <w:i/>
                <w:iCs/>
                <w:sz w:val="22"/>
                <w:szCs w:val="22"/>
              </w:rPr>
              <w:t>Основание: статья 269 Налогового кодекса РФ</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других доходов и расходов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Доходы и расходы от сдачи имущества в аренду</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15.</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Доходы и расходы от сдачи имущества в аренду считаются доходами и расходами, связанными с реализацией.</w:t>
            </w:r>
            <w:r w:rsidRPr="00226FB4">
              <w:rPr>
                <w:rFonts w:eastAsiaTheme="minorEastAsia"/>
                <w:sz w:val="22"/>
                <w:szCs w:val="22"/>
              </w:rPr>
              <w:br/>
            </w:r>
            <w:r w:rsidRPr="00226FB4">
              <w:rPr>
                <w:rFonts w:eastAsiaTheme="minorEastAsia"/>
                <w:i/>
                <w:iCs/>
                <w:sz w:val="22"/>
                <w:szCs w:val="22"/>
              </w:rPr>
              <w:t xml:space="preserve">Основание: статьи 249, 250 Налогового кодекса РФ (п. 4), 265 Налогового кодекса (подп. 1 п. 1) </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Стоимость выбывающих ценных бумаг</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16.</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При реализации либо ином выбытии ценных бумаг их стоимость определяется по стоимости единицы.</w:t>
            </w:r>
            <w:r w:rsidRPr="00226FB4">
              <w:rPr>
                <w:rFonts w:eastAsiaTheme="minorEastAsia"/>
                <w:sz w:val="22"/>
                <w:szCs w:val="22"/>
              </w:rPr>
              <w:br/>
            </w:r>
            <w:r w:rsidRPr="00226FB4">
              <w:rPr>
                <w:rFonts w:eastAsiaTheme="minorEastAsia"/>
                <w:i/>
                <w:iCs/>
                <w:sz w:val="22"/>
                <w:szCs w:val="22"/>
              </w:rPr>
              <w:t>Основание: статья 280 Налогового кодекса РФ (п. 9)</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Порядок признания доходов и расходов и исчисления налога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Периодичность сдачи отчетности по налогу</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17.</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Отчетным периодом по налогу на прибыль организаций являются первый квартал, полугодие и девять месяцев календарного года.</w:t>
            </w:r>
            <w:r w:rsidRPr="00226FB4">
              <w:rPr>
                <w:rFonts w:eastAsiaTheme="minorEastAsia"/>
                <w:sz w:val="22"/>
                <w:szCs w:val="22"/>
              </w:rPr>
              <w:br/>
            </w:r>
            <w:r w:rsidRPr="00226FB4">
              <w:rPr>
                <w:rFonts w:eastAsiaTheme="minorEastAsia"/>
                <w:i/>
                <w:iCs/>
                <w:sz w:val="22"/>
                <w:szCs w:val="22"/>
              </w:rPr>
              <w:t>Основание: статья 285 Налогового кодекса  (п. 2)</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признания доходов и расходов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18.</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Доходы и расходы признаются методом начисления.</w:t>
            </w:r>
            <w:r w:rsidRPr="00226FB4">
              <w:rPr>
                <w:rFonts w:eastAsiaTheme="minorEastAsia"/>
                <w:sz w:val="22"/>
                <w:szCs w:val="22"/>
              </w:rPr>
              <w:br/>
            </w:r>
            <w:r w:rsidRPr="00226FB4">
              <w:rPr>
                <w:rFonts w:eastAsiaTheme="minorEastAsia"/>
                <w:i/>
                <w:iCs/>
                <w:sz w:val="22"/>
                <w:szCs w:val="22"/>
              </w:rPr>
              <w:t>Основание: статья 272 Налогового кодекса РФ</w:t>
            </w:r>
            <w:r w:rsidRPr="00226FB4">
              <w:rPr>
                <w:rFonts w:eastAsiaTheme="minorEastAsia"/>
                <w:sz w:val="22"/>
                <w:szCs w:val="22"/>
              </w:rPr>
              <w:t xml:space="preserve"> </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Распределение доходов и расходов, относящихся к нескольким отчетным (налоговым) периодам</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19.</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Доходы и расходы, относящиеся к нескольким отчетным (налоговым) периодам, распределяются ежеквартально.</w:t>
            </w:r>
            <w:r w:rsidRPr="00226FB4">
              <w:rPr>
                <w:rFonts w:eastAsiaTheme="minorEastAsia"/>
                <w:sz w:val="22"/>
                <w:szCs w:val="22"/>
              </w:rPr>
              <w:br/>
            </w:r>
            <w:r w:rsidRPr="00226FB4">
              <w:rPr>
                <w:rFonts w:eastAsiaTheme="minorEastAsia"/>
                <w:i/>
                <w:iCs/>
                <w:sz w:val="22"/>
                <w:szCs w:val="22"/>
              </w:rPr>
              <w:t>Основание: статья 272 Налогового кодекса РФ (абз. 3 п. 1)</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20.</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Распределение доходов и расходов, относящихся к нескольким отчетным (налоговым) периодам, производится пропорционально сумме доходов, определенных в договоре с контрагентом.</w:t>
            </w:r>
            <w:r w:rsidRPr="00226FB4">
              <w:rPr>
                <w:rFonts w:eastAsiaTheme="minorEastAsia"/>
                <w:sz w:val="22"/>
                <w:szCs w:val="22"/>
              </w:rPr>
              <w:br/>
            </w:r>
            <w:r w:rsidRPr="00226FB4">
              <w:rPr>
                <w:rFonts w:eastAsiaTheme="minorEastAsia"/>
                <w:i/>
                <w:iCs/>
                <w:sz w:val="22"/>
                <w:szCs w:val="22"/>
              </w:rPr>
              <w:t>Основание: статья 272 Налогового кодекса РФ (абз. 3 п. 1)</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Прямые и косвенные расходы</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Перечень прямых расходов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21.</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 xml:space="preserve">Прямыми расходами при производстве товаров (выполнении работ, оказании услуг) считаются:  </w:t>
            </w:r>
            <w:r w:rsidRPr="00226FB4">
              <w:rPr>
                <w:rFonts w:eastAsiaTheme="minorEastAsia"/>
                <w:sz w:val="22"/>
                <w:szCs w:val="22"/>
              </w:rPr>
              <w:br/>
              <w:t>– 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идущее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sidRPr="00226FB4">
              <w:rPr>
                <w:rFonts w:eastAsiaTheme="minorEastAsia"/>
                <w:sz w:val="22"/>
                <w:szCs w:val="22"/>
              </w:rPr>
              <w:br/>
              <w:t>– Суммы начисленной амортизации по основным средствам, используемым при производстве товаров, работ, услуг</w:t>
            </w:r>
            <w:r w:rsidRPr="00226FB4">
              <w:rPr>
                <w:rFonts w:eastAsiaTheme="minorEastAsia"/>
                <w:sz w:val="22"/>
                <w:szCs w:val="22"/>
              </w:rPr>
              <w:br/>
              <w:t xml:space="preserve">– Иные расходы. Установить, к прямым расходам помимо перечисленных относятся следующие затраты: </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Коммунальные расходы и расходы на содержание зданий и помещений;</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Расходы на текущий ремонт зданий и помещений;</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Расходы по страхованию имущества;</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lastRenderedPageBreak/>
              <w:t>Расходы на услуги связи;</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ТО лифтов и систем пожарной безопасности;</w:t>
            </w:r>
          </w:p>
          <w:p w:rsidR="00AA7EE0" w:rsidRPr="00037586" w:rsidRDefault="00AA7EE0" w:rsidP="00037586">
            <w:pPr>
              <w:spacing w:before="14" w:after="120"/>
              <w:ind w:left="17"/>
              <w:jc w:val="both"/>
              <w:rPr>
                <w:rFonts w:eastAsiaTheme="minorEastAsia"/>
                <w:i/>
                <w:iCs/>
                <w:sz w:val="22"/>
                <w:szCs w:val="22"/>
              </w:rPr>
            </w:pPr>
            <w:r w:rsidRPr="00226FB4">
              <w:rPr>
                <w:rFonts w:eastAsiaTheme="minorEastAsia"/>
                <w:i/>
                <w:iCs/>
                <w:sz w:val="22"/>
                <w:szCs w:val="22"/>
              </w:rPr>
              <w:t>Основание: статья 318 Налогового кодекса РФ (п. 1)</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Порядок ведения налогового учета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Регистры налогового учета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22.</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Налоговый учет ведется в самостоятельно разработанных регистрах налогового учета: .</w:t>
            </w:r>
            <w:r w:rsidRPr="00226FB4">
              <w:rPr>
                <w:rFonts w:eastAsiaTheme="minorEastAsia"/>
                <w:sz w:val="22"/>
                <w:szCs w:val="22"/>
              </w:rPr>
              <w:br/>
            </w:r>
            <w:r w:rsidRPr="00226FB4">
              <w:rPr>
                <w:rFonts w:eastAsiaTheme="minorEastAsia"/>
                <w:i/>
                <w:iCs/>
                <w:sz w:val="22"/>
                <w:szCs w:val="22"/>
              </w:rPr>
              <w:t>Основание: статья 313 Налогового кодекса РФ</w:t>
            </w:r>
            <w:r w:rsidRPr="00226FB4">
              <w:rPr>
                <w:rFonts w:eastAsiaTheme="minorEastAsia"/>
                <w:sz w:val="22"/>
                <w:szCs w:val="22"/>
              </w:rPr>
              <w:t xml:space="preserve"> </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Уплата налога по обособленным подразделениям</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Уплата налога по обособленным подразделениям, расположенным в одном регионе</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23.</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По обособленным подразделениям организации, расположенным в одном регионе, налог на прибыль уплачивается через подразделение, ответственное за уплату налога за все подразделения данного региона. Обособленные подразделения, через которые осуществляется уплата налога в бюджет субъекта Российской Федерации:</w:t>
            </w:r>
          </w:p>
          <w:p w:rsidR="00AA7EE0" w:rsidRPr="00037586" w:rsidRDefault="00AA7EE0" w:rsidP="00037586">
            <w:pPr>
              <w:spacing w:before="14" w:after="120"/>
              <w:ind w:left="17"/>
              <w:jc w:val="both"/>
              <w:rPr>
                <w:rFonts w:eastAsiaTheme="minorEastAsia"/>
                <w:i/>
                <w:iCs/>
                <w:sz w:val="22"/>
                <w:szCs w:val="22"/>
              </w:rPr>
            </w:pPr>
            <w:r w:rsidRPr="00226FB4">
              <w:rPr>
                <w:rFonts w:eastAsiaTheme="minorEastAsia"/>
                <w:i/>
                <w:iCs/>
                <w:sz w:val="22"/>
                <w:szCs w:val="22"/>
              </w:rPr>
              <w:t>Основание: статья 288 Налогового кодекса РФ (п. 2).</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расчета суммы прибыли, приходящейся на обособленное подразделение</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24.</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Налогооблагаемая прибыль, приходящаяся на обособленное подразделение, определяется как средняя арифметическая величина удельного веса среднесписочной численности работников подразделения и удельного веса остаточной стоимости его амортизируемого имущества к общим показателям по организации.</w:t>
            </w:r>
            <w:r w:rsidRPr="00226FB4">
              <w:rPr>
                <w:rFonts w:eastAsiaTheme="minorEastAsia"/>
                <w:sz w:val="22"/>
                <w:szCs w:val="22"/>
              </w:rPr>
              <w:br/>
            </w:r>
            <w:r w:rsidRPr="00226FB4">
              <w:rPr>
                <w:rFonts w:eastAsiaTheme="minorEastAsia"/>
                <w:i/>
                <w:iCs/>
                <w:sz w:val="22"/>
                <w:szCs w:val="22"/>
              </w:rPr>
              <w:t>Основание: статья 288 Налогового кодекса РФ (п. 2)</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037586">
            <w:pPr>
              <w:spacing w:before="480" w:after="120"/>
              <w:jc w:val="both"/>
              <w:rPr>
                <w:rFonts w:eastAsiaTheme="minorEastAsia"/>
                <w:sz w:val="22"/>
                <w:szCs w:val="22"/>
              </w:rPr>
            </w:pPr>
            <w:r w:rsidRPr="00226FB4">
              <w:rPr>
                <w:rFonts w:eastAsiaTheme="minorEastAsia"/>
                <w:b/>
                <w:bCs/>
                <w:sz w:val="22"/>
                <w:szCs w:val="22"/>
              </w:rPr>
              <w:t>Учетная политика по налогу на добавленную стоимость</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Раздельный учет облагаемых и необлагаемых операций</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Раздельный учет по операциям, облагаемым налогом по ставкам 10 и 18 процентов, а также по операциям, освобожденным от налога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25.</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Раздельный учет НДС по операциям, облагаемым налогом по ставкам 10 и 18 процентов, а также по операциям, освобожденным от налога, ведется в регистрах бухгалтерского и налогового учета.</w:t>
            </w:r>
            <w:r w:rsidRPr="00226FB4">
              <w:rPr>
                <w:rFonts w:eastAsiaTheme="minorEastAsia"/>
                <w:sz w:val="22"/>
                <w:szCs w:val="22"/>
              </w:rPr>
              <w:br/>
            </w:r>
            <w:r w:rsidRPr="00226FB4">
              <w:rPr>
                <w:rFonts w:eastAsiaTheme="minorEastAsia"/>
                <w:i/>
                <w:iCs/>
                <w:sz w:val="22"/>
                <w:szCs w:val="22"/>
              </w:rPr>
              <w:t>Основание: статьи 149 (п.4), 153 (п. 1), 166 Налогового кодекса РФ</w:t>
            </w:r>
            <w:r w:rsidRPr="00226FB4">
              <w:rPr>
                <w:rFonts w:eastAsiaTheme="minorEastAsia"/>
                <w:sz w:val="22"/>
                <w:szCs w:val="22"/>
              </w:rPr>
              <w:t xml:space="preserve"> </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расчета суммы налога, подлежащей вычету</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26.</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По товарам (работам, услугам), имущественным правам, используемым и в облагаемых, и в не облагаемых НДС операциях, сумма вычета определяется пропорционально стоимости товаров (работ, услуг), имущественных прав, отгруженных за отчетный квартал и облагаемых НДС, в общей стоимости товаров (работ, услуг), имущественных прав, отгруженных за отчетный квартал.</w:t>
            </w:r>
            <w:r w:rsidRPr="00226FB4">
              <w:rPr>
                <w:rFonts w:eastAsiaTheme="minorEastAsia"/>
                <w:sz w:val="22"/>
                <w:szCs w:val="22"/>
              </w:rPr>
              <w:br/>
            </w:r>
            <w:r w:rsidRPr="00226FB4">
              <w:rPr>
                <w:rFonts w:eastAsiaTheme="minorEastAsia"/>
                <w:i/>
                <w:iCs/>
                <w:sz w:val="22"/>
                <w:szCs w:val="22"/>
              </w:rPr>
              <w:t>Основание: статья 170 Налогового кодекса РФ (п. 4)</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Использование «правила 5 процентов»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27.</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 xml:space="preserve">Если доля совокупных расходов на производство товаров (работ, услуг), имущественных прав, </w:t>
            </w:r>
            <w:r w:rsidRPr="00226FB4">
              <w:rPr>
                <w:rFonts w:eastAsiaTheme="minorEastAsia"/>
                <w:sz w:val="22"/>
                <w:szCs w:val="22"/>
              </w:rPr>
              <w:lastRenderedPageBreak/>
              <w:t>операции, по реализации которых не подлежат обложению НДС, не превышает 5 процентов общей величины совокупных расходов на производство, то входной налог полностью принимается к вычету</w:t>
            </w:r>
            <w:r w:rsidRPr="00226FB4">
              <w:rPr>
                <w:rFonts w:eastAsiaTheme="minorEastAsia"/>
                <w:sz w:val="22"/>
                <w:szCs w:val="22"/>
              </w:rPr>
              <w:br/>
            </w:r>
            <w:r w:rsidRPr="00226FB4">
              <w:rPr>
                <w:rFonts w:eastAsiaTheme="minorEastAsia"/>
                <w:i/>
                <w:iCs/>
                <w:sz w:val="22"/>
                <w:szCs w:val="22"/>
              </w:rPr>
              <w:t>Основание: статья 170 Налогового кодекса РФ (п. 4)</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lastRenderedPageBreak/>
              <w:t>28.</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 совокупные расходы на производство, по которым определяется 5-процентное соотношение облагаемых и не облагаемых НДС операций, включаются все прямые и косвенные расходы на производство по данным бухгалтерского учета.</w:t>
            </w:r>
            <w:r w:rsidRPr="00226FB4">
              <w:rPr>
                <w:rFonts w:eastAsiaTheme="minorEastAsia"/>
                <w:sz w:val="22"/>
                <w:szCs w:val="22"/>
              </w:rPr>
              <w:br/>
            </w:r>
            <w:r w:rsidRPr="00226FB4">
              <w:rPr>
                <w:rFonts w:eastAsiaTheme="minorEastAsia"/>
                <w:i/>
                <w:iCs/>
                <w:sz w:val="22"/>
                <w:szCs w:val="22"/>
              </w:rPr>
              <w:t>Основание: статья 170 Налогового кодекса РФ (п. 4)</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Раздельный учет операций, облагаемых по ставке 0 процентов</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Метод ведения раздельного учета</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29.</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i/>
                <w:iCs/>
                <w:sz w:val="22"/>
                <w:szCs w:val="22"/>
              </w:rPr>
            </w:pPr>
            <w:r w:rsidRPr="00226FB4">
              <w:rPr>
                <w:rFonts w:eastAsiaTheme="minorEastAsia"/>
                <w:sz w:val="22"/>
                <w:szCs w:val="22"/>
              </w:rPr>
              <w:t>Раздельный учет операций, облагаемых по нулевой ставке налога, и других операций ведется в регистрах бухгалтерского и налогового учета.</w:t>
            </w:r>
            <w:r w:rsidRPr="00226FB4">
              <w:rPr>
                <w:rFonts w:eastAsiaTheme="minorEastAsia"/>
                <w:sz w:val="22"/>
                <w:szCs w:val="22"/>
              </w:rPr>
              <w:br/>
            </w:r>
            <w:r w:rsidRPr="00226FB4">
              <w:rPr>
                <w:rFonts w:eastAsiaTheme="minorEastAsia"/>
                <w:i/>
                <w:iCs/>
                <w:sz w:val="22"/>
                <w:szCs w:val="22"/>
              </w:rPr>
              <w:t xml:space="preserve">Основание: статьи 153 (п. 1), 165 (п.10) Налогового кодекса РФ </w:t>
            </w:r>
          </w:p>
          <w:p w:rsidR="00AA7EE0" w:rsidRPr="00226FB4" w:rsidRDefault="00AA7EE0" w:rsidP="00BB4B93">
            <w:pPr>
              <w:spacing w:before="14" w:after="120"/>
              <w:ind w:left="17"/>
              <w:jc w:val="both"/>
              <w:rPr>
                <w:rFonts w:eastAsiaTheme="minorEastAsia"/>
                <w:sz w:val="22"/>
                <w:szCs w:val="22"/>
              </w:rPr>
            </w:pP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Другие элементы учетной политики по НДС</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14"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Способ регистрации счетов-фактур в книге покупок с частичными вычетами</w:t>
            </w:r>
          </w:p>
        </w:tc>
      </w:tr>
      <w:tr w:rsidR="00AA7EE0" w:rsidRPr="00226FB4">
        <w:tblPrEx>
          <w:tblCellMar>
            <w:top w:w="0" w:type="dxa"/>
            <w:left w:w="0" w:type="dxa"/>
            <w:bottom w:w="0" w:type="dxa"/>
            <w:right w:w="0" w:type="dxa"/>
          </w:tblCellMar>
        </w:tblPrEx>
        <w:tc>
          <w:tcPr>
            <w:tcW w:w="448"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30.</w:t>
            </w:r>
          </w:p>
        </w:tc>
        <w:tc>
          <w:tcPr>
            <w:tcW w:w="9214"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При осуществлении как облагаемых, так и не облагаемых НДС операций (освобожденных от налогообложения на основании статьи 149 НК РФ, или переведенных на уплату ЕНВД), а также при осуществлении операций, облагаемых по ставке 0 процентов и по другим ставкам (10 или 18 процентов),  по товарам (работам, услугам),  имущественным правам,  по которым невозможно заранее определить сумму НДС к вычету, изначально счет-фактура регистрируется в книге покупок на всю сумму. По итогам каждого квартала производится восстановление НДС в книге продаж согласно расчету.</w:t>
            </w:r>
            <w:r w:rsidRPr="00226FB4">
              <w:rPr>
                <w:rFonts w:eastAsiaTheme="minorEastAsia"/>
                <w:sz w:val="22"/>
                <w:szCs w:val="22"/>
              </w:rPr>
              <w:br/>
            </w:r>
            <w:r w:rsidRPr="00226FB4">
              <w:rPr>
                <w:rFonts w:eastAsiaTheme="minorEastAsia"/>
                <w:i/>
                <w:iCs/>
                <w:sz w:val="22"/>
                <w:szCs w:val="22"/>
              </w:rPr>
              <w:t>Основание: статья 172 Налогового кодекса РФ</w:t>
            </w:r>
            <w:r w:rsidRPr="00226FB4">
              <w:rPr>
                <w:rFonts w:eastAsiaTheme="minorEastAsia"/>
                <w:sz w:val="22"/>
                <w:szCs w:val="22"/>
              </w:rPr>
              <w:t xml:space="preserve"> </w:t>
            </w:r>
          </w:p>
        </w:tc>
      </w:tr>
    </w:tbl>
    <w:p w:rsidR="00037586" w:rsidRDefault="00037586" w:rsidP="00BB4B93">
      <w:pPr>
        <w:tabs>
          <w:tab w:val="left" w:pos="448"/>
        </w:tabs>
        <w:spacing w:before="14" w:after="120"/>
        <w:rPr>
          <w:rFonts w:eastAsiaTheme="minorEastAsia"/>
          <w:sz w:val="22"/>
          <w:szCs w:val="22"/>
        </w:rPr>
      </w:pPr>
      <w:r w:rsidRPr="00226FB4">
        <w:rPr>
          <w:rFonts w:eastAsiaTheme="minorEastAsia"/>
          <w:sz w:val="22"/>
          <w:szCs w:val="22"/>
        </w:rPr>
        <w:tab/>
      </w:r>
    </w:p>
    <w:p w:rsidR="00037586" w:rsidRPr="00226FB4" w:rsidRDefault="00037586" w:rsidP="00BB4B93">
      <w:pPr>
        <w:tabs>
          <w:tab w:val="left" w:pos="448"/>
        </w:tabs>
        <w:spacing w:before="14" w:after="120"/>
        <w:rPr>
          <w:rFonts w:eastAsiaTheme="minorEastAsia"/>
          <w:sz w:val="22"/>
          <w:szCs w:val="22"/>
        </w:rPr>
      </w:pPr>
      <w:r>
        <w:rPr>
          <w:rFonts w:eastAsiaTheme="minorEastAsia"/>
          <w:sz w:val="22"/>
          <w:szCs w:val="22"/>
        </w:rPr>
        <w:br w:type="page"/>
      </w:r>
    </w:p>
    <w:tbl>
      <w:tblPr>
        <w:tblW w:w="0" w:type="auto"/>
        <w:tblLayout w:type="fixed"/>
        <w:tblCellMar>
          <w:left w:w="0" w:type="dxa"/>
          <w:right w:w="0" w:type="dxa"/>
        </w:tblCellMar>
        <w:tblLook w:val="0000"/>
      </w:tblPr>
      <w:tblGrid>
        <w:gridCol w:w="4717"/>
        <w:gridCol w:w="4950"/>
      </w:tblGrid>
      <w:tr w:rsidR="00AA7EE0" w:rsidRPr="00226FB4">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 xml:space="preserve">Об утверждении Положения об учетной политике для целей бухгалтерского и налогового учета на 2011 год </w:t>
            </w:r>
          </w:p>
        </w:tc>
        <w:tc>
          <w:tcPr>
            <w:tcW w:w="4950" w:type="dxa"/>
            <w:tcBorders>
              <w:top w:val="nil"/>
              <w:left w:val="nil"/>
              <w:bottom w:val="nil"/>
              <w:right w:val="nil"/>
            </w:tcBorders>
            <w:vAlign w:val="bottom"/>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 xml:space="preserve">           «31» декабря 2010 г.</w:t>
            </w:r>
          </w:p>
        </w:tc>
      </w:tr>
      <w:tr w:rsidR="00AA7EE0" w:rsidRPr="00226FB4">
        <w:tblPrEx>
          <w:tblCellMar>
            <w:top w:w="0" w:type="dxa"/>
            <w:left w:w="0" w:type="dxa"/>
            <w:bottom w:w="0" w:type="dxa"/>
            <w:right w:w="0" w:type="dxa"/>
          </w:tblCellMar>
        </w:tblPrEx>
        <w:trPr>
          <w:trHeight w:val="285"/>
        </w:trPr>
        <w:tc>
          <w:tcPr>
            <w:tcW w:w="9667" w:type="dxa"/>
            <w:gridSpan w:val="2"/>
            <w:tcBorders>
              <w:top w:val="nil"/>
              <w:left w:val="nil"/>
              <w:bottom w:val="nil"/>
              <w:right w:val="nil"/>
            </w:tcBorders>
          </w:tcPr>
          <w:p w:rsidR="00AA7EE0" w:rsidRPr="00226FB4" w:rsidRDefault="00AA7EE0" w:rsidP="00BB4B93">
            <w:pPr>
              <w:spacing w:before="3015" w:after="0"/>
              <w:jc w:val="both"/>
              <w:rPr>
                <w:rFonts w:eastAsiaTheme="minorEastAsia"/>
                <w:sz w:val="22"/>
                <w:szCs w:val="22"/>
              </w:rPr>
            </w:pPr>
            <w:r w:rsidRPr="00226FB4">
              <w:rPr>
                <w:rFonts w:eastAsiaTheme="minorEastAsia"/>
                <w:b/>
                <w:bCs/>
                <w:sz w:val="22"/>
                <w:szCs w:val="22"/>
              </w:rPr>
              <w:t>ПРИКАЗ № б/н</w:t>
            </w:r>
          </w:p>
        </w:tc>
      </w:tr>
      <w:tr w:rsidR="00AA7EE0" w:rsidRPr="00226FB4">
        <w:tblPrEx>
          <w:tblCellMar>
            <w:top w:w="0" w:type="dxa"/>
            <w:left w:w="0" w:type="dxa"/>
            <w:bottom w:w="0" w:type="dxa"/>
            <w:right w:w="0" w:type="dxa"/>
          </w:tblCellMar>
        </w:tblPrEx>
        <w:trPr>
          <w:trHeight w:val="750"/>
        </w:trPr>
        <w:tc>
          <w:tcPr>
            <w:tcW w:w="9667" w:type="dxa"/>
            <w:gridSpan w:val="2"/>
            <w:tcBorders>
              <w:top w:val="nil"/>
              <w:left w:val="nil"/>
              <w:bottom w:val="nil"/>
              <w:right w:val="nil"/>
            </w:tcBorders>
          </w:tcPr>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В соответствии с Федеральным законом от 21.11.96 № 129-ФЗ «О бухгалтерском учете»,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Налоговым кодексом РФ и иными нормативными правовыми актами по бухгалтерскому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учету, а так же актами законодательства о налогах и сборах ПРИКАЗЫВАЮ:</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br/>
              <w:t xml:space="preserve">утвердить Положение об учетной политике для целей бухгалтерского и налогового учета на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2011 год согласно приложений к настоящему приказу.</w:t>
            </w: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tc>
      </w:tr>
      <w:tr w:rsidR="00AA7EE0" w:rsidRPr="00226FB4">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Генеральный директор</w:t>
            </w:r>
          </w:p>
        </w:tc>
        <w:tc>
          <w:tcPr>
            <w:tcW w:w="4950"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________________ /_Дзюбан М. В./</w:t>
            </w:r>
          </w:p>
        </w:tc>
      </w:tr>
    </w:tbl>
    <w:p w:rsidR="00AA7EE0" w:rsidRPr="00226FB4" w:rsidRDefault="00AA7EE0" w:rsidP="00BB4B93">
      <w:pPr>
        <w:spacing w:before="0" w:after="0"/>
        <w:jc w:val="both"/>
        <w:rPr>
          <w:sz w:val="22"/>
          <w:szCs w:val="22"/>
        </w:rPr>
        <w:sectPr w:rsidR="00AA7EE0" w:rsidRPr="00226FB4" w:rsidSect="00BB4B93">
          <w:footerReference w:type="default" r:id="rId16"/>
          <w:pgSz w:w="11907" w:h="16441"/>
          <w:pgMar w:top="851" w:right="851" w:bottom="851" w:left="1418" w:header="720" w:footer="720" w:gutter="0"/>
          <w:cols w:space="720"/>
          <w:noEndnote/>
        </w:sectPr>
      </w:pPr>
    </w:p>
    <w:tbl>
      <w:tblPr>
        <w:tblW w:w="9667" w:type="dxa"/>
        <w:tblLayout w:type="fixed"/>
        <w:tblCellMar>
          <w:left w:w="0" w:type="dxa"/>
          <w:right w:w="0" w:type="dxa"/>
        </w:tblCellMar>
        <w:tblLook w:val="0000"/>
      </w:tblPr>
      <w:tblGrid>
        <w:gridCol w:w="426"/>
        <w:gridCol w:w="9241"/>
      </w:tblGrid>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0" w:after="0"/>
              <w:ind w:left="5863"/>
              <w:jc w:val="both"/>
              <w:rPr>
                <w:rFonts w:eastAsiaTheme="minorEastAsia"/>
                <w:sz w:val="22"/>
                <w:szCs w:val="22"/>
              </w:rPr>
            </w:pPr>
            <w:r w:rsidRPr="00226FB4">
              <w:rPr>
                <w:rFonts w:eastAsiaTheme="minorEastAsia"/>
                <w:sz w:val="22"/>
                <w:szCs w:val="22"/>
              </w:rPr>
              <w:t>ПРИЛОЖЕНИЕ</w:t>
            </w:r>
            <w:r w:rsidRPr="00226FB4">
              <w:rPr>
                <w:rFonts w:eastAsiaTheme="minorEastAsia"/>
                <w:sz w:val="22"/>
                <w:szCs w:val="22"/>
              </w:rPr>
              <w:br/>
              <w:t xml:space="preserve">к приказу № б/н </w:t>
            </w:r>
            <w:r w:rsidRPr="00226FB4">
              <w:rPr>
                <w:rFonts w:eastAsiaTheme="minorEastAsia"/>
                <w:sz w:val="22"/>
                <w:szCs w:val="22"/>
              </w:rPr>
              <w:br/>
              <w:t>«Об утверждении Положения об учетной политике для целей бухгалтерского учета на 2010 год»</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615" w:after="120"/>
              <w:ind w:left="6"/>
              <w:jc w:val="both"/>
              <w:rPr>
                <w:rFonts w:eastAsiaTheme="minorEastAsia"/>
                <w:sz w:val="22"/>
                <w:szCs w:val="22"/>
              </w:rPr>
            </w:pPr>
            <w:r w:rsidRPr="00226FB4">
              <w:rPr>
                <w:rFonts w:eastAsiaTheme="minorEastAsia"/>
                <w:b/>
                <w:bCs/>
                <w:sz w:val="22"/>
                <w:szCs w:val="22"/>
              </w:rPr>
              <w:t>Положение об учетной политике для целей бухгалтерского учета на 2011год</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480" w:after="120"/>
              <w:ind w:left="17"/>
              <w:jc w:val="both"/>
              <w:rPr>
                <w:rFonts w:eastAsiaTheme="minorEastAsia"/>
                <w:sz w:val="22"/>
                <w:szCs w:val="22"/>
              </w:rPr>
            </w:pPr>
            <w:r w:rsidRPr="00226FB4">
              <w:rPr>
                <w:rFonts w:eastAsiaTheme="minorEastAsia"/>
                <w:b/>
                <w:bCs/>
                <w:sz w:val="22"/>
                <w:szCs w:val="22"/>
              </w:rPr>
              <w:t>ОБЩИЕ ПОЛОЖЕНИЯ</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Настоящая учетная политика разработана в соответствии с требованиями Федерального закона от 21.11.96 № 129-ФЗ «О бухгалтерском учете», Положения по ведению бухгалтерского учета и бухгалтерской отчетности в Российской Федерации, утвержденного приказом Минфина России от 29.07.98 № 34н, Положения по бухгалтерскому учету «Учетная политика организации» ПБУ 1/2008, утвержденного приказом Минфина России от 06.10.08 № 106н.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Под учетной политикой организации понимается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К способам ведения бухгалтерского учета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учета, организации регистров бухгалтерского учета, обработки информации.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Настоящая учетная политика является документом, отражающим специфику способов ведения бухгалтерского учета в случаях, если:</w:t>
            </w:r>
            <w:r w:rsidRPr="00226FB4">
              <w:rPr>
                <w:rFonts w:eastAsiaTheme="minorEastAsia"/>
                <w:sz w:val="22"/>
                <w:szCs w:val="22"/>
              </w:rPr>
              <w:br/>
              <w:t>1) бухгалтерские нормативы содержат положения, позволяющие делать выбор из нескольких вариантов, предусмотренных нормативами и (или) прямо не предусмотренных нормативами, но не противоречащих им;</w:t>
            </w:r>
            <w:r w:rsidRPr="00226FB4">
              <w:rPr>
                <w:rFonts w:eastAsiaTheme="minorEastAsia"/>
                <w:sz w:val="22"/>
                <w:szCs w:val="22"/>
              </w:rPr>
              <w:br/>
              <w:t>2) бухгалтерские нормативы содержат лишь общие положения, но не содержат конкретных способов ведения бухгалтерского учета;</w:t>
            </w:r>
            <w:r w:rsidRPr="00226FB4">
              <w:rPr>
                <w:rFonts w:eastAsiaTheme="minorEastAsia"/>
                <w:sz w:val="22"/>
                <w:szCs w:val="22"/>
              </w:rPr>
              <w:br/>
              <w:t>3) бухгалтерские нормативы содержат неясные или неоднозначные или противоречивые нормы или неустранимые сомнения;</w:t>
            </w:r>
            <w:r w:rsidRPr="00226FB4">
              <w:rPr>
                <w:rFonts w:eastAsiaTheme="minorEastAsia"/>
                <w:sz w:val="22"/>
                <w:szCs w:val="22"/>
              </w:rPr>
              <w:br/>
              <w:t>4) бухгалтерские нормативы любым иным образом делают возможным (или не запрещают) применение способов учета, установленных учетной политикой.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5.</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Изменение учетной политики организации может производиться в случаях:</w:t>
            </w:r>
            <w:r w:rsidRPr="00226FB4">
              <w:rPr>
                <w:rFonts w:eastAsiaTheme="minorEastAsia"/>
                <w:sz w:val="22"/>
                <w:szCs w:val="22"/>
              </w:rPr>
              <w:br/>
              <w:t>1) изменения законодательства Российской Федерации и (или) нормативных правовых актов по бухгалтерскому учету;</w:t>
            </w:r>
            <w:r w:rsidRPr="00226FB4">
              <w:rPr>
                <w:rFonts w:eastAsiaTheme="minorEastAsia"/>
                <w:sz w:val="22"/>
                <w:szCs w:val="22"/>
              </w:rPr>
              <w:br/>
              <w:t>2) разработки организацией новых способов ведения бухгалтерского учета. Применение нового способа ведения бухгалтерского учета предполагает более достоверное представление фактов хозяйственной деятельности в бухгалтерском учете и отчетности организации или меньшую трудоемкость учетного процесса без снижения степени достоверности информации;</w:t>
            </w:r>
            <w:r w:rsidRPr="00226FB4">
              <w:rPr>
                <w:rFonts w:eastAsiaTheme="minorEastAsia"/>
                <w:sz w:val="22"/>
                <w:szCs w:val="22"/>
              </w:rPr>
              <w:br/>
              <w:t>3) существенного изменения условий хозяйствования. Существенное изменение условий хозяйствования организации может быть связано с реорганизацией, изменением видов деятельности и т. п.</w:t>
            </w:r>
            <w:r w:rsidRPr="00226FB4">
              <w:rPr>
                <w:rFonts w:eastAsiaTheme="minorEastAsia"/>
                <w:sz w:val="22"/>
                <w:szCs w:val="22"/>
              </w:rPr>
              <w:br/>
              <w:t>Не считается изменением учетной политики утверждение способа ведения бухгалтерского учета фактов хозяйственной деятельности, которые отличны по существу от фактов, имевших место ранее, или возникли впервые в деятельности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6.</w:t>
            </w:r>
          </w:p>
        </w:tc>
        <w:tc>
          <w:tcPr>
            <w:tcW w:w="9241" w:type="dxa"/>
            <w:tcBorders>
              <w:top w:val="nil"/>
              <w:left w:val="nil"/>
              <w:bottom w:val="nil"/>
              <w:right w:val="nil"/>
            </w:tcBorders>
          </w:tcPr>
          <w:p w:rsidR="00AA7EE0" w:rsidRPr="00226FB4" w:rsidRDefault="00AA7EE0" w:rsidP="00BB4B93">
            <w:pPr>
              <w:spacing w:before="15" w:after="120"/>
              <w:ind w:left="17"/>
              <w:jc w:val="both"/>
              <w:rPr>
                <w:rFonts w:eastAsiaTheme="minorEastAsia"/>
                <w:sz w:val="22"/>
                <w:szCs w:val="22"/>
              </w:rPr>
            </w:pPr>
            <w:r w:rsidRPr="00226FB4">
              <w:rPr>
                <w:rFonts w:eastAsiaTheme="minorEastAsia"/>
                <w:sz w:val="22"/>
                <w:szCs w:val="22"/>
              </w:rPr>
              <w:t>При проведении операций с наличными денежными средствами организация руководствуется Порядком ведения кассовых операций в Российской Федерации, утвержденным Решением Совета директоров ЦБ РФ от 22.09.93 № 40.</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480" w:after="120"/>
              <w:ind w:left="17"/>
              <w:jc w:val="both"/>
              <w:rPr>
                <w:rFonts w:eastAsiaTheme="minorEastAsia"/>
                <w:sz w:val="22"/>
                <w:szCs w:val="22"/>
              </w:rPr>
            </w:pPr>
            <w:r w:rsidRPr="00226FB4">
              <w:rPr>
                <w:rFonts w:eastAsiaTheme="minorEastAsia"/>
                <w:b/>
                <w:bCs/>
                <w:sz w:val="22"/>
                <w:szCs w:val="22"/>
              </w:rPr>
              <w:t>Организация бухгалтерского учета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Порядок ведения учета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Формирование бухгалтерской службы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7.</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Бухгалтерский учет в организации ведет самостоятельная бухгалтерская служба как структурное подразделение, возглавляемое главным бухгалтером. Ответственность за организацию бухгалтерского учета, соблюдение законодательства при выполнении хозяйственных операций несет руководитель организации.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несет главный бухгалтер.</w:t>
            </w:r>
            <w:r w:rsidRPr="00226FB4">
              <w:rPr>
                <w:rFonts w:eastAsiaTheme="minorEastAsia"/>
                <w:sz w:val="22"/>
                <w:szCs w:val="22"/>
              </w:rPr>
              <w:br/>
            </w:r>
            <w:r w:rsidRPr="00226FB4">
              <w:rPr>
                <w:rFonts w:eastAsiaTheme="minorEastAsia"/>
                <w:i/>
                <w:iCs/>
                <w:sz w:val="22"/>
                <w:szCs w:val="22"/>
              </w:rPr>
              <w:t>Основание: статьи 6, 7 Федерального закона от 21.11.96 № 129-ФЗ «О бухгалтерском учете»</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 xml:space="preserve">Способ ведения бухгалтерского учета </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8.</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Учетные регистры бухгалтерского учета ведутся на магнитных лентах, дисках, дискетах и иных электронных носителях с помощью специализированной программы:</w:t>
            </w:r>
            <w:r w:rsidRPr="00226FB4">
              <w:rPr>
                <w:rFonts w:eastAsiaTheme="minorEastAsia"/>
                <w:sz w:val="22"/>
                <w:szCs w:val="22"/>
              </w:rPr>
              <w:br/>
              <w:t>\ 1С-Бухгалтерия\</w:t>
            </w:r>
            <w:r w:rsidRPr="00226FB4">
              <w:rPr>
                <w:rFonts w:eastAsiaTheme="minorEastAsia"/>
                <w:sz w:val="22"/>
                <w:szCs w:val="22"/>
              </w:rPr>
              <w:br/>
            </w:r>
            <w:r w:rsidRPr="00226FB4">
              <w:rPr>
                <w:rFonts w:eastAsiaTheme="minorEastAsia"/>
                <w:i/>
                <w:iCs/>
                <w:sz w:val="22"/>
                <w:szCs w:val="22"/>
              </w:rPr>
              <w:t>Основание: пункт 4 ПБУ 1/2008 «Учетная политика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Рабочий план счетов бухгалтерского учета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9.</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 xml:space="preserve">В качестве рабочего плана счетов бухгалтерского учета использовать типовой План счетов, утвержденный приказом Минфина России от 31.10.2000 № 94н. При необходимости План счетов дополняется субсчетами, необходимыми в деятельности организации. </w:t>
            </w:r>
            <w:r w:rsidRPr="00226FB4">
              <w:rPr>
                <w:rFonts w:eastAsiaTheme="minorEastAsia"/>
                <w:sz w:val="22"/>
                <w:szCs w:val="22"/>
              </w:rPr>
              <w:br/>
            </w:r>
            <w:r w:rsidRPr="00226FB4">
              <w:rPr>
                <w:rFonts w:eastAsiaTheme="minorEastAsia"/>
                <w:i/>
                <w:iCs/>
                <w:sz w:val="22"/>
                <w:szCs w:val="22"/>
              </w:rPr>
              <w:t>Основание: пункт 8 Положения по ведению бухгалтерского учета и бухгалтерской отчетности в Российской Федерации, утвержденного приказом Минфина России от 29.07.98 № 34н</w:t>
            </w:r>
            <w:r w:rsidRPr="00226FB4">
              <w:rPr>
                <w:rFonts w:eastAsiaTheme="minorEastAsia"/>
                <w:sz w:val="22"/>
                <w:szCs w:val="22"/>
              </w:rPr>
              <w:t xml:space="preserve"> </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Оценка имущества, обязательств и хозяйственных операций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10.</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Бухгалтерский учет имущества, обязательств и хозяйственных операций в организации ведется в рублях и копейках.</w:t>
            </w:r>
            <w:r w:rsidRPr="00226FB4">
              <w:rPr>
                <w:rFonts w:eastAsiaTheme="minorEastAsia"/>
                <w:sz w:val="22"/>
                <w:szCs w:val="22"/>
              </w:rPr>
              <w:br/>
            </w:r>
            <w:r w:rsidRPr="00226FB4">
              <w:rPr>
                <w:rFonts w:eastAsiaTheme="minorEastAsia"/>
                <w:i/>
                <w:iCs/>
                <w:sz w:val="22"/>
                <w:szCs w:val="22"/>
              </w:rPr>
              <w:t>Основание: пункт 25 Положения по ведению бухгалтерского учета и бухгалтерской отчетности в Российской Федерации, утвержденного приказом Минфина России от 29.07.98 № 34н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Критерий существенности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11.</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i/>
                <w:iCs/>
                <w:sz w:val="22"/>
                <w:szCs w:val="22"/>
              </w:rPr>
            </w:pPr>
            <w:r w:rsidRPr="00226FB4">
              <w:rPr>
                <w:rFonts w:eastAsiaTheme="minorEastAsia"/>
                <w:sz w:val="22"/>
                <w:szCs w:val="22"/>
              </w:rPr>
              <w:t>Критерием существенности является величина, приводящая к искажению статьи отчетности более чем на 5 процентов.</w:t>
            </w:r>
            <w:r w:rsidRPr="00226FB4">
              <w:rPr>
                <w:rFonts w:eastAsiaTheme="minorEastAsia"/>
                <w:sz w:val="22"/>
                <w:szCs w:val="22"/>
              </w:rPr>
              <w:br/>
            </w:r>
            <w:r w:rsidRPr="00226FB4">
              <w:rPr>
                <w:rFonts w:eastAsiaTheme="minorEastAsia"/>
                <w:i/>
                <w:iCs/>
                <w:sz w:val="22"/>
                <w:szCs w:val="22"/>
              </w:rPr>
              <w:t>Основание: пункт 4 ПБУ 1/2008 «Учетная политика организации»</w:t>
            </w:r>
          </w:p>
          <w:p w:rsidR="00AA7EE0" w:rsidRPr="00226FB4" w:rsidRDefault="00AA7EE0" w:rsidP="00BB4B93">
            <w:pPr>
              <w:widowControl/>
              <w:spacing w:before="0" w:after="0"/>
              <w:ind w:firstLine="540"/>
              <w:jc w:val="both"/>
              <w:rPr>
                <w:rFonts w:eastAsiaTheme="minorEastAsia"/>
                <w:sz w:val="22"/>
                <w:szCs w:val="22"/>
              </w:rPr>
            </w:pPr>
          </w:p>
          <w:p w:rsidR="00AA7EE0" w:rsidRPr="00037586" w:rsidRDefault="00AA7EE0" w:rsidP="00037586">
            <w:pPr>
              <w:widowControl/>
              <w:spacing w:before="0" w:after="0"/>
              <w:jc w:val="both"/>
              <w:rPr>
                <w:rFonts w:eastAsiaTheme="minorEastAsia"/>
                <w:sz w:val="22"/>
                <w:szCs w:val="22"/>
              </w:rPr>
            </w:pPr>
            <w:r w:rsidRPr="00226FB4">
              <w:rPr>
                <w:rFonts w:eastAsiaTheme="minorEastAsia"/>
                <w:sz w:val="22"/>
                <w:szCs w:val="22"/>
              </w:rPr>
              <w:t>Ошибка признается существенной, если она в отдельности или в совокупности с другими ошибками за один и тот же отчетный период может повлиять на экономические решения пользователей, принимаемые ими на основе бухгалтерской отчетности, составленной за этот отчетный период.</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Формы первичных документов и отчетности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Формы первичных учетных документов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12.</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 качестве форм первичных учетных документов используются унифицированные формы, утвержденные Госкомстатом России. Дополнительно могут использоваться формы, разработанные организацией в соответствии со спецификой ее деятельности (используемые формы, приведены в приложении 4 к настоящей учетной политике).</w:t>
            </w:r>
            <w:r w:rsidRPr="00226FB4">
              <w:rPr>
                <w:rFonts w:eastAsiaTheme="minorEastAsia"/>
                <w:sz w:val="22"/>
                <w:szCs w:val="22"/>
              </w:rPr>
              <w:br/>
            </w:r>
            <w:r w:rsidRPr="00226FB4">
              <w:rPr>
                <w:rFonts w:eastAsiaTheme="minorEastAsia"/>
                <w:i/>
                <w:iCs/>
                <w:sz w:val="22"/>
                <w:szCs w:val="22"/>
              </w:rPr>
              <w:t>Основание: пункт 4 ПБУ 1/2008 «Учетная политика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 xml:space="preserve">Формы бухгалтерской отчетности </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13.</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i/>
                <w:iCs/>
                <w:sz w:val="22"/>
                <w:szCs w:val="22"/>
              </w:rPr>
            </w:pPr>
            <w:r w:rsidRPr="00226FB4">
              <w:rPr>
                <w:rFonts w:eastAsiaTheme="minorEastAsia"/>
                <w:sz w:val="22"/>
                <w:szCs w:val="22"/>
              </w:rPr>
              <w:t>Утвердить в качестве форм бухгалтерской отчетности формы, приведенные в приложении к приказу Минфина России от 22.07.03 № 67н.</w:t>
            </w:r>
            <w:r w:rsidRPr="00226FB4">
              <w:rPr>
                <w:rFonts w:eastAsiaTheme="minorEastAsia"/>
                <w:sz w:val="22"/>
                <w:szCs w:val="22"/>
              </w:rPr>
              <w:br/>
            </w:r>
            <w:r w:rsidRPr="00226FB4">
              <w:rPr>
                <w:rFonts w:eastAsiaTheme="minorEastAsia"/>
                <w:i/>
                <w:iCs/>
                <w:sz w:val="22"/>
                <w:szCs w:val="22"/>
              </w:rPr>
              <w:t>Основание: пункт 4 ПБУ 1/2008 «Учетная политика организации»</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Подтверждать данные, отраженные в балансе будут следующие формы годовой отчетности:</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 xml:space="preserve">«Отчет об изменении капитала», «Отчет о движении денежных средств», </w:t>
            </w:r>
          </w:p>
          <w:p w:rsidR="00AA7EE0" w:rsidRPr="00226FB4" w:rsidRDefault="00AA7EE0" w:rsidP="00BB4B93">
            <w:pPr>
              <w:spacing w:before="14" w:after="120"/>
              <w:ind w:left="17"/>
              <w:jc w:val="both"/>
              <w:rPr>
                <w:rFonts w:eastAsiaTheme="minorEastAsia"/>
                <w:b/>
                <w:bCs/>
                <w:sz w:val="22"/>
                <w:szCs w:val="22"/>
              </w:rPr>
            </w:pPr>
            <w:r w:rsidRPr="00226FB4">
              <w:rPr>
                <w:rFonts w:eastAsiaTheme="minorEastAsia"/>
                <w:sz w:val="22"/>
                <w:szCs w:val="22"/>
              </w:rPr>
              <w:t>«Пояснения к бухгалтерскому балансу».</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График документооборота и инвентаризации активов и обязательств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График документооборота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14.</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График документооборота утверждается отдельным приказом руководителя компании.</w:t>
            </w:r>
            <w:r w:rsidRPr="00226FB4">
              <w:rPr>
                <w:rFonts w:eastAsiaTheme="minorEastAsia"/>
                <w:sz w:val="22"/>
                <w:szCs w:val="22"/>
              </w:rPr>
              <w:br/>
            </w:r>
            <w:r w:rsidRPr="00226FB4">
              <w:rPr>
                <w:rFonts w:eastAsiaTheme="minorEastAsia"/>
                <w:i/>
                <w:iCs/>
                <w:sz w:val="22"/>
                <w:szCs w:val="22"/>
              </w:rPr>
              <w:t>Основание: пункт 4 ПБУ 1/2008 «Учетная политика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График инвентаризации активов и обязательств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15.</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Инвентаризация имущества и обязательств проводится в соответствии с порядком, утвержденным приказом Минфина России от 13.06.95 № 49. Устанавливаются следующие сроки проведения инвентаризации активов и обязательств:</w:t>
            </w:r>
          </w:p>
          <w:tbl>
            <w:tblPr>
              <w:tblW w:w="0" w:type="auto"/>
              <w:tblLayout w:type="fixed"/>
              <w:tblLook w:val="0000"/>
            </w:tblPr>
            <w:tblGrid>
              <w:gridCol w:w="4560"/>
              <w:gridCol w:w="4560"/>
            </w:tblGrid>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Вид актива или обязательств</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Сроки (период) проведения инвентаризации</w:t>
                  </w:r>
                </w:p>
              </w:tc>
            </w:tr>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Основные средства</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Раз в три года или при смене материально-ответственных лиц </w:t>
                  </w:r>
                </w:p>
              </w:tc>
            </w:tr>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Материалы</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Один раз в год</w:t>
                  </w:r>
                </w:p>
              </w:tc>
            </w:tr>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Дебиторская и кредиторская задолженность</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Один раз в квартал</w:t>
                  </w:r>
                </w:p>
              </w:tc>
            </w:tr>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Денежные средства в кассе</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Два раза в год и при смене     материально-ответственных лиц</w:t>
                  </w:r>
                </w:p>
              </w:tc>
            </w:tr>
            <w:tr w:rsidR="00AA7EE0" w:rsidRPr="00226FB4">
              <w:tblPrEx>
                <w:tblCellMar>
                  <w:top w:w="0" w:type="dxa"/>
                  <w:bottom w:w="0" w:type="dxa"/>
                </w:tblCellMar>
              </w:tblPrEx>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 xml:space="preserve"> Расходы будущих периодов</w:t>
                  </w:r>
                </w:p>
              </w:tc>
              <w:tc>
                <w:tcPr>
                  <w:tcW w:w="4560" w:type="dxa"/>
                  <w:tcBorders>
                    <w:top w:val="single" w:sz="4" w:space="0" w:color="auto"/>
                    <w:left w:val="single" w:sz="4" w:space="0" w:color="auto"/>
                    <w:bottom w:val="single" w:sz="4" w:space="0" w:color="auto"/>
                    <w:right w:val="single" w:sz="4" w:space="0" w:color="auto"/>
                  </w:tcBorders>
                  <w:shd w:val="clear" w:color="auto" w:fill="000000"/>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Один раз в год</w:t>
                  </w:r>
                </w:p>
              </w:tc>
            </w:tr>
          </w:tbl>
          <w:p w:rsidR="00AA7EE0" w:rsidRPr="00226FB4" w:rsidRDefault="00AA7EE0" w:rsidP="00BB4B93">
            <w:pPr>
              <w:spacing w:before="0" w:after="0"/>
              <w:jc w:val="both"/>
              <w:rPr>
                <w:rFonts w:eastAsiaTheme="minorEastAsia"/>
                <w:sz w:val="22"/>
                <w:szCs w:val="22"/>
              </w:rPr>
            </w:pPr>
          </w:p>
          <w:p w:rsidR="00AA7EE0" w:rsidRPr="00226FB4" w:rsidRDefault="00AA7EE0" w:rsidP="00BB4B93">
            <w:pPr>
              <w:spacing w:before="14" w:after="120"/>
              <w:ind w:left="17"/>
              <w:jc w:val="both"/>
              <w:rPr>
                <w:rFonts w:eastAsiaTheme="minorEastAsia"/>
                <w:sz w:val="22"/>
                <w:szCs w:val="22"/>
              </w:rPr>
            </w:pPr>
            <w:r w:rsidRPr="00226FB4">
              <w:rPr>
                <w:rFonts w:eastAsiaTheme="minorEastAsia"/>
                <w:i/>
                <w:iCs/>
                <w:sz w:val="22"/>
                <w:szCs w:val="22"/>
              </w:rPr>
              <w:t>Основание: пункт 4 ПБУ 1/2008 «Учетная политика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480" w:after="120"/>
              <w:ind w:left="17"/>
              <w:jc w:val="both"/>
              <w:rPr>
                <w:rFonts w:eastAsiaTheme="minorEastAsia"/>
                <w:sz w:val="22"/>
                <w:szCs w:val="22"/>
              </w:rPr>
            </w:pPr>
            <w:r w:rsidRPr="00226FB4">
              <w:rPr>
                <w:rFonts w:eastAsiaTheme="minorEastAsia"/>
                <w:b/>
                <w:bCs/>
                <w:sz w:val="22"/>
                <w:szCs w:val="22"/>
              </w:rPr>
              <w:t>Способы ведения бухгалтерского учета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Основные средства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Лимит стоимости основных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16.</w:t>
            </w:r>
          </w:p>
        </w:tc>
        <w:tc>
          <w:tcPr>
            <w:tcW w:w="9241" w:type="dxa"/>
            <w:tcBorders>
              <w:top w:val="nil"/>
              <w:left w:val="nil"/>
              <w:bottom w:val="nil"/>
              <w:right w:val="nil"/>
            </w:tcBorders>
          </w:tcPr>
          <w:p w:rsidR="00AA7EE0" w:rsidRPr="00037586" w:rsidRDefault="00AA7EE0" w:rsidP="00037586">
            <w:pPr>
              <w:spacing w:before="14" w:after="120"/>
              <w:ind w:left="17"/>
              <w:jc w:val="both"/>
              <w:rPr>
                <w:rFonts w:eastAsiaTheme="minorEastAsia"/>
                <w:i/>
                <w:iCs/>
                <w:sz w:val="22"/>
                <w:szCs w:val="22"/>
                <w:lang w:val="en-US"/>
              </w:rPr>
            </w:pPr>
            <w:r w:rsidRPr="00226FB4">
              <w:rPr>
                <w:rFonts w:eastAsiaTheme="minorEastAsia"/>
                <w:sz w:val="22"/>
                <w:szCs w:val="22"/>
              </w:rPr>
              <w:t>Установить лимит стоимости активов, которые будут учитываться в составе основных средств, в размере 20 000 рублей.</w:t>
            </w:r>
            <w:r w:rsidRPr="00226FB4">
              <w:rPr>
                <w:rFonts w:eastAsiaTheme="minorEastAsia"/>
                <w:sz w:val="22"/>
                <w:szCs w:val="22"/>
              </w:rPr>
              <w:br/>
            </w:r>
            <w:r w:rsidRPr="00226FB4">
              <w:rPr>
                <w:rFonts w:eastAsiaTheme="minorEastAsia"/>
                <w:i/>
                <w:iCs/>
                <w:sz w:val="22"/>
                <w:szCs w:val="22"/>
              </w:rPr>
              <w:t>Основание: пункт 5 ПБУ 6/01 «Учет основных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Переоценка основных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17.</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 2011 году основные средства переоцениваться не будут.</w:t>
            </w:r>
            <w:r w:rsidRPr="00226FB4">
              <w:rPr>
                <w:rFonts w:eastAsiaTheme="minorEastAsia"/>
                <w:sz w:val="22"/>
                <w:szCs w:val="22"/>
              </w:rPr>
              <w:br/>
            </w:r>
            <w:r w:rsidRPr="00226FB4">
              <w:rPr>
                <w:rFonts w:eastAsiaTheme="minorEastAsia"/>
                <w:i/>
                <w:iCs/>
                <w:sz w:val="22"/>
                <w:szCs w:val="22"/>
              </w:rPr>
              <w:t>Основание: пункт 15 ПБУ 6/01 «Учет основных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Ремонт основных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18.</w:t>
            </w:r>
          </w:p>
        </w:tc>
        <w:tc>
          <w:tcPr>
            <w:tcW w:w="9241" w:type="dxa"/>
            <w:tcBorders>
              <w:top w:val="nil"/>
              <w:left w:val="nil"/>
              <w:bottom w:val="nil"/>
              <w:right w:val="nil"/>
            </w:tcBorders>
          </w:tcPr>
          <w:p w:rsidR="00AA7EE0" w:rsidRPr="00037586" w:rsidRDefault="00AA7EE0" w:rsidP="00037586">
            <w:pPr>
              <w:spacing w:before="14" w:after="120"/>
              <w:ind w:left="17"/>
              <w:jc w:val="both"/>
              <w:rPr>
                <w:rFonts w:eastAsiaTheme="minorEastAsia"/>
                <w:sz w:val="22"/>
                <w:szCs w:val="22"/>
              </w:rPr>
            </w:pPr>
            <w:r w:rsidRPr="00226FB4">
              <w:rPr>
                <w:rFonts w:eastAsiaTheme="minorEastAsia"/>
                <w:sz w:val="22"/>
                <w:szCs w:val="22"/>
              </w:rPr>
              <w:t>Резерв на ремонт основных средств не создается.</w:t>
            </w:r>
            <w:r w:rsidRPr="00226FB4">
              <w:rPr>
                <w:rFonts w:eastAsiaTheme="minorEastAsia"/>
                <w:sz w:val="22"/>
                <w:szCs w:val="22"/>
              </w:rPr>
              <w:br/>
            </w:r>
            <w:r w:rsidRPr="00226FB4">
              <w:rPr>
                <w:rFonts w:eastAsiaTheme="minorEastAsia"/>
                <w:i/>
                <w:iCs/>
                <w:sz w:val="22"/>
                <w:szCs w:val="22"/>
              </w:rPr>
              <w:t>Основание: пункт 27 ПБУ 6/01 «Учет основных средств»</w:t>
            </w:r>
            <w:r w:rsidRPr="00226FB4">
              <w:rPr>
                <w:rFonts w:eastAsiaTheme="minorEastAsia"/>
                <w:sz w:val="22"/>
                <w:szCs w:val="22"/>
              </w:rPr>
              <w:t xml:space="preserve"> и пункт 72 Положения по ведению бухгалтерского учета и бухгалтерской отчетности в Российской Федерации, утвержденного </w:t>
            </w:r>
            <w:r w:rsidRPr="00226FB4">
              <w:rPr>
                <w:rFonts w:eastAsiaTheme="minorEastAsia"/>
                <w:sz w:val="22"/>
                <w:szCs w:val="22"/>
              </w:rPr>
              <w:lastRenderedPageBreak/>
              <w:t>приказом Минфина России от 29.07.98 №34н&lt;/i&gt;</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lastRenderedPageBreak/>
              <w:t>19.</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Расходы на ремонт отражаются в бухгалтерском учете в себестоимости продукции (работ, услуг) того отчетного периода, в котором были произведены ремонтные работы.</w:t>
            </w:r>
            <w:r w:rsidRPr="00226FB4">
              <w:rPr>
                <w:rFonts w:eastAsiaTheme="minorEastAsia"/>
                <w:sz w:val="22"/>
                <w:szCs w:val="22"/>
              </w:rPr>
              <w:br/>
            </w:r>
            <w:r w:rsidRPr="00226FB4">
              <w:rPr>
                <w:rFonts w:eastAsiaTheme="minorEastAsia"/>
                <w:i/>
                <w:iCs/>
                <w:sz w:val="22"/>
                <w:szCs w:val="22"/>
              </w:rPr>
              <w:t>Основание: пункт 27 ПБУ 6/01 «Учет основных средств»</w:t>
            </w:r>
            <w:r w:rsidRPr="00226FB4">
              <w:rPr>
                <w:rFonts w:eastAsiaTheme="minorEastAsia"/>
                <w:sz w:val="22"/>
                <w:szCs w:val="22"/>
              </w:rPr>
              <w:t xml:space="preserve"> и пункт 72 Положения по ведению бухгалтерского учета и бухгалтерской отчетности в Российской Федерации, утвержденного приказом Минфина России от 29.07.98 №34н&lt;/i&gt;</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Нематериальные активы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Оценка нематериальных активов, приобретенных не за денежные средства</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20.</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Нематериальные активы, приобретенные не за денежные средства, оцениваются по стоимости активов, переданных или подлежащих передаче организацией.</w:t>
            </w:r>
            <w:r w:rsidRPr="00226FB4">
              <w:rPr>
                <w:rFonts w:eastAsiaTheme="minorEastAsia"/>
                <w:sz w:val="22"/>
                <w:szCs w:val="22"/>
              </w:rPr>
              <w:br/>
            </w:r>
            <w:r w:rsidRPr="00226FB4">
              <w:rPr>
                <w:rFonts w:eastAsiaTheme="minorEastAsia"/>
                <w:i/>
                <w:iCs/>
                <w:sz w:val="22"/>
                <w:szCs w:val="22"/>
              </w:rPr>
              <w:t>Основание: пункт 14 ПБУ 14/2007 «Учет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Срок полезного использования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21.</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Срок полезного использования нематериального актива определяется исходя из срока действия прав организации на результат интеллектуальной деятельности или средство индивидуализации и периода контроля над активом.</w:t>
            </w:r>
            <w:r w:rsidRPr="00226FB4">
              <w:rPr>
                <w:rFonts w:eastAsiaTheme="minorEastAsia"/>
                <w:sz w:val="22"/>
                <w:szCs w:val="22"/>
              </w:rPr>
              <w:br/>
            </w:r>
            <w:r w:rsidRPr="00226FB4">
              <w:rPr>
                <w:rFonts w:eastAsiaTheme="minorEastAsia"/>
                <w:i/>
                <w:iCs/>
                <w:sz w:val="22"/>
                <w:szCs w:val="22"/>
              </w:rPr>
              <w:t>Основание: пункт 26 ПБУ 14/2007 «Учет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Амортизация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22.</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Для всех нематериальных активов используется один способ начисления амортизации.</w:t>
            </w:r>
            <w:r w:rsidRPr="00226FB4">
              <w:rPr>
                <w:rFonts w:eastAsiaTheme="minorEastAsia"/>
                <w:sz w:val="22"/>
                <w:szCs w:val="22"/>
              </w:rPr>
              <w:br/>
            </w:r>
            <w:r w:rsidRPr="00226FB4">
              <w:rPr>
                <w:rFonts w:eastAsiaTheme="minorEastAsia"/>
                <w:i/>
                <w:iCs/>
                <w:sz w:val="22"/>
                <w:szCs w:val="22"/>
              </w:rPr>
              <w:t>Основание: пункт 28 ПБУ 14/2007 «Учет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23.</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Амортизация по всем нематериальным активам начисляется линейным способом.</w:t>
            </w:r>
            <w:r w:rsidRPr="00226FB4">
              <w:rPr>
                <w:rFonts w:eastAsiaTheme="minorEastAsia"/>
                <w:sz w:val="22"/>
                <w:szCs w:val="22"/>
              </w:rPr>
              <w:br/>
            </w:r>
            <w:r w:rsidRPr="00226FB4">
              <w:rPr>
                <w:rFonts w:eastAsiaTheme="minorEastAsia"/>
                <w:i/>
                <w:iCs/>
                <w:sz w:val="22"/>
                <w:szCs w:val="22"/>
              </w:rPr>
              <w:t>Основание: пункт 28 ПБУ 14/2007 «Учет нематериальных активов»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материалов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Единица учета материалов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24.</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Единицей учета материалов является номенклатурный номер.</w:t>
            </w:r>
            <w:r w:rsidRPr="00226FB4">
              <w:rPr>
                <w:rFonts w:eastAsiaTheme="minorEastAsia"/>
                <w:sz w:val="22"/>
                <w:szCs w:val="22"/>
              </w:rPr>
              <w:br/>
            </w:r>
            <w:r w:rsidRPr="00226FB4">
              <w:rPr>
                <w:rFonts w:eastAsiaTheme="minorEastAsia"/>
                <w:i/>
                <w:iCs/>
                <w:sz w:val="22"/>
                <w:szCs w:val="22"/>
              </w:rPr>
              <w:t>Основание: пункт 3 ПБУ 5/01 «Учет материально-производственных запасов»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Оценка материалов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25.</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Материалы учитываются по фактическим ценам.</w:t>
            </w:r>
            <w:r w:rsidRPr="00226FB4">
              <w:rPr>
                <w:rFonts w:eastAsiaTheme="minorEastAsia"/>
                <w:sz w:val="22"/>
                <w:szCs w:val="22"/>
              </w:rPr>
              <w:br/>
            </w:r>
            <w:r w:rsidRPr="00226FB4">
              <w:rPr>
                <w:rFonts w:eastAsiaTheme="minorEastAsia"/>
                <w:i/>
                <w:iCs/>
                <w:sz w:val="22"/>
                <w:szCs w:val="22"/>
              </w:rPr>
              <w:t>Основание: пункт 5 ПБУ 5/01 «Учет материально-производственных запасов»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Списание материалов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26.</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Для оценки всех материалов при их передаче в производство или на иные цели используется один способ.</w:t>
            </w:r>
            <w:r w:rsidRPr="00226FB4">
              <w:rPr>
                <w:rFonts w:eastAsiaTheme="minorEastAsia"/>
                <w:sz w:val="22"/>
                <w:szCs w:val="22"/>
              </w:rPr>
              <w:br/>
            </w:r>
            <w:r w:rsidRPr="00226FB4">
              <w:rPr>
                <w:rFonts w:eastAsiaTheme="minorEastAsia"/>
                <w:i/>
                <w:iCs/>
                <w:sz w:val="22"/>
                <w:szCs w:val="22"/>
              </w:rPr>
              <w:t>Основание: пункт 16 ПБУ 5/01 «Учет материально-производственных запасов» и пункт 73 Методических указаний по бухгалтерскому учету материально-производственных запасов, утвержденных приказом Минфина России от 28.12.01 № 119н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27.</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Все материалы, отпускаемые в производство или на иные цели, оцениваются по средней себестоимости.</w:t>
            </w:r>
            <w:r w:rsidRPr="00226FB4">
              <w:rPr>
                <w:rFonts w:eastAsiaTheme="minorEastAsia"/>
                <w:sz w:val="22"/>
                <w:szCs w:val="22"/>
              </w:rPr>
              <w:br/>
            </w:r>
            <w:r w:rsidRPr="00226FB4">
              <w:rPr>
                <w:rFonts w:eastAsiaTheme="minorEastAsia"/>
                <w:i/>
                <w:iCs/>
                <w:sz w:val="22"/>
                <w:szCs w:val="22"/>
              </w:rPr>
              <w:t>Основание: пункт 16 ПБУ 5/01 «Учет материально-производственных запасов»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спецоснастки и спецодежды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Способ учета спецоснастки и спецодежды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28.</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Спецоснастка и спецодежда учитываются в порядке, предусмотренном для учета материально-производственных запасов.</w:t>
            </w:r>
            <w:r w:rsidRPr="00226FB4">
              <w:rPr>
                <w:rFonts w:eastAsiaTheme="minorEastAsia"/>
                <w:sz w:val="22"/>
                <w:szCs w:val="22"/>
              </w:rPr>
              <w:br/>
            </w:r>
            <w:r w:rsidRPr="00226FB4">
              <w:rPr>
                <w:rFonts w:eastAsiaTheme="minorEastAsia"/>
                <w:i/>
                <w:iCs/>
                <w:sz w:val="22"/>
                <w:szCs w:val="22"/>
              </w:rPr>
              <w:t>Основание: пункт 11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Списание недолговечной спецодежды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29.</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Стоимость специальной одежды, срок эксплуатации которой не превышает 12 месяцев, единовременно списывается в расходы в момент ее передачи (отпуска) сотрудникам.</w:t>
            </w:r>
            <w:r w:rsidRPr="00226FB4">
              <w:rPr>
                <w:rFonts w:eastAsiaTheme="minorEastAsia"/>
                <w:sz w:val="22"/>
                <w:szCs w:val="22"/>
              </w:rPr>
              <w:br/>
            </w:r>
            <w:r w:rsidRPr="00226FB4">
              <w:rPr>
                <w:rFonts w:eastAsiaTheme="minorEastAsia"/>
                <w:i/>
                <w:iCs/>
                <w:sz w:val="22"/>
                <w:szCs w:val="22"/>
              </w:rPr>
              <w:t>Основание: пункт 21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Забалансовый учет спецоснастки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30.</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Забалансовый учет специальной оснастки не ведется.</w:t>
            </w:r>
            <w:r w:rsidRPr="00226FB4">
              <w:rPr>
                <w:rFonts w:eastAsiaTheme="minorEastAsia"/>
                <w:sz w:val="22"/>
                <w:szCs w:val="22"/>
              </w:rPr>
              <w:br/>
            </w:r>
            <w:r w:rsidRPr="00226FB4">
              <w:rPr>
                <w:rFonts w:eastAsiaTheme="minorEastAsia"/>
                <w:i/>
                <w:iCs/>
                <w:sz w:val="22"/>
                <w:szCs w:val="22"/>
              </w:rPr>
              <w:t>Основание: пункт 23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Единица учета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31.</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Единицей учета финансовых вложений является серия.</w:t>
            </w:r>
            <w:r w:rsidRPr="00226FB4">
              <w:rPr>
                <w:rFonts w:eastAsiaTheme="minorEastAsia"/>
                <w:sz w:val="22"/>
                <w:szCs w:val="22"/>
              </w:rPr>
              <w:br/>
            </w:r>
            <w:r w:rsidRPr="00226FB4">
              <w:rPr>
                <w:rFonts w:eastAsiaTheme="minorEastAsia"/>
                <w:i/>
                <w:iCs/>
                <w:sz w:val="22"/>
                <w:szCs w:val="22"/>
              </w:rPr>
              <w:t>Основание: пункт 5 ПБУ 19/02 «Учет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Стоимость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32.</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Несущественные (критерий существенности определен в разделе «Организация бухгалтерского учета» учетной политики для целей бухгалтерского учета) затраты при приобретении финансовых вложений учитываются в первоначальной стоимости финансовых вложений.</w:t>
            </w:r>
            <w:r w:rsidRPr="00226FB4">
              <w:rPr>
                <w:rFonts w:eastAsiaTheme="minorEastAsia"/>
                <w:sz w:val="22"/>
                <w:szCs w:val="22"/>
              </w:rPr>
              <w:br/>
            </w:r>
            <w:r w:rsidRPr="00226FB4">
              <w:rPr>
                <w:rFonts w:eastAsiaTheme="minorEastAsia"/>
                <w:i/>
                <w:iCs/>
                <w:sz w:val="22"/>
                <w:szCs w:val="22"/>
              </w:rPr>
              <w:t>Основание: пункт 11 ПБУ 19/02 «Учет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Переоценка финансовых вложений, по которым можно определить текущую рыночную стоимость</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33.</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Оценка финансовых вложений, по которым можно определить текущую рыночную стоимость, корректируется ежеквартально.</w:t>
            </w:r>
            <w:r w:rsidRPr="00226FB4">
              <w:rPr>
                <w:rFonts w:eastAsiaTheme="minorEastAsia"/>
                <w:sz w:val="22"/>
                <w:szCs w:val="22"/>
              </w:rPr>
              <w:br/>
            </w:r>
            <w:r w:rsidRPr="00226FB4">
              <w:rPr>
                <w:rFonts w:eastAsiaTheme="minorEastAsia"/>
                <w:i/>
                <w:iCs/>
                <w:sz w:val="22"/>
                <w:szCs w:val="22"/>
              </w:rPr>
              <w:t>Основание: пункт 20 ПБУ 19/02 «Учет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Учет долговых ценных бумаг, по которым не определяется текущая рыночная стоимость</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34.</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Разница между первоначальной и номинальной стоимостью долговых ценных бумаг, по которым не определяется текущая рыночная стоимость, относится на финансовые результаты (в составе прочих доходов или расходов) равномерно по мере получения дохода, причитающегося по ценным бумагам в соответствии с условиями выпуска.</w:t>
            </w:r>
            <w:r w:rsidRPr="00226FB4">
              <w:rPr>
                <w:rFonts w:eastAsiaTheme="minorEastAsia"/>
                <w:sz w:val="22"/>
                <w:szCs w:val="22"/>
              </w:rPr>
              <w:br/>
            </w:r>
            <w:r w:rsidRPr="00226FB4">
              <w:rPr>
                <w:rFonts w:eastAsiaTheme="minorEastAsia"/>
                <w:i/>
                <w:iCs/>
                <w:sz w:val="22"/>
                <w:szCs w:val="22"/>
              </w:rPr>
              <w:t>Основание: пункт 22 ПБУ 19/02 «Учет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Списание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35.</w:t>
            </w:r>
          </w:p>
        </w:tc>
        <w:tc>
          <w:tcPr>
            <w:tcW w:w="9241" w:type="dxa"/>
            <w:tcBorders>
              <w:top w:val="nil"/>
              <w:left w:val="nil"/>
              <w:bottom w:val="nil"/>
              <w:right w:val="nil"/>
            </w:tcBorders>
          </w:tcPr>
          <w:p w:rsidR="00AA7EE0" w:rsidRPr="00037586" w:rsidRDefault="00AA7EE0" w:rsidP="00037586">
            <w:pPr>
              <w:spacing w:before="14" w:after="120"/>
              <w:ind w:left="17"/>
              <w:jc w:val="both"/>
              <w:rPr>
                <w:rFonts w:eastAsiaTheme="minorEastAsia"/>
                <w:i/>
                <w:iCs/>
                <w:sz w:val="22"/>
                <w:szCs w:val="22"/>
                <w:lang w:val="en-US"/>
              </w:rPr>
            </w:pPr>
            <w:r w:rsidRPr="00226FB4">
              <w:rPr>
                <w:rFonts w:eastAsiaTheme="minorEastAsia"/>
                <w:sz w:val="22"/>
                <w:szCs w:val="22"/>
              </w:rPr>
              <w:t>При списании финансовых вложений, по которым не определяется их текущая рыночная стоимость, они оцениваются по первоначальной стоимости каждой единицы финансовых вложений.</w:t>
            </w:r>
            <w:r w:rsidRPr="00226FB4">
              <w:rPr>
                <w:rFonts w:eastAsiaTheme="minorEastAsia"/>
                <w:sz w:val="22"/>
                <w:szCs w:val="22"/>
              </w:rPr>
              <w:br/>
            </w:r>
            <w:r w:rsidRPr="00226FB4">
              <w:rPr>
                <w:rFonts w:eastAsiaTheme="minorEastAsia"/>
                <w:i/>
                <w:iCs/>
                <w:sz w:val="22"/>
                <w:szCs w:val="22"/>
              </w:rPr>
              <w:lastRenderedPageBreak/>
              <w:t>Основание: пункт 26 ПБУ 19/02 «Учет финансовых вложений»</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кредитов и займов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Учет прочих расходов, связанных с получением заемных средств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36.</w:t>
            </w:r>
          </w:p>
        </w:tc>
        <w:tc>
          <w:tcPr>
            <w:tcW w:w="9241" w:type="dxa"/>
            <w:tcBorders>
              <w:top w:val="nil"/>
              <w:left w:val="nil"/>
              <w:bottom w:val="nil"/>
              <w:right w:val="nil"/>
            </w:tcBorders>
          </w:tcPr>
          <w:p w:rsidR="00AA7EE0" w:rsidRPr="00037586" w:rsidRDefault="00AA7EE0" w:rsidP="00037586">
            <w:pPr>
              <w:spacing w:before="14" w:after="120"/>
              <w:ind w:left="17"/>
              <w:jc w:val="both"/>
              <w:rPr>
                <w:rFonts w:eastAsiaTheme="minorEastAsia"/>
                <w:i/>
                <w:iCs/>
                <w:sz w:val="22"/>
                <w:szCs w:val="22"/>
                <w:lang w:val="en-US"/>
              </w:rPr>
            </w:pPr>
            <w:r w:rsidRPr="00226FB4">
              <w:rPr>
                <w:rFonts w:eastAsiaTheme="minorEastAsia"/>
                <w:sz w:val="22"/>
                <w:szCs w:val="22"/>
              </w:rPr>
              <w:t>Расходы, связанные с получением заемных средств, учитываются в полной сумме в том отчетном периоде, когда эти затраты были произведены.</w:t>
            </w:r>
            <w:r w:rsidRPr="00226FB4">
              <w:rPr>
                <w:rFonts w:eastAsiaTheme="minorEastAsia"/>
                <w:sz w:val="22"/>
                <w:szCs w:val="22"/>
              </w:rPr>
              <w:br/>
            </w:r>
            <w:r w:rsidRPr="00226FB4">
              <w:rPr>
                <w:rFonts w:eastAsiaTheme="minorEastAsia"/>
                <w:i/>
                <w:iCs/>
                <w:sz w:val="22"/>
                <w:szCs w:val="22"/>
              </w:rPr>
              <w:t>Основание: пункт 8 ПБУ 15/2008 «Учет расходов по займам и кредитам»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Учет причитающихся процентов или дисконта по выданным векселям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37.</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Начисленные проценты или дисконт на вексельную сумму отражаются равномерно в течение предусмотренного векселем срока выплаты полученных взаймы денежных средств.</w:t>
            </w:r>
            <w:r w:rsidRPr="00226FB4">
              <w:rPr>
                <w:rFonts w:eastAsiaTheme="minorEastAsia"/>
                <w:sz w:val="22"/>
                <w:szCs w:val="22"/>
              </w:rPr>
              <w:br/>
            </w:r>
            <w:r w:rsidRPr="00226FB4">
              <w:rPr>
                <w:rFonts w:eastAsiaTheme="minorEastAsia"/>
                <w:i/>
                <w:iCs/>
                <w:sz w:val="22"/>
                <w:szCs w:val="22"/>
              </w:rPr>
              <w:t>Основание: пункт 15 ПБУ 15/2008 «Учет расходов по займам и кредитам»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Учет причитающихся процентов или дисконта по размещенным облигациям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38.</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Начисленные проценты или дисконт по облигациям учитываются равномерно в течение срока облигационного займа.</w:t>
            </w:r>
            <w:r w:rsidRPr="00226FB4">
              <w:rPr>
                <w:rFonts w:eastAsiaTheme="minorEastAsia"/>
                <w:sz w:val="22"/>
                <w:szCs w:val="22"/>
              </w:rPr>
              <w:br/>
            </w:r>
            <w:r w:rsidRPr="00226FB4">
              <w:rPr>
                <w:rFonts w:eastAsiaTheme="minorEastAsia"/>
                <w:i/>
                <w:iCs/>
                <w:sz w:val="22"/>
                <w:szCs w:val="22"/>
              </w:rPr>
              <w:t>Основание: пункт 16 ПБУ 15/2008 «Учет расходов по займам и кредитам»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Резервы</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jc w:val="both"/>
              <w:rPr>
                <w:rFonts w:eastAsiaTheme="minorEastAsia"/>
                <w:sz w:val="22"/>
                <w:szCs w:val="22"/>
              </w:rPr>
            </w:pPr>
            <w:r w:rsidRPr="00226FB4">
              <w:rPr>
                <w:rFonts w:eastAsiaTheme="minorEastAsia"/>
                <w:b/>
                <w:bCs/>
                <w:i/>
                <w:iCs/>
                <w:sz w:val="22"/>
                <w:szCs w:val="22"/>
              </w:rPr>
              <w:t>Резерв сомнительных долгов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39.</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i/>
                <w:iCs/>
                <w:sz w:val="22"/>
                <w:szCs w:val="22"/>
              </w:rPr>
            </w:pPr>
            <w:r w:rsidRPr="00226FB4">
              <w:rPr>
                <w:rFonts w:eastAsiaTheme="minorEastAsia"/>
                <w:sz w:val="22"/>
                <w:szCs w:val="22"/>
              </w:rPr>
              <w:t>Резерв сомнительных долгов по расчетам с другими лицами создается.</w:t>
            </w:r>
            <w:r w:rsidRPr="00226FB4">
              <w:rPr>
                <w:rFonts w:eastAsiaTheme="minorEastAsia"/>
                <w:sz w:val="22"/>
                <w:szCs w:val="22"/>
              </w:rPr>
              <w:br/>
            </w:r>
            <w:r w:rsidRPr="00226FB4">
              <w:rPr>
                <w:rFonts w:eastAsiaTheme="minorEastAsia"/>
                <w:i/>
                <w:iCs/>
                <w:sz w:val="22"/>
                <w:szCs w:val="22"/>
              </w:rPr>
              <w:t>Основание: пункт 70 Положения по ведению бухгалтерского учета и бухгалтерской отчетности в Российской Федерации, утвержденного приказом Минфина России от 29.07.98 № 34н</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Сомнительной считается дебиторская задолженность организации, которая:</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 xml:space="preserve">- с высокой степенью вероятности не будет погашена в сроки, установленные договором. Дебиторская задолженность по договорам аренды будет отнесена к сомнительной на основании заключения  ЗАО «Влакра» о платежеспособности контрагента. </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Прочая дебиторская задолженность будет отнесена к сомнительной в случае нарушения сроков, предусмотренных договорами, регламентирующими отношения сторон.</w:t>
            </w:r>
          </w:p>
          <w:p w:rsidR="00AA7EE0" w:rsidRPr="00226FB4" w:rsidRDefault="00AA7EE0" w:rsidP="00BB4B93">
            <w:pPr>
              <w:widowControl/>
              <w:spacing w:before="0" w:after="0"/>
              <w:jc w:val="both"/>
              <w:rPr>
                <w:rFonts w:eastAsiaTheme="minorEastAsia"/>
                <w:sz w:val="22"/>
                <w:szCs w:val="22"/>
              </w:rPr>
            </w:pPr>
          </w:p>
          <w:tbl>
            <w:tblPr>
              <w:tblW w:w="0" w:type="auto"/>
              <w:tblLayout w:type="fixed"/>
              <w:tblCellMar>
                <w:left w:w="0" w:type="dxa"/>
                <w:right w:w="0" w:type="dxa"/>
              </w:tblCellMar>
              <w:tblLook w:val="0000"/>
            </w:tblPr>
            <w:tblGrid>
              <w:gridCol w:w="9214"/>
            </w:tblGrid>
            <w:tr w:rsidR="00AA7EE0" w:rsidRPr="00226FB4">
              <w:tblPrEx>
                <w:tblCellMar>
                  <w:top w:w="0" w:type="dxa"/>
                  <w:bottom w:w="0" w:type="dxa"/>
                </w:tblCellMar>
              </w:tblPrEx>
              <w:tc>
                <w:tcPr>
                  <w:tcW w:w="9214" w:type="dxa"/>
                  <w:tcBorders>
                    <w:top w:val="nil"/>
                    <w:left w:val="nil"/>
                    <w:bottom w:val="nil"/>
                    <w:right w:val="nil"/>
                  </w:tcBorders>
                  <w:shd w:val="clear" w:color="auto" w:fill="000000"/>
                </w:tcPr>
                <w:p w:rsidR="00AA7EE0" w:rsidRPr="00226FB4" w:rsidRDefault="00AA7EE0" w:rsidP="00BB4B93">
                  <w:pPr>
                    <w:widowControl/>
                    <w:spacing w:before="0" w:after="200" w:line="276" w:lineRule="auto"/>
                    <w:jc w:val="both"/>
                    <w:rPr>
                      <w:rFonts w:eastAsiaTheme="minorEastAsia"/>
                      <w:sz w:val="22"/>
                      <w:szCs w:val="22"/>
                    </w:rPr>
                  </w:pPr>
                  <w:r w:rsidRPr="00226FB4">
                    <w:rPr>
                      <w:rFonts w:eastAsiaTheme="minorEastAsia"/>
                      <w:sz w:val="22"/>
                      <w:szCs w:val="22"/>
                    </w:rPr>
                    <w:t>Сумма создаваемого резерва по сомнительным долгам будет равна сумме сомнительной дебиторской задолженности, выявленной в конце каждого отчетного периода, а так же подтвержденная заключением ЗАО «Влакра» в части задолженности по договорам аренды.</w:t>
                  </w:r>
                </w:p>
              </w:tc>
            </w:tr>
          </w:tbl>
          <w:p w:rsidR="00AA7EE0" w:rsidRPr="00226FB4" w:rsidRDefault="00AA7EE0" w:rsidP="00BB4B93">
            <w:pPr>
              <w:spacing w:before="14" w:after="120"/>
              <w:ind w:left="17"/>
              <w:jc w:val="both"/>
              <w:rPr>
                <w:rFonts w:eastAsiaTheme="minorEastAsia"/>
                <w:sz w:val="22"/>
                <w:szCs w:val="22"/>
              </w:rPr>
            </w:pP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Резерв предстоящих расходов, в том числе на оплату отпусков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40.</w:t>
            </w:r>
          </w:p>
        </w:tc>
        <w:tc>
          <w:tcPr>
            <w:tcW w:w="9241" w:type="dxa"/>
            <w:tcBorders>
              <w:top w:val="nil"/>
              <w:left w:val="nil"/>
              <w:bottom w:val="nil"/>
              <w:right w:val="nil"/>
            </w:tcBorders>
          </w:tcPr>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Оценочное обязательство в виде резерва на оплату отпусков определяется на последний день каждого квартала.</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Сумма резерва рассчитывается как сумма расходов на предстоящие отпуска работникам, увеличенная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Сумма расходов на предстоящие отпуска определяется по следующей формуле:</w:t>
            </w: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SUM (К   x ЗП  ),</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дн     ср</w:t>
            </w:r>
          </w:p>
          <w:p w:rsidR="00AA7EE0" w:rsidRPr="00226FB4" w:rsidRDefault="00AA7EE0" w:rsidP="00BB4B93">
            <w:pPr>
              <w:widowControl/>
              <w:spacing w:before="0" w:after="0"/>
              <w:jc w:val="both"/>
              <w:rPr>
                <w:rFonts w:eastAsiaTheme="minorEastAsia"/>
                <w:sz w:val="22"/>
                <w:szCs w:val="22"/>
              </w:rPr>
            </w:pP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где К   - количество не использованных каждым  сотрудником дней отпуска</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дн</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за период с начала работы на конец каждого квартала;</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ЗП   - среднедневной заработок сотрудника.</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ср</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Величина страховых взносов определяется как произведение суммы расходов на предстоящие отпуска и ставки страховых взносов.</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Ставка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определяется по формуле:</w:t>
            </w: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463 000</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 x 34% x 100</w:t>
            </w:r>
          </w:p>
          <w:p w:rsidR="00AA7EE0" w:rsidRPr="00226FB4" w:rsidRDefault="00AA7EE0" w:rsidP="00BB4B93">
            <w:pPr>
              <w:widowControl/>
              <w:spacing w:before="0" w:after="0"/>
              <w:jc w:val="both"/>
              <w:rPr>
                <w:rFonts w:eastAsiaTheme="minorEastAsia"/>
                <w:sz w:val="22"/>
                <w:szCs w:val="22"/>
              </w:rPr>
            </w:pPr>
            <w:r w:rsidRPr="00226FB4">
              <w:rPr>
                <w:rFonts w:eastAsiaTheme="minorEastAsia"/>
                <w:sz w:val="22"/>
                <w:szCs w:val="22"/>
              </w:rPr>
              <w:t xml:space="preserve">    Ежемесячная заработная плата x 12</w:t>
            </w:r>
          </w:p>
          <w:p w:rsidR="00AA7EE0" w:rsidRPr="00226FB4" w:rsidRDefault="00AA7EE0" w:rsidP="00BB4B93">
            <w:pPr>
              <w:widowControl/>
              <w:spacing w:before="0" w:after="0"/>
              <w:ind w:firstLine="540"/>
              <w:jc w:val="both"/>
              <w:rPr>
                <w:rFonts w:eastAsiaTheme="minorEastAsia"/>
                <w:sz w:val="22"/>
                <w:szCs w:val="22"/>
              </w:rPr>
            </w:pP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и не может превышать 34%.</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Ставка страховых взносов на обязательное социальное страхование от несчастных случаев на производстве и профессиональных заболеваний составляет 0,2%.</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Начисление резерва отражается в бухгалтерском учете записью по дебету счета 26 "Общехозяйственные расходы" в корреспонденции со счетом 96 "Резерв на оплату отпусков".</w:t>
            </w:r>
          </w:p>
          <w:p w:rsidR="00AA7EE0" w:rsidRPr="00226FB4" w:rsidRDefault="00AA7EE0" w:rsidP="00BB4B93">
            <w:pPr>
              <w:widowControl/>
              <w:spacing w:before="0" w:after="0"/>
              <w:ind w:firstLine="540"/>
              <w:jc w:val="both"/>
              <w:rPr>
                <w:rFonts w:eastAsiaTheme="minorEastAsia"/>
                <w:sz w:val="22"/>
                <w:szCs w:val="22"/>
              </w:rPr>
            </w:pPr>
            <w:r w:rsidRPr="00226FB4">
              <w:rPr>
                <w:rFonts w:eastAsiaTheme="minorEastAsia"/>
                <w:sz w:val="22"/>
                <w:szCs w:val="22"/>
              </w:rPr>
              <w:t>Использование резерва отражается в бухгалтерском учете записями по дебету счета 96 "Резерв на оплату отпусков" и кредиту счетов 70 "Расчеты по оплате труда" и 69 "Расчеты по социальному страхованию".</w:t>
            </w:r>
          </w:p>
          <w:p w:rsidR="00AA7EE0" w:rsidRPr="00226FB4" w:rsidRDefault="00AA7EE0" w:rsidP="00BB4B93">
            <w:pPr>
              <w:widowControl/>
              <w:spacing w:before="0" w:after="0"/>
              <w:ind w:firstLine="540"/>
              <w:jc w:val="both"/>
              <w:rPr>
                <w:rFonts w:eastAsiaTheme="minorEastAsia"/>
                <w:i/>
                <w:iCs/>
                <w:sz w:val="22"/>
                <w:szCs w:val="22"/>
              </w:rPr>
            </w:pPr>
            <w:r w:rsidRPr="00226FB4">
              <w:rPr>
                <w:rFonts w:eastAsiaTheme="minorEastAsia"/>
                <w:sz w:val="22"/>
                <w:szCs w:val="22"/>
              </w:rPr>
              <w:t>В случае превышения расходов на выплату отпускных, включая сумму страховых взносов, над суммой резерва разница относится на затраты в общем порядке. В случае избыточности суммы начисленного резерва над суммой расходов на отпуск недоиспользованная сумма резерва относится в резерв, формируемый в периоде, следующем за отчетным.</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доходов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Классификация доходов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41.</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К доходам от обычных видов деятельности относятся следующие доходы:</w:t>
            </w:r>
            <w:r w:rsidRPr="00226FB4">
              <w:rPr>
                <w:rFonts w:eastAsiaTheme="minorEastAsia"/>
                <w:sz w:val="22"/>
                <w:szCs w:val="22"/>
              </w:rPr>
              <w:br/>
              <w:t xml:space="preserve"> Доходы о  предоставления в аренду недвижимого имущества</w:t>
            </w:r>
            <w:r w:rsidRPr="00226FB4">
              <w:rPr>
                <w:rFonts w:eastAsiaTheme="minorEastAsia"/>
                <w:sz w:val="22"/>
                <w:szCs w:val="22"/>
              </w:rPr>
              <w:br/>
            </w:r>
            <w:r w:rsidRPr="00226FB4">
              <w:rPr>
                <w:rFonts w:eastAsiaTheme="minorEastAsia"/>
                <w:i/>
                <w:iCs/>
                <w:sz w:val="22"/>
                <w:szCs w:val="22"/>
              </w:rPr>
              <w:t>Основание: пункт 4 ПБУ 9/99 «Доходы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расходов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Расходы будущих периодов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42.</w:t>
            </w:r>
          </w:p>
        </w:tc>
        <w:tc>
          <w:tcPr>
            <w:tcW w:w="9241" w:type="dxa"/>
            <w:tcBorders>
              <w:top w:val="nil"/>
              <w:left w:val="nil"/>
              <w:bottom w:val="nil"/>
              <w:right w:val="nil"/>
            </w:tcBorders>
          </w:tcPr>
          <w:p w:rsidR="00AA7EE0" w:rsidRPr="00037586" w:rsidRDefault="00AA7EE0" w:rsidP="00037586">
            <w:pPr>
              <w:spacing w:before="14" w:after="120"/>
              <w:ind w:left="17"/>
              <w:jc w:val="both"/>
              <w:rPr>
                <w:rFonts w:eastAsiaTheme="minorEastAsia"/>
                <w:i/>
                <w:iCs/>
                <w:sz w:val="22"/>
                <w:szCs w:val="22"/>
              </w:rPr>
            </w:pPr>
            <w:r w:rsidRPr="00226FB4">
              <w:rPr>
                <w:rFonts w:eastAsiaTheme="minorEastAsia"/>
                <w:sz w:val="22"/>
                <w:szCs w:val="22"/>
              </w:rPr>
              <w:t>Расходы будущих периодов списываются равномерно.</w:t>
            </w:r>
            <w:r w:rsidRPr="00226FB4">
              <w:rPr>
                <w:rFonts w:eastAsiaTheme="minorEastAsia"/>
                <w:sz w:val="22"/>
                <w:szCs w:val="22"/>
              </w:rPr>
              <w:br/>
            </w:r>
            <w:r w:rsidRPr="00226FB4">
              <w:rPr>
                <w:rFonts w:eastAsiaTheme="minorEastAsia"/>
                <w:i/>
                <w:iCs/>
                <w:sz w:val="22"/>
                <w:szCs w:val="22"/>
              </w:rPr>
              <w:t>Основание: пункт 65 Положения по ведению бухгалтерского учета и бухгалтерской отчетности в Российской Федерации, утвержденного приказом Минфина России от 29.07.98 № 34н</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Порядок признания управленческих и коммерческих расходов</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43.</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Расходы общества, как прямые, так и косвенные (Приложение 3) отражаются на счете 26 «Общехозяйственные расходы». При формировании финансового результата, по итогам месяца, прямые расходы полностью списываются на счет 90 .2 «Себестоимость продаж».</w:t>
            </w:r>
            <w:r w:rsidRPr="00226FB4">
              <w:rPr>
                <w:rFonts w:eastAsiaTheme="minorEastAsia"/>
                <w:sz w:val="22"/>
                <w:szCs w:val="22"/>
              </w:rPr>
              <w:br/>
              <w:t>Косвенные расходы, по итогам месяца, списываются на счет 90 .8 «Управленческие расходы».</w:t>
            </w:r>
          </w:p>
          <w:p w:rsidR="00AA7EE0" w:rsidRPr="00226FB4" w:rsidRDefault="00AA7EE0" w:rsidP="00BB4B93">
            <w:pPr>
              <w:spacing w:before="14" w:after="120"/>
              <w:ind w:left="17"/>
              <w:jc w:val="both"/>
              <w:rPr>
                <w:rFonts w:eastAsiaTheme="minorEastAsia"/>
                <w:sz w:val="22"/>
                <w:szCs w:val="22"/>
              </w:rPr>
            </w:pPr>
            <w:r w:rsidRPr="00226FB4">
              <w:rPr>
                <w:rFonts w:eastAsiaTheme="minorEastAsia"/>
                <w:i/>
                <w:iCs/>
                <w:sz w:val="22"/>
                <w:szCs w:val="22"/>
              </w:rPr>
              <w:t>Основание: пункт 9 ПБУ 10/99 «Расходы организации»</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sz w:val="22"/>
                <w:szCs w:val="22"/>
                <w:u w:val="single"/>
              </w:rPr>
              <w:t>Учет расчетов по налогу на прибыль</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p>
        </w:tc>
        <w:tc>
          <w:tcPr>
            <w:tcW w:w="9241" w:type="dxa"/>
            <w:tcBorders>
              <w:top w:val="nil"/>
              <w:left w:val="nil"/>
              <w:bottom w:val="nil"/>
              <w:right w:val="nil"/>
            </w:tcBorders>
          </w:tcPr>
          <w:p w:rsidR="00AA7EE0" w:rsidRPr="00226FB4" w:rsidRDefault="00AA7EE0" w:rsidP="00BB4B93">
            <w:pPr>
              <w:spacing w:before="240" w:after="120"/>
              <w:ind w:left="17"/>
              <w:jc w:val="both"/>
              <w:rPr>
                <w:rFonts w:eastAsiaTheme="minorEastAsia"/>
                <w:sz w:val="22"/>
                <w:szCs w:val="22"/>
              </w:rPr>
            </w:pPr>
            <w:r w:rsidRPr="00226FB4">
              <w:rPr>
                <w:rFonts w:eastAsiaTheme="minorEastAsia"/>
                <w:b/>
                <w:bCs/>
                <w:i/>
                <w:iCs/>
                <w:sz w:val="22"/>
                <w:szCs w:val="22"/>
              </w:rPr>
              <w:t>Отражение в бухгалтерском учете постоянных и временных налоговых разниц</w:t>
            </w:r>
          </w:p>
        </w:tc>
      </w:tr>
      <w:tr w:rsidR="00AA7EE0" w:rsidRPr="00226FB4" w:rsidTr="00037586">
        <w:tblPrEx>
          <w:tblCellMar>
            <w:top w:w="0" w:type="dxa"/>
            <w:left w:w="0" w:type="dxa"/>
            <w:bottom w:w="0" w:type="dxa"/>
            <w:right w:w="0" w:type="dxa"/>
          </w:tblCellMar>
        </w:tblPrEx>
        <w:tc>
          <w:tcPr>
            <w:tcW w:w="426" w:type="dxa"/>
            <w:tcBorders>
              <w:top w:val="nil"/>
              <w:left w:val="nil"/>
              <w:bottom w:val="nil"/>
              <w:right w:val="nil"/>
            </w:tcBorders>
          </w:tcPr>
          <w:p w:rsidR="00AA7EE0" w:rsidRPr="00226FB4" w:rsidRDefault="00AA7EE0" w:rsidP="00BB4B93">
            <w:pPr>
              <w:spacing w:before="0" w:after="0"/>
              <w:jc w:val="both"/>
              <w:rPr>
                <w:rFonts w:eastAsiaTheme="minorEastAsia"/>
                <w:sz w:val="22"/>
                <w:szCs w:val="22"/>
              </w:rPr>
            </w:pPr>
            <w:r w:rsidRPr="00226FB4">
              <w:rPr>
                <w:rFonts w:eastAsiaTheme="minorEastAsia"/>
                <w:sz w:val="22"/>
                <w:szCs w:val="22"/>
              </w:rPr>
              <w:t>44.</w:t>
            </w:r>
          </w:p>
        </w:tc>
        <w:tc>
          <w:tcPr>
            <w:tcW w:w="9241" w:type="dxa"/>
            <w:tcBorders>
              <w:top w:val="nil"/>
              <w:left w:val="nil"/>
              <w:bottom w:val="nil"/>
              <w:right w:val="nil"/>
            </w:tcBorders>
          </w:tcPr>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t>В бухгалтерском балансе суммы отложенного налогового актива и отложенного налогового обязательства отражаются развернуто.Сумма налога на прибыль, определяемая исходя из бухгалтерской прибыли (убытка) и отраженная в бухгалтерском учете независимо от суммы налогооблагаемой прибыли (убытка), является условным расходом (условным доходом) по налогу на прибыль.Условный расход (условный доход) по налогу на прибыль равняется величине, определяемой как произведение бухгалтерской прибыли, сформированной в отчетном периоде, на ставку налога на прибыль, установленную законодательством Российской Федерации о налогах и сборах и действующую на отчетную дату.Условный расход (условный доход) по налогу на прибыль учитывается в бухгалтерском учете на обособленном субсчете по учету условных расходов (условных доходов) по налогу на прибыль к счету по учету прибылей и убытков.При отсутствии постоянных разниц, вычитаемых временных разниц и налогооблагаемых временных разниц, которые влекут за собой возникновение постоянных налоговых обязательств (активов), отложенных налоговых активов и отложенных налоговых обязательств, условный расход по налогу на прибыль будет равен текущему налогу на прибыль.</w:t>
            </w:r>
          </w:p>
          <w:p w:rsidR="00AA7EE0" w:rsidRPr="00226FB4" w:rsidRDefault="00AA7EE0" w:rsidP="00BB4B93">
            <w:pPr>
              <w:spacing w:before="14" w:after="120"/>
              <w:ind w:left="17"/>
              <w:jc w:val="both"/>
              <w:rPr>
                <w:rFonts w:eastAsiaTheme="minorEastAsia"/>
                <w:sz w:val="22"/>
                <w:szCs w:val="22"/>
              </w:rPr>
            </w:pPr>
            <w:r w:rsidRPr="00226FB4">
              <w:rPr>
                <w:rFonts w:eastAsiaTheme="minorEastAsia"/>
                <w:sz w:val="22"/>
                <w:szCs w:val="22"/>
              </w:rPr>
              <w:br/>
            </w:r>
            <w:r w:rsidRPr="00226FB4">
              <w:rPr>
                <w:rFonts w:eastAsiaTheme="minorEastAsia"/>
                <w:i/>
                <w:iCs/>
                <w:sz w:val="22"/>
                <w:szCs w:val="22"/>
              </w:rPr>
              <w:t>Основание: пункт 19,20,21 ПБУ 18/02 «Учет расчетов по налогу на прибыль организаций»</w:t>
            </w:r>
          </w:p>
        </w:tc>
      </w:tr>
    </w:tbl>
    <w:p w:rsidR="00037586" w:rsidRDefault="00037586" w:rsidP="00BB4B93">
      <w:pPr>
        <w:tabs>
          <w:tab w:val="left" w:pos="426"/>
        </w:tabs>
        <w:spacing w:before="14" w:after="120"/>
        <w:rPr>
          <w:rFonts w:eastAsiaTheme="minorEastAsia"/>
          <w:sz w:val="22"/>
          <w:szCs w:val="22"/>
        </w:rPr>
      </w:pPr>
    </w:p>
    <w:p w:rsidR="00037586" w:rsidRPr="00226FB4" w:rsidRDefault="00037586" w:rsidP="00BB4B93">
      <w:pPr>
        <w:tabs>
          <w:tab w:val="left" w:pos="426"/>
        </w:tabs>
        <w:spacing w:before="14" w:after="120"/>
        <w:rPr>
          <w:rFonts w:eastAsiaTheme="minorEastAsia"/>
          <w:sz w:val="22"/>
          <w:szCs w:val="22"/>
        </w:rPr>
      </w:pPr>
      <w:r>
        <w:rPr>
          <w:rFonts w:eastAsiaTheme="minorEastAsia"/>
          <w:sz w:val="22"/>
          <w:szCs w:val="22"/>
        </w:rPr>
        <w:br w:type="page"/>
      </w:r>
      <w:r w:rsidRPr="00226FB4">
        <w:rPr>
          <w:rFonts w:eastAsiaTheme="minorEastAsia"/>
          <w:sz w:val="22"/>
          <w:szCs w:val="22"/>
        </w:rPr>
        <w:lastRenderedPageBreak/>
        <w:tab/>
      </w:r>
    </w:p>
    <w:tbl>
      <w:tblPr>
        <w:tblW w:w="9667" w:type="dxa"/>
        <w:tblLayout w:type="fixed"/>
        <w:tblCellMar>
          <w:left w:w="0" w:type="dxa"/>
          <w:right w:w="0" w:type="dxa"/>
        </w:tblCellMar>
        <w:tblLook w:val="0000"/>
      </w:tblPr>
      <w:tblGrid>
        <w:gridCol w:w="4717"/>
        <w:gridCol w:w="4950"/>
      </w:tblGrid>
      <w:tr w:rsidR="00AA7EE0" w:rsidRPr="00226FB4" w:rsidTr="00037586">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 xml:space="preserve">Об утверждении Положения об учетной политике для целей бухгалтерского и налогового учета на 2011 год </w:t>
            </w:r>
          </w:p>
        </w:tc>
        <w:tc>
          <w:tcPr>
            <w:tcW w:w="4950" w:type="dxa"/>
            <w:tcBorders>
              <w:top w:val="nil"/>
              <w:left w:val="nil"/>
              <w:bottom w:val="nil"/>
              <w:right w:val="nil"/>
            </w:tcBorders>
            <w:vAlign w:val="bottom"/>
          </w:tcPr>
          <w:p w:rsidR="00AA7EE0" w:rsidRPr="00226FB4" w:rsidRDefault="00AA7EE0" w:rsidP="00BB4B93">
            <w:pPr>
              <w:spacing w:before="30" w:after="120"/>
              <w:ind w:left="17"/>
              <w:jc w:val="both"/>
              <w:rPr>
                <w:rFonts w:eastAsiaTheme="minorEastAsia"/>
                <w:sz w:val="22"/>
                <w:szCs w:val="22"/>
              </w:rPr>
            </w:pPr>
            <w:r w:rsidRPr="00226FB4">
              <w:rPr>
                <w:rFonts w:eastAsiaTheme="minorEastAsia"/>
                <w:sz w:val="22"/>
                <w:szCs w:val="22"/>
              </w:rPr>
              <w:t xml:space="preserve">           «29» марта 2011 г.</w:t>
            </w:r>
          </w:p>
        </w:tc>
      </w:tr>
      <w:tr w:rsidR="00AA7EE0" w:rsidRPr="00226FB4" w:rsidTr="00037586">
        <w:tblPrEx>
          <w:tblCellMar>
            <w:top w:w="0" w:type="dxa"/>
            <w:left w:w="0" w:type="dxa"/>
            <w:bottom w:w="0" w:type="dxa"/>
            <w:right w:w="0" w:type="dxa"/>
          </w:tblCellMar>
        </w:tblPrEx>
        <w:trPr>
          <w:trHeight w:val="285"/>
        </w:trPr>
        <w:tc>
          <w:tcPr>
            <w:tcW w:w="9667" w:type="dxa"/>
            <w:gridSpan w:val="2"/>
            <w:tcBorders>
              <w:top w:val="nil"/>
              <w:left w:val="nil"/>
              <w:bottom w:val="nil"/>
              <w:right w:val="nil"/>
            </w:tcBorders>
          </w:tcPr>
          <w:p w:rsidR="00AA7EE0" w:rsidRPr="00226FB4" w:rsidRDefault="00AA7EE0" w:rsidP="00BB4B93">
            <w:pPr>
              <w:spacing w:before="3015" w:after="0"/>
              <w:jc w:val="both"/>
              <w:rPr>
                <w:rFonts w:eastAsiaTheme="minorEastAsia"/>
                <w:sz w:val="22"/>
                <w:szCs w:val="22"/>
              </w:rPr>
            </w:pPr>
            <w:r w:rsidRPr="00226FB4">
              <w:rPr>
                <w:rFonts w:eastAsiaTheme="minorEastAsia"/>
                <w:b/>
                <w:bCs/>
                <w:sz w:val="22"/>
                <w:szCs w:val="22"/>
              </w:rPr>
              <w:t>ПРИКАЗ № б/н</w:t>
            </w:r>
          </w:p>
        </w:tc>
      </w:tr>
      <w:tr w:rsidR="00AA7EE0" w:rsidRPr="00226FB4" w:rsidTr="00037586">
        <w:tblPrEx>
          <w:tblCellMar>
            <w:top w:w="0" w:type="dxa"/>
            <w:left w:w="0" w:type="dxa"/>
            <w:bottom w:w="0" w:type="dxa"/>
            <w:right w:w="0" w:type="dxa"/>
          </w:tblCellMar>
        </w:tblPrEx>
        <w:trPr>
          <w:trHeight w:val="750"/>
        </w:trPr>
        <w:tc>
          <w:tcPr>
            <w:tcW w:w="9667" w:type="dxa"/>
            <w:gridSpan w:val="2"/>
            <w:tcBorders>
              <w:top w:val="nil"/>
              <w:left w:val="nil"/>
              <w:bottom w:val="nil"/>
              <w:right w:val="nil"/>
            </w:tcBorders>
          </w:tcPr>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В соответствии с Федеральным законом от 21.11.96 № 129-ФЗ «О бухгалтерском учете»,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 xml:space="preserve">Налоговым кодексом РФ и иными нормативными правовыми актами по бухгалтерскому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учету, а так же актами законодательства о налогах и сборах ПРИКАЗЫВАЮ:</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br/>
              <w:t xml:space="preserve">внести изменения в Положение об учетной политике для целей бухгалтерского и налогового </w:t>
            </w:r>
          </w:p>
          <w:p w:rsidR="00AA7EE0" w:rsidRPr="00226FB4" w:rsidRDefault="00AA7EE0" w:rsidP="00BB4B93">
            <w:pPr>
              <w:spacing w:before="465" w:after="0"/>
              <w:jc w:val="both"/>
              <w:rPr>
                <w:rFonts w:eastAsiaTheme="minorEastAsia"/>
                <w:sz w:val="22"/>
                <w:szCs w:val="22"/>
              </w:rPr>
            </w:pPr>
            <w:r w:rsidRPr="00226FB4">
              <w:rPr>
                <w:rFonts w:eastAsiaTheme="minorEastAsia"/>
                <w:sz w:val="22"/>
                <w:szCs w:val="22"/>
              </w:rPr>
              <w:t>учета на 2011 год:</w:t>
            </w: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p w:rsidR="00AA7EE0" w:rsidRPr="00226FB4" w:rsidRDefault="00AA7EE0" w:rsidP="00BB4B93">
            <w:pPr>
              <w:spacing w:before="465" w:after="0"/>
              <w:jc w:val="both"/>
              <w:rPr>
                <w:rFonts w:eastAsiaTheme="minorEastAsia"/>
                <w:sz w:val="22"/>
                <w:szCs w:val="22"/>
              </w:rPr>
            </w:pPr>
          </w:p>
        </w:tc>
      </w:tr>
      <w:tr w:rsidR="00AA7EE0" w:rsidRPr="00226FB4" w:rsidTr="00037586">
        <w:tblPrEx>
          <w:tblCellMar>
            <w:top w:w="0" w:type="dxa"/>
            <w:left w:w="0" w:type="dxa"/>
            <w:bottom w:w="0" w:type="dxa"/>
            <w:right w:w="0" w:type="dxa"/>
          </w:tblCellMar>
        </w:tblPrEx>
        <w:tc>
          <w:tcPr>
            <w:tcW w:w="4717"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Генеральный директор</w:t>
            </w:r>
          </w:p>
        </w:tc>
        <w:tc>
          <w:tcPr>
            <w:tcW w:w="4950" w:type="dxa"/>
            <w:tcBorders>
              <w:top w:val="nil"/>
              <w:left w:val="nil"/>
              <w:bottom w:val="nil"/>
              <w:right w:val="nil"/>
            </w:tcBorders>
          </w:tcPr>
          <w:p w:rsidR="00AA7EE0" w:rsidRPr="00226FB4" w:rsidRDefault="00AA7EE0" w:rsidP="00BB4B93">
            <w:pPr>
              <w:spacing w:before="1515" w:after="0"/>
              <w:jc w:val="both"/>
              <w:rPr>
                <w:rFonts w:eastAsiaTheme="minorEastAsia"/>
                <w:sz w:val="22"/>
                <w:szCs w:val="22"/>
              </w:rPr>
            </w:pPr>
            <w:r w:rsidRPr="00226FB4">
              <w:rPr>
                <w:rFonts w:eastAsiaTheme="minorEastAsia"/>
                <w:sz w:val="22"/>
                <w:szCs w:val="22"/>
              </w:rPr>
              <w:t>________________ /_Дзюбан М. В./</w:t>
            </w:r>
          </w:p>
        </w:tc>
      </w:tr>
    </w:tbl>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sz w:val="24"/>
          <w:szCs w:val="24"/>
        </w:rPr>
      </w:pPr>
    </w:p>
    <w:p w:rsidR="00AA7EE0" w:rsidRDefault="00AA7EE0" w:rsidP="00BB4B93">
      <w:pPr>
        <w:spacing w:before="0" w:after="0"/>
        <w:jc w:val="both"/>
        <w:rPr>
          <w:b/>
          <w:bCs/>
          <w:sz w:val="24"/>
          <w:szCs w:val="24"/>
        </w:rPr>
      </w:pPr>
      <w:r>
        <w:rPr>
          <w:b/>
          <w:bCs/>
          <w:sz w:val="24"/>
          <w:szCs w:val="24"/>
        </w:rPr>
        <w:lastRenderedPageBreak/>
        <w:t>ДОПОЛНЕНИЯ В ПОЛОЖЕНИЕ об учетной политике для целей бухгалтерского учета на 2011 год.</w:t>
      </w:r>
    </w:p>
    <w:p w:rsidR="00AA7EE0" w:rsidRDefault="00AA7EE0" w:rsidP="00BB4B93">
      <w:pPr>
        <w:spacing w:before="0" w:after="0"/>
        <w:jc w:val="both"/>
        <w:rPr>
          <w:b/>
          <w:bCs/>
          <w:sz w:val="24"/>
          <w:szCs w:val="24"/>
        </w:rPr>
      </w:pPr>
    </w:p>
    <w:p w:rsidR="00AA7EE0" w:rsidRDefault="00AA7EE0" w:rsidP="00BB4B93">
      <w:pPr>
        <w:spacing w:before="0" w:after="0"/>
        <w:jc w:val="both"/>
        <w:rPr>
          <w:b/>
          <w:bCs/>
          <w:sz w:val="24"/>
          <w:szCs w:val="24"/>
        </w:rPr>
      </w:pPr>
    </w:p>
    <w:p w:rsidR="00AA7EE0" w:rsidRDefault="00AA7EE0" w:rsidP="00BB4B93">
      <w:pPr>
        <w:spacing w:before="0" w:after="0"/>
        <w:jc w:val="both"/>
        <w:rPr>
          <w:sz w:val="24"/>
          <w:szCs w:val="24"/>
        </w:rPr>
      </w:pPr>
    </w:p>
    <w:p w:rsidR="00AA7EE0" w:rsidRDefault="00AA7EE0" w:rsidP="00BB4B93">
      <w:pPr>
        <w:widowControl/>
        <w:numPr>
          <w:ilvl w:val="0"/>
          <w:numId w:val="3"/>
        </w:numPr>
        <w:spacing w:before="0" w:after="200" w:line="276" w:lineRule="auto"/>
        <w:ind w:left="720" w:hanging="360"/>
        <w:jc w:val="both"/>
        <w:rPr>
          <w:rFonts w:ascii="Calibri" w:hAnsi="Calibri" w:cs="Calibri"/>
          <w:sz w:val="22"/>
          <w:szCs w:val="22"/>
        </w:rPr>
      </w:pPr>
      <w:r>
        <w:rPr>
          <w:rFonts w:ascii="Calibri" w:hAnsi="Calibri" w:cs="Calibri"/>
          <w:sz w:val="22"/>
          <w:szCs w:val="22"/>
        </w:rPr>
        <w:t xml:space="preserve">Изложить пункт  </w:t>
      </w:r>
      <w:r>
        <w:rPr>
          <w:rFonts w:ascii="Calibri" w:hAnsi="Calibri" w:cs="Calibri"/>
          <w:b/>
          <w:bCs/>
          <w:sz w:val="22"/>
          <w:szCs w:val="22"/>
        </w:rPr>
        <w:t xml:space="preserve">16  «Лимит стоимости основных средств» </w:t>
      </w:r>
      <w:r>
        <w:rPr>
          <w:rFonts w:ascii="Calibri" w:hAnsi="Calibri" w:cs="Calibri"/>
          <w:sz w:val="22"/>
          <w:szCs w:val="22"/>
        </w:rPr>
        <w:t>в следующей редакции»:</w:t>
      </w:r>
    </w:p>
    <w:p w:rsidR="00AA7EE0" w:rsidRDefault="00AA7EE0" w:rsidP="00BB4B93">
      <w:pPr>
        <w:widowControl/>
        <w:numPr>
          <w:ilvl w:val="1"/>
          <w:numId w:val="3"/>
        </w:numPr>
        <w:spacing w:before="0" w:after="200" w:line="276" w:lineRule="auto"/>
        <w:ind w:left="1276" w:hanging="196"/>
        <w:jc w:val="both"/>
        <w:rPr>
          <w:rFonts w:ascii="Calibri" w:hAnsi="Calibri" w:cs="Calibri"/>
          <w:sz w:val="22"/>
          <w:szCs w:val="22"/>
        </w:rPr>
      </w:pPr>
      <w:r>
        <w:rPr>
          <w:rFonts w:ascii="Calibri" w:hAnsi="Calibri" w:cs="Calibri"/>
          <w:sz w:val="22"/>
          <w:szCs w:val="22"/>
        </w:rPr>
        <w:t xml:space="preserve">Установить лимит стоимости активов, которые будут учитываться в составе основных средств, в размере  </w:t>
      </w:r>
      <w:r>
        <w:rPr>
          <w:rFonts w:ascii="Calibri" w:hAnsi="Calibri" w:cs="Calibri"/>
          <w:b/>
          <w:bCs/>
          <w:sz w:val="22"/>
          <w:szCs w:val="22"/>
        </w:rPr>
        <w:t>40 000</w:t>
      </w:r>
      <w:r>
        <w:rPr>
          <w:rFonts w:ascii="Calibri" w:hAnsi="Calibri" w:cs="Calibri"/>
          <w:sz w:val="22"/>
          <w:szCs w:val="22"/>
        </w:rPr>
        <w:t xml:space="preserve"> рублей.</w:t>
      </w:r>
    </w:p>
    <w:p w:rsidR="00AA7EE0" w:rsidRDefault="00AA7EE0" w:rsidP="00BB4B93">
      <w:pPr>
        <w:widowControl/>
        <w:spacing w:before="0" w:after="200" w:line="276" w:lineRule="auto"/>
        <w:ind w:left="1080"/>
        <w:jc w:val="both"/>
        <w:rPr>
          <w:rFonts w:ascii="Calibri" w:hAnsi="Calibri" w:cs="Calibri"/>
          <w:sz w:val="22"/>
          <w:szCs w:val="22"/>
        </w:rPr>
      </w:pPr>
      <w:r>
        <w:rPr>
          <w:rFonts w:ascii="Calibri" w:hAnsi="Calibri" w:cs="Calibri"/>
          <w:sz w:val="22"/>
          <w:szCs w:val="22"/>
        </w:rPr>
        <w:t xml:space="preserve">  Основание: пункт 5 ПБУ 6/01 «Учет Основных средств»</w:t>
      </w:r>
    </w:p>
    <w:p w:rsidR="00AA7EE0" w:rsidRDefault="00AA7EE0" w:rsidP="00BB4B93">
      <w:pPr>
        <w:widowControl/>
        <w:spacing w:before="0" w:after="200" w:line="276" w:lineRule="auto"/>
        <w:ind w:left="1080"/>
        <w:jc w:val="both"/>
        <w:rPr>
          <w:rFonts w:ascii="Calibri" w:hAnsi="Calibri" w:cs="Calibri"/>
          <w:sz w:val="22"/>
          <w:szCs w:val="22"/>
        </w:rPr>
      </w:pPr>
    </w:p>
    <w:p w:rsidR="00AA7EE0" w:rsidRDefault="00AA7EE0" w:rsidP="00BB4B93">
      <w:pPr>
        <w:widowControl/>
        <w:numPr>
          <w:ilvl w:val="0"/>
          <w:numId w:val="3"/>
        </w:numPr>
        <w:spacing w:before="0" w:after="200" w:line="276" w:lineRule="auto"/>
        <w:ind w:left="720" w:hanging="360"/>
        <w:jc w:val="both"/>
        <w:rPr>
          <w:rFonts w:ascii="Calibri" w:hAnsi="Calibri" w:cs="Calibri"/>
          <w:sz w:val="22"/>
          <w:szCs w:val="22"/>
        </w:rPr>
      </w:pPr>
      <w:r>
        <w:rPr>
          <w:rFonts w:ascii="Calibri" w:hAnsi="Calibri" w:cs="Calibri"/>
          <w:sz w:val="22"/>
          <w:szCs w:val="22"/>
        </w:rPr>
        <w:t xml:space="preserve">Пункт </w:t>
      </w:r>
      <w:r>
        <w:rPr>
          <w:rFonts w:ascii="Calibri" w:hAnsi="Calibri" w:cs="Calibri"/>
          <w:b/>
          <w:bCs/>
          <w:sz w:val="22"/>
          <w:szCs w:val="22"/>
        </w:rPr>
        <w:t>18 «Ремонт основных средств»</w:t>
      </w:r>
      <w:r>
        <w:rPr>
          <w:rFonts w:ascii="Calibri" w:hAnsi="Calibri" w:cs="Calibri"/>
          <w:sz w:val="22"/>
          <w:szCs w:val="22"/>
        </w:rPr>
        <w:t xml:space="preserve"> - исключить.</w:t>
      </w:r>
    </w:p>
    <w:p w:rsidR="00AA7EE0" w:rsidRDefault="00AA7EE0" w:rsidP="00BB4B93">
      <w:pPr>
        <w:widowControl/>
        <w:spacing w:before="0" w:after="200" w:line="276" w:lineRule="auto"/>
        <w:ind w:left="720"/>
        <w:jc w:val="both"/>
        <w:rPr>
          <w:sz w:val="22"/>
          <w:szCs w:val="22"/>
        </w:rPr>
      </w:pPr>
    </w:p>
    <w:p w:rsidR="00AA7EE0" w:rsidRDefault="00AA7EE0" w:rsidP="00BB4B93">
      <w:pPr>
        <w:widowControl/>
        <w:numPr>
          <w:ilvl w:val="0"/>
          <w:numId w:val="3"/>
        </w:numPr>
        <w:spacing w:before="0" w:after="200" w:line="276" w:lineRule="auto"/>
        <w:ind w:left="720" w:hanging="360"/>
        <w:jc w:val="both"/>
        <w:rPr>
          <w:b/>
          <w:bCs/>
          <w:sz w:val="22"/>
          <w:szCs w:val="22"/>
        </w:rPr>
      </w:pPr>
      <w:r>
        <w:rPr>
          <w:rFonts w:ascii="Calibri" w:hAnsi="Calibri" w:cs="Calibri"/>
          <w:sz w:val="22"/>
          <w:szCs w:val="22"/>
        </w:rPr>
        <w:t xml:space="preserve">Дополнить учетную политику пунктом  </w:t>
      </w:r>
      <w:r>
        <w:rPr>
          <w:rFonts w:ascii="Calibri" w:hAnsi="Calibri" w:cs="Calibri"/>
          <w:b/>
          <w:bCs/>
          <w:sz w:val="22"/>
          <w:szCs w:val="22"/>
        </w:rPr>
        <w:t>35.1 «Денежные эквиваленты»</w:t>
      </w:r>
      <w:r>
        <w:rPr>
          <w:b/>
          <w:bCs/>
          <w:sz w:val="22"/>
          <w:szCs w:val="22"/>
        </w:rPr>
        <w:t>.</w:t>
      </w:r>
    </w:p>
    <w:p w:rsidR="00AA7EE0" w:rsidRDefault="00AA7EE0" w:rsidP="00BB4B93">
      <w:pPr>
        <w:widowControl/>
        <w:spacing w:before="0" w:after="0"/>
        <w:ind w:left="1276" w:hanging="27"/>
        <w:jc w:val="both"/>
        <w:rPr>
          <w:rFonts w:ascii="Calibri" w:hAnsi="Calibri" w:cs="Calibri"/>
          <w:b/>
          <w:bCs/>
          <w:sz w:val="22"/>
          <w:szCs w:val="22"/>
        </w:rPr>
      </w:pPr>
      <w:r>
        <w:rPr>
          <w:rFonts w:ascii="Calibri" w:hAnsi="Calibri" w:cs="Calibri"/>
          <w:sz w:val="22"/>
          <w:szCs w:val="22"/>
        </w:rPr>
        <w:t xml:space="preserve">Под </w:t>
      </w:r>
      <w:r>
        <w:rPr>
          <w:rFonts w:ascii="Calibri" w:hAnsi="Calibri" w:cs="Calibri"/>
          <w:b/>
          <w:bCs/>
          <w:sz w:val="22"/>
          <w:szCs w:val="22"/>
        </w:rPr>
        <w:t>денежными эквивалентами</w:t>
      </w:r>
      <w:r>
        <w:rPr>
          <w:rFonts w:ascii="Calibri" w:hAnsi="Calibri" w:cs="Calibri"/>
          <w:sz w:val="22"/>
          <w:szCs w:val="22"/>
        </w:rPr>
        <w:t xml:space="preserve"> понимаются высоколиквидные финансовые  вложения, которые могут быть легко обращены в заранее известную сумму денежных средств и подвержены незначительному риску изменения стоимости (</w:t>
      </w:r>
      <w:hyperlink r:id="rId17" w:history="1">
        <w:r>
          <w:rPr>
            <w:rFonts w:ascii="Calibri" w:hAnsi="Calibri" w:cs="Calibri"/>
            <w:sz w:val="22"/>
            <w:szCs w:val="22"/>
          </w:rPr>
          <w:t>п. 5</w:t>
        </w:r>
      </w:hyperlink>
      <w:r>
        <w:rPr>
          <w:rFonts w:ascii="Calibri" w:hAnsi="Calibri" w:cs="Calibri"/>
          <w:sz w:val="22"/>
          <w:szCs w:val="22"/>
        </w:rPr>
        <w:t xml:space="preserve"> ПБУ 23/2011). Под высоколиквидными финансовыми вложениями необходимо считать открытые в кредитных организациях </w:t>
      </w:r>
      <w:r>
        <w:rPr>
          <w:rFonts w:ascii="Calibri" w:hAnsi="Calibri" w:cs="Calibri"/>
          <w:b/>
          <w:bCs/>
          <w:sz w:val="22"/>
          <w:szCs w:val="22"/>
        </w:rPr>
        <w:t>депозиты до востребования.</w:t>
      </w:r>
    </w:p>
    <w:p w:rsidR="00AA7EE0" w:rsidRDefault="00AA7EE0" w:rsidP="00BB4B93">
      <w:pPr>
        <w:widowControl/>
        <w:spacing w:before="0" w:after="0"/>
        <w:ind w:left="709" w:firstLine="540"/>
        <w:jc w:val="both"/>
        <w:rPr>
          <w:rFonts w:ascii="Calibri" w:hAnsi="Calibri" w:cs="Calibri"/>
          <w:b/>
          <w:bCs/>
          <w:sz w:val="22"/>
          <w:szCs w:val="22"/>
        </w:rPr>
      </w:pPr>
    </w:p>
    <w:p w:rsidR="00AA7EE0" w:rsidRDefault="00AA7EE0" w:rsidP="00BB4B93">
      <w:pPr>
        <w:widowControl/>
        <w:spacing w:before="0" w:after="0"/>
        <w:jc w:val="both"/>
        <w:rPr>
          <w:rFonts w:ascii="Calibri" w:hAnsi="Calibri" w:cs="Calibri"/>
          <w:b/>
          <w:bCs/>
          <w:sz w:val="22"/>
          <w:szCs w:val="22"/>
        </w:rPr>
      </w:pPr>
    </w:p>
    <w:p w:rsidR="00AA7EE0" w:rsidRDefault="00AA7EE0" w:rsidP="00BB4B93">
      <w:pPr>
        <w:widowControl/>
        <w:numPr>
          <w:ilvl w:val="0"/>
          <w:numId w:val="3"/>
        </w:numPr>
        <w:spacing w:before="0" w:after="0"/>
        <w:ind w:left="720" w:hanging="360"/>
        <w:jc w:val="both"/>
        <w:rPr>
          <w:rFonts w:ascii="Calibri" w:hAnsi="Calibri" w:cs="Calibri"/>
          <w:b/>
          <w:bCs/>
          <w:sz w:val="22"/>
          <w:szCs w:val="22"/>
        </w:rPr>
      </w:pPr>
      <w:r>
        <w:rPr>
          <w:rFonts w:ascii="Calibri" w:hAnsi="Calibri" w:cs="Calibri"/>
          <w:sz w:val="22"/>
          <w:szCs w:val="22"/>
        </w:rPr>
        <w:t>Изложить пункт</w:t>
      </w:r>
      <w:r>
        <w:rPr>
          <w:rFonts w:ascii="Calibri" w:hAnsi="Calibri" w:cs="Calibri"/>
          <w:b/>
          <w:bCs/>
          <w:sz w:val="22"/>
          <w:szCs w:val="22"/>
        </w:rPr>
        <w:t xml:space="preserve"> 42 «Расходы будущих периодов» </w:t>
      </w:r>
      <w:r>
        <w:rPr>
          <w:rFonts w:ascii="Calibri" w:hAnsi="Calibri" w:cs="Calibri"/>
          <w:sz w:val="22"/>
          <w:szCs w:val="22"/>
        </w:rPr>
        <w:t>в следующей редакции:</w:t>
      </w:r>
    </w:p>
    <w:p w:rsidR="00AA7EE0" w:rsidRDefault="00AA7EE0" w:rsidP="00BB4B93">
      <w:pPr>
        <w:widowControl/>
        <w:spacing w:before="0" w:after="0"/>
        <w:ind w:left="720"/>
        <w:jc w:val="both"/>
        <w:rPr>
          <w:rFonts w:ascii="Calibri" w:hAnsi="Calibri" w:cs="Calibri"/>
          <w:b/>
          <w:bCs/>
          <w:sz w:val="22"/>
          <w:szCs w:val="22"/>
        </w:rPr>
      </w:pPr>
    </w:p>
    <w:p w:rsidR="00AA7EE0" w:rsidRDefault="00AA7EE0" w:rsidP="00BB4B93">
      <w:pPr>
        <w:widowControl/>
        <w:numPr>
          <w:ilvl w:val="1"/>
          <w:numId w:val="3"/>
        </w:numPr>
        <w:spacing w:before="0" w:after="0"/>
        <w:ind w:left="1276" w:hanging="196"/>
        <w:jc w:val="both"/>
        <w:rPr>
          <w:rFonts w:ascii="Calibri" w:hAnsi="Calibri" w:cs="Calibri"/>
          <w:b/>
          <w:bCs/>
          <w:sz w:val="22"/>
          <w:szCs w:val="22"/>
        </w:rPr>
      </w:pPr>
      <w:r>
        <w:rPr>
          <w:rFonts w:ascii="Calibri" w:hAnsi="Calibri" w:cs="Calibri"/>
          <w:sz w:val="22"/>
          <w:szCs w:val="22"/>
        </w:rPr>
        <w:t>В связи с тем,  что  п. 65 Положения по ведению бухгалтерского учета и бухгалтерской отчетности в РФ утратил силу, установить, что расходы будущих периодов списываем на расходы равномерно, в соответствии с п.18 и п. 19 ПБУ 10/99.</w:t>
      </w:r>
    </w:p>
    <w:p w:rsidR="00AA7EE0" w:rsidRDefault="00AA7EE0" w:rsidP="00BB4B93">
      <w:pPr>
        <w:widowControl/>
        <w:spacing w:before="0" w:after="0"/>
        <w:ind w:left="720"/>
        <w:jc w:val="both"/>
        <w:rPr>
          <w:rFonts w:ascii="Calibri" w:hAnsi="Calibri" w:cs="Calibri"/>
          <w:sz w:val="22"/>
          <w:szCs w:val="22"/>
        </w:rPr>
      </w:pPr>
    </w:p>
    <w:p w:rsidR="00AA7EE0" w:rsidRDefault="00226FB4" w:rsidP="00BB4B93">
      <w:pPr>
        <w:widowControl/>
        <w:spacing w:before="0" w:after="0"/>
        <w:ind w:left="720"/>
        <w:jc w:val="both"/>
        <w:rPr>
          <w:rFonts w:ascii="Calibri" w:hAnsi="Calibri" w:cs="Calibri"/>
          <w:b/>
          <w:bCs/>
          <w:sz w:val="22"/>
          <w:szCs w:val="22"/>
        </w:rPr>
      </w:pPr>
      <w:r>
        <w:rPr>
          <w:rFonts w:ascii="Calibri" w:hAnsi="Calibri" w:cs="Calibri"/>
          <w:b/>
          <w:bCs/>
          <w:sz w:val="22"/>
          <w:szCs w:val="22"/>
        </w:rPr>
        <w:br w:type="page"/>
      </w:r>
    </w:p>
    <w:p w:rsidR="00AA7EE0" w:rsidRDefault="00AA7EE0" w:rsidP="00BB4B93">
      <w:pPr>
        <w:widowControl/>
        <w:spacing w:before="0" w:after="0"/>
        <w:ind w:left="567" w:hanging="27"/>
        <w:jc w:val="both"/>
        <w:rPr>
          <w:rFonts w:ascii="Calibri" w:hAnsi="Calibri" w:cs="Calibri"/>
          <w:b/>
          <w:bCs/>
          <w:sz w:val="22"/>
          <w:szCs w:val="22"/>
        </w:rPr>
      </w:pPr>
    </w:p>
    <w:tbl>
      <w:tblPr>
        <w:tblpPr w:leftFromText="180" w:rightFromText="180" w:vertAnchor="text" w:horzAnchor="margin" w:tblpY="-26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4506"/>
      </w:tblGrid>
      <w:tr w:rsidR="00BB4B93" w:rsidRPr="00BB4B93" w:rsidTr="00BB4B93">
        <w:tblPrEx>
          <w:tblCellMar>
            <w:top w:w="0" w:type="dxa"/>
            <w:bottom w:w="0" w:type="dxa"/>
          </w:tblCellMar>
        </w:tblPrEx>
        <w:trPr>
          <w:trHeight w:val="1588"/>
        </w:trPr>
        <w:tc>
          <w:tcPr>
            <w:tcW w:w="4506" w:type="dxa"/>
            <w:tcBorders>
              <w:top w:val="nil"/>
              <w:left w:val="nil"/>
              <w:bottom w:val="nil"/>
              <w:right w:val="nil"/>
            </w:tcBorders>
          </w:tcPr>
          <w:p w:rsidR="00BB4B93" w:rsidRPr="00BB4B93" w:rsidRDefault="00BB4B93" w:rsidP="00BB4B93">
            <w:pPr>
              <w:jc w:val="both"/>
              <w:rPr>
                <w:rFonts w:eastAsiaTheme="minorEastAsia"/>
                <w:b/>
                <w:sz w:val="32"/>
                <w:szCs w:val="32"/>
              </w:rPr>
            </w:pPr>
          </w:p>
          <w:p w:rsidR="00BB4B93" w:rsidRPr="00BB4B93" w:rsidRDefault="00BB4B93" w:rsidP="00BB4B93">
            <w:pPr>
              <w:jc w:val="both"/>
              <w:rPr>
                <w:rFonts w:ascii="Arial Rounded MT Bold" w:eastAsiaTheme="minorEastAsia" w:hAnsi="Arial Rounded MT Bold"/>
                <w:b/>
                <w:sz w:val="32"/>
                <w:szCs w:val="32"/>
              </w:rPr>
            </w:pPr>
            <w:r w:rsidRPr="00BB4B93">
              <w:rPr>
                <w:rFonts w:eastAsiaTheme="minorEastAsia"/>
                <w:b/>
                <w:sz w:val="32"/>
                <w:szCs w:val="32"/>
              </w:rPr>
              <w:t>Открытое</w:t>
            </w:r>
            <w:r w:rsidRPr="00BB4B93">
              <w:rPr>
                <w:rFonts w:ascii="Arial Rounded MT Bold" w:eastAsiaTheme="minorEastAsia" w:hAnsi="Arial Rounded MT Bold"/>
                <w:b/>
                <w:sz w:val="32"/>
                <w:szCs w:val="32"/>
              </w:rPr>
              <w:t xml:space="preserve"> </w:t>
            </w:r>
            <w:r w:rsidRPr="00BB4B93">
              <w:rPr>
                <w:rFonts w:eastAsiaTheme="minorEastAsia"/>
                <w:b/>
                <w:sz w:val="32"/>
                <w:szCs w:val="32"/>
              </w:rPr>
              <w:t xml:space="preserve"> акционерное</w:t>
            </w:r>
            <w:r w:rsidRPr="00BB4B93">
              <w:rPr>
                <w:rFonts w:ascii="Arial Rounded MT Bold" w:eastAsiaTheme="minorEastAsia" w:hAnsi="Arial Rounded MT Bold"/>
                <w:b/>
                <w:sz w:val="32"/>
                <w:szCs w:val="32"/>
              </w:rPr>
              <w:t xml:space="preserve"> </w:t>
            </w:r>
            <w:r w:rsidRPr="00BB4B93">
              <w:rPr>
                <w:rFonts w:eastAsiaTheme="minorEastAsia"/>
                <w:b/>
                <w:sz w:val="32"/>
                <w:szCs w:val="32"/>
              </w:rPr>
              <w:t>общество</w:t>
            </w:r>
          </w:p>
          <w:p w:rsidR="00BB4B93" w:rsidRPr="00BB4B93" w:rsidRDefault="00BB4B93" w:rsidP="00BB4B93">
            <w:pPr>
              <w:jc w:val="both"/>
              <w:rPr>
                <w:rFonts w:ascii="Arial Black" w:eastAsiaTheme="minorEastAsia" w:hAnsi="Arial Black"/>
                <w:b/>
                <w:i/>
                <w:sz w:val="48"/>
                <w:szCs w:val="48"/>
              </w:rPr>
            </w:pPr>
            <w:r w:rsidRPr="00BB4B93">
              <w:rPr>
                <w:rFonts w:ascii="Arial Black" w:eastAsiaTheme="minorEastAsia" w:hAnsi="Arial Black"/>
                <w:b/>
                <w:i/>
                <w:sz w:val="48"/>
                <w:szCs w:val="48"/>
              </w:rPr>
              <w:t>«РН-Влакра»</w:t>
            </w:r>
          </w:p>
        </w:tc>
      </w:tr>
    </w:tbl>
    <w:p w:rsidR="00BB4B93" w:rsidRDefault="00BB4B93" w:rsidP="00BB4B93">
      <w:pPr>
        <w:jc w:val="both"/>
        <w:rPr>
          <w:i/>
          <w:sz w:val="18"/>
          <w:szCs w:val="18"/>
        </w:rPr>
      </w:pPr>
    </w:p>
    <w:p w:rsidR="00BB4B93" w:rsidRPr="00855939" w:rsidRDefault="00BB4B93" w:rsidP="00037586">
      <w:pPr>
        <w:rPr>
          <w:sz w:val="18"/>
          <w:szCs w:val="18"/>
        </w:rPr>
      </w:pPr>
      <w:r w:rsidRPr="00855939">
        <w:rPr>
          <w:i/>
          <w:sz w:val="18"/>
          <w:szCs w:val="18"/>
        </w:rPr>
        <w:t>ОАО «РН-Влакра»</w:t>
      </w:r>
      <w:r w:rsidRPr="00855939">
        <w:rPr>
          <w:b/>
          <w:sz w:val="18"/>
          <w:szCs w:val="18"/>
        </w:rPr>
        <w:t xml:space="preserve">                                                                                              </w:t>
      </w:r>
    </w:p>
    <w:p w:rsidR="00BB4B93" w:rsidRPr="00855939" w:rsidRDefault="00BB4B93" w:rsidP="00037586">
      <w:pPr>
        <w:rPr>
          <w:i/>
          <w:sz w:val="18"/>
          <w:szCs w:val="18"/>
        </w:rPr>
      </w:pPr>
      <w:r w:rsidRPr="00855939">
        <w:rPr>
          <w:i/>
          <w:sz w:val="18"/>
          <w:szCs w:val="18"/>
        </w:rPr>
        <w:t>119071,</w:t>
      </w:r>
      <w:r w:rsidRPr="003A0F7A">
        <w:rPr>
          <w:i/>
          <w:sz w:val="18"/>
          <w:szCs w:val="18"/>
        </w:rPr>
        <w:t xml:space="preserve"> </w:t>
      </w:r>
      <w:r w:rsidRPr="00855939">
        <w:rPr>
          <w:i/>
          <w:sz w:val="18"/>
          <w:szCs w:val="18"/>
        </w:rPr>
        <w:t xml:space="preserve"> г.</w:t>
      </w:r>
      <w:r w:rsidRPr="00A84BD0">
        <w:rPr>
          <w:i/>
          <w:sz w:val="18"/>
          <w:szCs w:val="18"/>
        </w:rPr>
        <w:t xml:space="preserve"> </w:t>
      </w:r>
      <w:r w:rsidRPr="00855939">
        <w:rPr>
          <w:i/>
          <w:sz w:val="18"/>
          <w:szCs w:val="18"/>
        </w:rPr>
        <w:t>Москва, ул.</w:t>
      </w:r>
      <w:r w:rsidRPr="00A84BD0">
        <w:rPr>
          <w:i/>
          <w:sz w:val="18"/>
          <w:szCs w:val="18"/>
        </w:rPr>
        <w:t xml:space="preserve"> </w:t>
      </w:r>
      <w:r w:rsidRPr="00855939">
        <w:rPr>
          <w:i/>
          <w:sz w:val="18"/>
          <w:szCs w:val="18"/>
        </w:rPr>
        <w:t>Малая Калужская, д.15, стр.1                                                                      Тел.    +7 (495) 955-9</w:t>
      </w:r>
      <w:r>
        <w:rPr>
          <w:i/>
          <w:sz w:val="18"/>
          <w:szCs w:val="18"/>
        </w:rPr>
        <w:t>1</w:t>
      </w:r>
      <w:r w:rsidRPr="00855939">
        <w:rPr>
          <w:i/>
          <w:sz w:val="18"/>
          <w:szCs w:val="18"/>
        </w:rPr>
        <w:t>-</w:t>
      </w:r>
      <w:r>
        <w:rPr>
          <w:i/>
          <w:sz w:val="18"/>
          <w:szCs w:val="18"/>
        </w:rPr>
        <w:t>68</w:t>
      </w:r>
      <w:r w:rsidRPr="00855939">
        <w:rPr>
          <w:i/>
          <w:sz w:val="18"/>
          <w:szCs w:val="18"/>
        </w:rPr>
        <w:t xml:space="preserve">                                                                                                         Факс  +7 (495) 955-92-43                                                                                                   </w:t>
      </w:r>
      <w:r w:rsidRPr="00855939">
        <w:rPr>
          <w:i/>
          <w:sz w:val="18"/>
          <w:szCs w:val="18"/>
          <w:lang w:val="en-US"/>
        </w:rPr>
        <w:t>e</w:t>
      </w:r>
      <w:r w:rsidRPr="00855939">
        <w:rPr>
          <w:i/>
          <w:sz w:val="18"/>
          <w:szCs w:val="18"/>
        </w:rPr>
        <w:t>-</w:t>
      </w:r>
      <w:r w:rsidRPr="00855939">
        <w:rPr>
          <w:i/>
          <w:sz w:val="18"/>
          <w:szCs w:val="18"/>
          <w:lang w:val="en-US"/>
        </w:rPr>
        <w:t>mail</w:t>
      </w:r>
      <w:r w:rsidRPr="00855939">
        <w:rPr>
          <w:i/>
          <w:sz w:val="18"/>
          <w:szCs w:val="18"/>
        </w:rPr>
        <w:t xml:space="preserve">: </w:t>
      </w:r>
      <w:hyperlink r:id="rId18" w:history="1">
        <w:r w:rsidRPr="00855939">
          <w:rPr>
            <w:rStyle w:val="a5"/>
            <w:i/>
            <w:sz w:val="18"/>
            <w:szCs w:val="18"/>
            <w:lang w:val="en-US"/>
          </w:rPr>
          <w:t>info</w:t>
        </w:r>
        <w:r w:rsidRPr="00855939">
          <w:rPr>
            <w:rStyle w:val="a5"/>
            <w:i/>
            <w:sz w:val="18"/>
            <w:szCs w:val="18"/>
          </w:rPr>
          <w:t>@</w:t>
        </w:r>
        <w:r w:rsidRPr="00855939">
          <w:rPr>
            <w:rStyle w:val="a5"/>
            <w:i/>
            <w:sz w:val="18"/>
            <w:szCs w:val="18"/>
            <w:lang w:val="en-US"/>
          </w:rPr>
          <w:t>rnvlakra</w:t>
        </w:r>
        <w:r w:rsidRPr="00855939">
          <w:rPr>
            <w:rStyle w:val="a5"/>
            <w:i/>
            <w:sz w:val="18"/>
            <w:szCs w:val="18"/>
          </w:rPr>
          <w:t>.</w:t>
        </w:r>
        <w:r w:rsidRPr="00855939">
          <w:rPr>
            <w:rStyle w:val="a5"/>
            <w:i/>
            <w:sz w:val="18"/>
            <w:szCs w:val="18"/>
            <w:lang w:val="en-US"/>
          </w:rPr>
          <w:t>ru</w:t>
        </w:r>
      </w:hyperlink>
      <w:r w:rsidRPr="00855939">
        <w:rPr>
          <w:i/>
          <w:sz w:val="18"/>
          <w:szCs w:val="18"/>
        </w:rPr>
        <w:t xml:space="preserve">; </w:t>
      </w:r>
      <w:hyperlink r:id="rId19" w:history="1">
        <w:r w:rsidRPr="00855939">
          <w:rPr>
            <w:rStyle w:val="a5"/>
            <w:i/>
            <w:sz w:val="18"/>
            <w:szCs w:val="18"/>
            <w:lang w:val="en-US"/>
          </w:rPr>
          <w:t>www</w:t>
        </w:r>
        <w:r w:rsidRPr="00855939">
          <w:rPr>
            <w:rStyle w:val="a5"/>
            <w:i/>
            <w:sz w:val="18"/>
            <w:szCs w:val="18"/>
          </w:rPr>
          <w:t>.</w:t>
        </w:r>
        <w:r w:rsidRPr="00855939">
          <w:rPr>
            <w:rStyle w:val="a5"/>
            <w:i/>
            <w:sz w:val="18"/>
            <w:szCs w:val="18"/>
            <w:lang w:val="en-US"/>
          </w:rPr>
          <w:t>rnvlakra</w:t>
        </w:r>
        <w:r w:rsidRPr="00855939">
          <w:rPr>
            <w:rStyle w:val="a5"/>
            <w:i/>
            <w:sz w:val="18"/>
            <w:szCs w:val="18"/>
          </w:rPr>
          <w:t>.</w:t>
        </w:r>
        <w:r w:rsidRPr="00855939">
          <w:rPr>
            <w:rStyle w:val="a5"/>
            <w:i/>
            <w:sz w:val="18"/>
            <w:szCs w:val="18"/>
            <w:lang w:val="en-US"/>
          </w:rPr>
          <w:t>ru</w:t>
        </w:r>
      </w:hyperlink>
    </w:p>
    <w:p w:rsidR="00BB4B93" w:rsidRDefault="00BB4B93" w:rsidP="00037586">
      <w:pPr>
        <w:rPr>
          <w:i/>
          <w:sz w:val="18"/>
          <w:szCs w:val="18"/>
        </w:rPr>
      </w:pPr>
      <w:r w:rsidRPr="00855939">
        <w:rPr>
          <w:i/>
          <w:sz w:val="18"/>
          <w:szCs w:val="18"/>
        </w:rPr>
        <w:t>ОГРН  1087746574057;  ИНН 7725636702</w:t>
      </w:r>
      <w:r>
        <w:rPr>
          <w:i/>
          <w:sz w:val="18"/>
          <w:szCs w:val="18"/>
        </w:rPr>
        <w:t>; КПП 772501001</w:t>
      </w:r>
    </w:p>
    <w:p w:rsidR="00BB4B93" w:rsidRDefault="00BB4B93" w:rsidP="00BB4B93">
      <w:pPr>
        <w:jc w:val="both"/>
        <w:rPr>
          <w:i/>
          <w:sz w:val="18"/>
          <w:szCs w:val="18"/>
        </w:rPr>
      </w:pPr>
    </w:p>
    <w:p w:rsidR="00BB4B93" w:rsidRDefault="00BB4B93" w:rsidP="00BB4B93">
      <w:pPr>
        <w:jc w:val="both"/>
      </w:pPr>
    </w:p>
    <w:p w:rsidR="00BB4B93" w:rsidRDefault="00BB4B93" w:rsidP="00BB4B93">
      <w:pPr>
        <w:jc w:val="both"/>
        <w:rPr>
          <w:sz w:val="32"/>
          <w:szCs w:val="32"/>
        </w:rPr>
      </w:pPr>
    </w:p>
    <w:p w:rsidR="00BB4B93" w:rsidRDefault="00BB4B93" w:rsidP="00037586">
      <w:pPr>
        <w:jc w:val="center"/>
        <w:rPr>
          <w:b/>
          <w:sz w:val="28"/>
          <w:szCs w:val="28"/>
        </w:rPr>
      </w:pPr>
      <w:r>
        <w:rPr>
          <w:b/>
          <w:sz w:val="28"/>
          <w:szCs w:val="28"/>
        </w:rPr>
        <w:t>Приказ</w:t>
      </w:r>
    </w:p>
    <w:p w:rsidR="00BB4B93" w:rsidRDefault="00BB4B93" w:rsidP="00BB4B93">
      <w:pPr>
        <w:jc w:val="both"/>
        <w:rPr>
          <w:sz w:val="28"/>
          <w:szCs w:val="28"/>
        </w:rPr>
      </w:pPr>
    </w:p>
    <w:p w:rsidR="00BB4B93" w:rsidRPr="007E753E" w:rsidRDefault="00BB4B93" w:rsidP="00BB4B93">
      <w:pPr>
        <w:jc w:val="both"/>
        <w:rPr>
          <w:b/>
        </w:rPr>
      </w:pPr>
      <w:r>
        <w:rPr>
          <w:b/>
        </w:rPr>
        <w:t xml:space="preserve">«30» декабря </w:t>
      </w:r>
      <w:smartTag w:uri="urn:schemas-microsoft-com:office:smarttags" w:element="metricconverter">
        <w:smartTagPr>
          <w:attr w:name="ProductID" w:val="2011 г"/>
        </w:smartTagPr>
        <w:r w:rsidRPr="007E753E">
          <w:rPr>
            <w:b/>
          </w:rPr>
          <w:t>20</w:t>
        </w:r>
        <w:r>
          <w:rPr>
            <w:b/>
          </w:rPr>
          <w:t>11</w:t>
        </w:r>
        <w:r w:rsidRPr="007E753E">
          <w:rPr>
            <w:b/>
          </w:rPr>
          <w:t xml:space="preserve"> г</w:t>
        </w:r>
      </w:smartTag>
      <w:r w:rsidRPr="007E753E">
        <w:rPr>
          <w:b/>
        </w:rPr>
        <w:t xml:space="preserve">.           </w:t>
      </w:r>
      <w:r>
        <w:rPr>
          <w:b/>
        </w:rPr>
        <w:tab/>
      </w:r>
      <w:r>
        <w:rPr>
          <w:b/>
        </w:rPr>
        <w:tab/>
      </w:r>
      <w:r>
        <w:rPr>
          <w:b/>
        </w:rPr>
        <w:tab/>
      </w:r>
      <w:r>
        <w:rPr>
          <w:b/>
        </w:rPr>
        <w:tab/>
      </w:r>
      <w:r>
        <w:rPr>
          <w:b/>
        </w:rPr>
        <w:tab/>
      </w:r>
      <w:r>
        <w:rPr>
          <w:b/>
        </w:rPr>
        <w:tab/>
      </w:r>
      <w:r>
        <w:rPr>
          <w:b/>
        </w:rPr>
        <w:tab/>
        <w:t xml:space="preserve">     Москва </w:t>
      </w:r>
    </w:p>
    <w:p w:rsidR="00BB4B93" w:rsidRDefault="00BB4B93" w:rsidP="00BB4B93">
      <w:pPr>
        <w:ind w:left="3540" w:firstLine="708"/>
        <w:jc w:val="both"/>
      </w:pPr>
    </w:p>
    <w:p w:rsidR="00BB4B93" w:rsidRPr="00F935C5" w:rsidRDefault="00BB4B93" w:rsidP="00BB4B93">
      <w:pPr>
        <w:jc w:val="both"/>
      </w:pPr>
    </w:p>
    <w:p w:rsidR="00BB4B93" w:rsidRDefault="00BB4B93" w:rsidP="00BB4B93">
      <w:pPr>
        <w:jc w:val="both"/>
        <w:rPr>
          <w:b/>
          <w:i/>
        </w:rPr>
      </w:pPr>
      <w:r>
        <w:rPr>
          <w:b/>
          <w:i/>
        </w:rPr>
        <w:t>О продлении срока действия</w:t>
      </w:r>
      <w:r w:rsidRPr="0036027E">
        <w:rPr>
          <w:b/>
          <w:i/>
        </w:rPr>
        <w:t xml:space="preserve"> </w:t>
      </w:r>
    </w:p>
    <w:p w:rsidR="00BB4B93" w:rsidRDefault="00BB4B93" w:rsidP="00BB4B93">
      <w:pPr>
        <w:jc w:val="both"/>
        <w:rPr>
          <w:b/>
          <w:i/>
        </w:rPr>
      </w:pPr>
      <w:r w:rsidRPr="0036027E">
        <w:rPr>
          <w:b/>
          <w:i/>
        </w:rPr>
        <w:t xml:space="preserve">Положения </w:t>
      </w:r>
      <w:r>
        <w:rPr>
          <w:b/>
          <w:i/>
        </w:rPr>
        <w:t>«У</w:t>
      </w:r>
      <w:r w:rsidRPr="0036027E">
        <w:rPr>
          <w:b/>
          <w:i/>
        </w:rPr>
        <w:t>четн</w:t>
      </w:r>
      <w:r>
        <w:rPr>
          <w:b/>
          <w:i/>
        </w:rPr>
        <w:t>ая</w:t>
      </w:r>
      <w:r w:rsidRPr="0036027E">
        <w:rPr>
          <w:b/>
          <w:i/>
        </w:rPr>
        <w:t xml:space="preserve"> пол</w:t>
      </w:r>
      <w:r>
        <w:rPr>
          <w:b/>
          <w:i/>
        </w:rPr>
        <w:t>итика для целей</w:t>
      </w:r>
    </w:p>
    <w:p w:rsidR="00BB4B93" w:rsidRDefault="00BB4B93" w:rsidP="00BB4B93">
      <w:pPr>
        <w:jc w:val="both"/>
        <w:rPr>
          <w:b/>
          <w:i/>
        </w:rPr>
      </w:pPr>
      <w:r w:rsidRPr="0036027E">
        <w:rPr>
          <w:b/>
          <w:i/>
        </w:rPr>
        <w:t>бухга</w:t>
      </w:r>
      <w:r>
        <w:rPr>
          <w:b/>
          <w:i/>
        </w:rPr>
        <w:t>л</w:t>
      </w:r>
      <w:r w:rsidRPr="0036027E">
        <w:rPr>
          <w:b/>
          <w:i/>
        </w:rPr>
        <w:t>терского учета</w:t>
      </w:r>
      <w:r>
        <w:rPr>
          <w:b/>
          <w:i/>
        </w:rPr>
        <w:t xml:space="preserve"> ОАО «РН-Влакра» на 2011 год»</w:t>
      </w:r>
      <w:r w:rsidRPr="0036027E">
        <w:rPr>
          <w:b/>
          <w:i/>
        </w:rPr>
        <w:t xml:space="preserve"> </w:t>
      </w:r>
      <w:r>
        <w:rPr>
          <w:b/>
          <w:i/>
        </w:rPr>
        <w:t xml:space="preserve"> и </w:t>
      </w:r>
    </w:p>
    <w:p w:rsidR="00BB4B93" w:rsidRDefault="00BB4B93" w:rsidP="00BB4B93">
      <w:pPr>
        <w:jc w:val="both"/>
        <w:rPr>
          <w:b/>
          <w:i/>
        </w:rPr>
      </w:pPr>
      <w:r>
        <w:rPr>
          <w:b/>
          <w:i/>
        </w:rPr>
        <w:t xml:space="preserve">Положения «Учетная политика для целей налогового </w:t>
      </w:r>
    </w:p>
    <w:p w:rsidR="00BB4B93" w:rsidRDefault="00BB4B93" w:rsidP="00BB4B93">
      <w:pPr>
        <w:jc w:val="both"/>
        <w:rPr>
          <w:b/>
          <w:i/>
        </w:rPr>
      </w:pPr>
      <w:r>
        <w:rPr>
          <w:b/>
          <w:i/>
        </w:rPr>
        <w:t>учета ОАО «РН-Влакра» на 2011 год»</w:t>
      </w:r>
      <w:r w:rsidRPr="0036027E">
        <w:rPr>
          <w:b/>
          <w:i/>
        </w:rPr>
        <w:t xml:space="preserve"> </w:t>
      </w:r>
      <w:r>
        <w:rPr>
          <w:b/>
          <w:i/>
        </w:rPr>
        <w:t>на 2012 год.</w:t>
      </w:r>
    </w:p>
    <w:p w:rsidR="00BB4B93" w:rsidRPr="0036027E" w:rsidRDefault="00BB4B93" w:rsidP="00BB4B93">
      <w:pPr>
        <w:jc w:val="both"/>
        <w:rPr>
          <w:b/>
          <w:i/>
        </w:rPr>
      </w:pPr>
    </w:p>
    <w:p w:rsidR="00BB4B93" w:rsidRPr="00F935C5" w:rsidRDefault="00BB4B93" w:rsidP="00BB4B93">
      <w:pPr>
        <w:jc w:val="both"/>
      </w:pPr>
    </w:p>
    <w:p w:rsidR="00BB4B93" w:rsidRDefault="00BB4B93" w:rsidP="00BB4B93">
      <w:pPr>
        <w:ind w:firstLine="720"/>
        <w:jc w:val="both"/>
      </w:pPr>
      <w:r w:rsidRPr="00F935C5">
        <w:t xml:space="preserve">      В соответствии  с Федеральным законом Российской Федерации от 21 ноября 1996 года № 129-ФЗ «О бухгалтерском учете»,  Налоговым кодексом Российской Федерации и иными законодательными и нормативными актами  по бухгалтерскому и налоговому учету, </w:t>
      </w:r>
    </w:p>
    <w:p w:rsidR="00BB4B93" w:rsidRPr="00F935C5" w:rsidRDefault="00BB4B93" w:rsidP="00BB4B93">
      <w:pPr>
        <w:ind w:firstLine="720"/>
        <w:jc w:val="both"/>
      </w:pPr>
    </w:p>
    <w:p w:rsidR="00BB4B93" w:rsidRPr="00F935C5" w:rsidRDefault="00BB4B93" w:rsidP="00BB4B93">
      <w:pPr>
        <w:spacing w:before="120" w:after="120"/>
        <w:ind w:firstLine="357"/>
        <w:jc w:val="both"/>
        <w:outlineLvl w:val="0"/>
        <w:rPr>
          <w:b/>
        </w:rPr>
      </w:pPr>
      <w:r w:rsidRPr="00F935C5">
        <w:rPr>
          <w:b/>
        </w:rPr>
        <w:t>П Р И К А З Ы В А Ю:</w:t>
      </w:r>
    </w:p>
    <w:p w:rsidR="00BB4B93" w:rsidRDefault="00BB4B93" w:rsidP="00BB4B93">
      <w:pPr>
        <w:numPr>
          <w:ilvl w:val="0"/>
          <w:numId w:val="4"/>
        </w:numPr>
        <w:overflowPunct w:val="0"/>
        <w:spacing w:before="60" w:after="120"/>
        <w:ind w:left="714" w:hanging="357"/>
        <w:jc w:val="both"/>
        <w:textAlignment w:val="baseline"/>
        <w:outlineLvl w:val="0"/>
      </w:pPr>
      <w:r>
        <w:t>Продлить срок действия данной редакции Положения</w:t>
      </w:r>
      <w:r w:rsidRPr="00001EF9">
        <w:t xml:space="preserve"> </w:t>
      </w:r>
      <w:r>
        <w:t>«Учетная политика</w:t>
      </w:r>
      <w:r w:rsidRPr="00001EF9">
        <w:t xml:space="preserve"> для целей бухгалтерского учета </w:t>
      </w:r>
      <w:r>
        <w:t>ОАО «РН-Влакра на 2011г.» на 2012 год.</w:t>
      </w:r>
    </w:p>
    <w:p w:rsidR="00BB4B93" w:rsidRDefault="00BB4B93" w:rsidP="00BB4B93">
      <w:pPr>
        <w:numPr>
          <w:ilvl w:val="0"/>
          <w:numId w:val="4"/>
        </w:numPr>
        <w:overflowPunct w:val="0"/>
        <w:spacing w:before="60" w:after="120"/>
        <w:ind w:left="714" w:hanging="357"/>
        <w:jc w:val="both"/>
        <w:textAlignment w:val="baseline"/>
        <w:outlineLvl w:val="0"/>
      </w:pPr>
      <w:r>
        <w:t>Продлить срок действия данной редакции Положения</w:t>
      </w:r>
      <w:r w:rsidRPr="00001EF9">
        <w:t xml:space="preserve"> </w:t>
      </w:r>
      <w:r>
        <w:t>«Учетная политика</w:t>
      </w:r>
      <w:r w:rsidRPr="00001EF9">
        <w:t xml:space="preserve"> для целей налогового учета </w:t>
      </w:r>
      <w:r>
        <w:t xml:space="preserve">ОАО «РН-Влакра» </w:t>
      </w:r>
      <w:r w:rsidRPr="00001EF9">
        <w:t>на 201</w:t>
      </w:r>
      <w:r>
        <w:t>1 год» на 2012 год.</w:t>
      </w:r>
    </w:p>
    <w:p w:rsidR="00BB4B93" w:rsidRDefault="00BB4B93" w:rsidP="00BB4B93">
      <w:pPr>
        <w:numPr>
          <w:ilvl w:val="0"/>
          <w:numId w:val="4"/>
        </w:numPr>
        <w:overflowPunct w:val="0"/>
        <w:spacing w:before="60" w:after="120"/>
        <w:ind w:left="714" w:hanging="357"/>
        <w:jc w:val="both"/>
        <w:textAlignment w:val="baseline"/>
        <w:outlineLvl w:val="0"/>
      </w:pPr>
      <w:r w:rsidRPr="00F935C5">
        <w:t xml:space="preserve">Контроль за выполнением </w:t>
      </w:r>
      <w:r>
        <w:t>настоящего Приказа возлагаю на Г</w:t>
      </w:r>
      <w:r w:rsidRPr="00F935C5">
        <w:t xml:space="preserve">лавного бухгалтера </w:t>
      </w:r>
      <w:r>
        <w:t>Козлову О.В.</w:t>
      </w:r>
    </w:p>
    <w:p w:rsidR="00BB4B93" w:rsidRPr="0036027E" w:rsidRDefault="00BB4B93" w:rsidP="00BB4B93">
      <w:pPr>
        <w:overflowPunct w:val="0"/>
        <w:spacing w:before="60" w:after="120"/>
        <w:ind w:left="714"/>
        <w:jc w:val="both"/>
        <w:textAlignment w:val="baseline"/>
        <w:outlineLvl w:val="0"/>
      </w:pPr>
    </w:p>
    <w:p w:rsidR="00BB4B93" w:rsidRDefault="00BB4B93" w:rsidP="00BB4B93">
      <w:pPr>
        <w:ind w:left="180" w:hanging="180"/>
        <w:jc w:val="both"/>
        <w:rPr>
          <w:b/>
        </w:rPr>
      </w:pPr>
      <w:r w:rsidRPr="00F935C5">
        <w:rPr>
          <w:b/>
        </w:rPr>
        <w:t xml:space="preserve">    </w:t>
      </w:r>
      <w:r>
        <w:rPr>
          <w:b/>
        </w:rPr>
        <w:t xml:space="preserve"> </w:t>
      </w:r>
      <w:r w:rsidRPr="00F935C5">
        <w:rPr>
          <w:b/>
        </w:rPr>
        <w:t xml:space="preserve"> </w:t>
      </w:r>
    </w:p>
    <w:p w:rsidR="00BB4B93" w:rsidRPr="00F935C5" w:rsidRDefault="00BB4B93" w:rsidP="00BB4B93">
      <w:pPr>
        <w:ind w:left="180" w:hanging="180"/>
        <w:jc w:val="both"/>
        <w:rPr>
          <w:b/>
        </w:rPr>
      </w:pPr>
      <w:r w:rsidRPr="00F935C5">
        <w:rPr>
          <w:b/>
        </w:rPr>
        <w:t>Генеральный директор</w:t>
      </w:r>
      <w:r w:rsidRPr="00F935C5">
        <w:rPr>
          <w:b/>
        </w:rPr>
        <w:tab/>
      </w:r>
      <w:r w:rsidRPr="00F935C5">
        <w:rPr>
          <w:b/>
        </w:rPr>
        <w:tab/>
      </w:r>
      <w:r w:rsidRPr="00F935C5">
        <w:rPr>
          <w:b/>
        </w:rPr>
        <w:tab/>
      </w:r>
      <w:r w:rsidRPr="00F935C5">
        <w:rPr>
          <w:b/>
        </w:rPr>
        <w:tab/>
      </w:r>
      <w:r w:rsidRPr="00F935C5">
        <w:rPr>
          <w:b/>
        </w:rPr>
        <w:tab/>
      </w:r>
      <w:r>
        <w:rPr>
          <w:b/>
        </w:rPr>
        <w:tab/>
      </w:r>
      <w:r>
        <w:rPr>
          <w:b/>
        </w:rPr>
        <w:tab/>
      </w:r>
      <w:r w:rsidRPr="00F935C5">
        <w:rPr>
          <w:b/>
        </w:rPr>
        <w:t>С.</w:t>
      </w:r>
      <w:r>
        <w:rPr>
          <w:b/>
        </w:rPr>
        <w:t>В</w:t>
      </w:r>
      <w:r w:rsidRPr="00F935C5">
        <w:rPr>
          <w:b/>
        </w:rPr>
        <w:t xml:space="preserve">. </w:t>
      </w:r>
      <w:r>
        <w:rPr>
          <w:b/>
        </w:rPr>
        <w:t>Грицкевич</w:t>
      </w:r>
    </w:p>
    <w:p w:rsidR="00BB4B93" w:rsidRDefault="00BB4B93" w:rsidP="00BB4B93">
      <w:pPr>
        <w:jc w:val="both"/>
        <w:rPr>
          <w:sz w:val="32"/>
          <w:szCs w:val="32"/>
        </w:rPr>
      </w:pPr>
    </w:p>
    <w:p w:rsidR="00BB4B93" w:rsidRDefault="00BB4B93" w:rsidP="00BB4B93">
      <w:pPr>
        <w:jc w:val="both"/>
      </w:pPr>
      <w:r w:rsidRPr="001E58BE">
        <w:t xml:space="preserve">                                                                   </w:t>
      </w:r>
      <w:r>
        <w:t xml:space="preserve">           </w:t>
      </w:r>
    </w:p>
    <w:p w:rsidR="00BB4B93" w:rsidRDefault="00BB4B93" w:rsidP="00BB4B93">
      <w:pPr>
        <w:jc w:val="both"/>
      </w:pPr>
    </w:p>
    <w:p w:rsidR="00BB4B93" w:rsidRPr="009073A0" w:rsidRDefault="00BB4B93" w:rsidP="00BB4B93">
      <w:pPr>
        <w:jc w:val="both"/>
        <w:rPr>
          <w:sz w:val="28"/>
          <w:szCs w:val="28"/>
        </w:rPr>
      </w:pPr>
    </w:p>
    <w:p w:rsidR="00AA7EE0" w:rsidRDefault="00AA7EE0" w:rsidP="00BB4B93">
      <w:pPr>
        <w:widowControl/>
        <w:spacing w:before="0" w:after="200" w:line="276" w:lineRule="auto"/>
        <w:ind w:left="720"/>
        <w:jc w:val="both"/>
        <w:rPr>
          <w:b/>
          <w:bCs/>
          <w:sz w:val="22"/>
          <w:szCs w:val="22"/>
        </w:rPr>
      </w:pPr>
    </w:p>
    <w:p w:rsidR="00AA7EE0" w:rsidRDefault="00AA7EE0" w:rsidP="00BB4B93">
      <w:pPr>
        <w:widowControl/>
        <w:spacing w:before="0" w:after="200" w:line="276" w:lineRule="auto"/>
        <w:jc w:val="both"/>
        <w:rPr>
          <w:sz w:val="22"/>
          <w:szCs w:val="22"/>
        </w:rPr>
      </w:pPr>
    </w:p>
    <w:p w:rsidR="00AA7EE0" w:rsidRDefault="00AA7EE0" w:rsidP="00BB4B93">
      <w:pPr>
        <w:widowControl/>
        <w:spacing w:before="0" w:after="200" w:line="276" w:lineRule="auto"/>
        <w:jc w:val="both"/>
        <w:rPr>
          <w:sz w:val="22"/>
          <w:szCs w:val="22"/>
        </w:rPr>
      </w:pPr>
    </w:p>
    <w:p w:rsidR="00AA7EE0" w:rsidRDefault="00AA7EE0" w:rsidP="00BB4B93">
      <w:pPr>
        <w:ind w:left="200"/>
        <w:jc w:val="both"/>
      </w:pPr>
    </w:p>
    <w:p w:rsidR="00AA7EE0" w:rsidRDefault="00AA7EE0" w:rsidP="00BB4B93">
      <w:pPr>
        <w:pStyle w:val="2"/>
        <w:jc w:val="both"/>
      </w:pPr>
      <w:bookmarkStart w:id="79" w:name="_Toc324431791"/>
      <w:r>
        <w:lastRenderedPageBreak/>
        <w:t>7.5. Сведения об общей сумме экспорта, а также о доле, которую составляет экспорт в общем объеме продаж</w:t>
      </w:r>
      <w:bookmarkEnd w:id="79"/>
    </w:p>
    <w:p w:rsidR="00AA7EE0" w:rsidRPr="00DA3FA1" w:rsidRDefault="00AA7EE0" w:rsidP="00BB4B93">
      <w:pPr>
        <w:ind w:left="200"/>
        <w:jc w:val="both"/>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r w:rsidR="00DA3FA1" w:rsidRPr="00DA3FA1">
        <w:rPr>
          <w:rStyle w:val="Subst"/>
          <w:bCs/>
          <w:iCs/>
        </w:rPr>
        <w:t>.</w:t>
      </w:r>
    </w:p>
    <w:p w:rsidR="00AA7EE0" w:rsidRDefault="00AA7EE0" w:rsidP="00BB4B93">
      <w:pPr>
        <w:pStyle w:val="2"/>
        <w:jc w:val="both"/>
      </w:pPr>
      <w:bookmarkStart w:id="80" w:name="_Toc324431792"/>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80"/>
    </w:p>
    <w:p w:rsidR="00AA7EE0" w:rsidRDefault="00AA7EE0" w:rsidP="00BB4B93">
      <w:pPr>
        <w:pStyle w:val="SubHeading"/>
        <w:ind w:left="200"/>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AA7EE0" w:rsidRDefault="00AA7EE0" w:rsidP="00BB4B93">
      <w:pPr>
        <w:ind w:left="400"/>
        <w:jc w:val="both"/>
      </w:pPr>
      <w:r>
        <w:rPr>
          <w:rStyle w:val="Subst"/>
          <w:bCs/>
          <w:iCs/>
        </w:rPr>
        <w:t>Существенных изменений в составе имущества эмитента, произошедших в течение 12 месяцев до даты окончания отчетного квартала</w:t>
      </w:r>
      <w:r w:rsidR="00DA3FA1">
        <w:rPr>
          <w:rStyle w:val="Subst"/>
          <w:bCs/>
          <w:iCs/>
        </w:rPr>
        <w:t>,</w:t>
      </w:r>
      <w:r>
        <w:rPr>
          <w:rStyle w:val="Subst"/>
          <w:bCs/>
          <w:iCs/>
        </w:rPr>
        <w:t xml:space="preserve"> не было</w:t>
      </w:r>
      <w:r w:rsidR="00DA3FA1">
        <w:rPr>
          <w:rStyle w:val="Subst"/>
          <w:bCs/>
          <w:iCs/>
        </w:rPr>
        <w:t>.</w:t>
      </w:r>
    </w:p>
    <w:p w:rsidR="00AA7EE0" w:rsidRDefault="00AA7EE0" w:rsidP="00BB4B93">
      <w:pPr>
        <w:pStyle w:val="2"/>
        <w:jc w:val="both"/>
      </w:pPr>
      <w:bookmarkStart w:id="81" w:name="_Toc324431793"/>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1"/>
    </w:p>
    <w:p w:rsidR="00AA7EE0" w:rsidRDefault="00AA7EE0" w:rsidP="00BB4B93">
      <w:pPr>
        <w:ind w:left="200"/>
        <w:jc w:val="both"/>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r w:rsidR="00DA3FA1">
        <w:rPr>
          <w:rStyle w:val="Subst"/>
          <w:bCs/>
          <w:iCs/>
        </w:rPr>
        <w:t>.</w:t>
      </w:r>
    </w:p>
    <w:p w:rsidR="00AA7EE0" w:rsidRDefault="00AA7EE0" w:rsidP="00BB4B93">
      <w:pPr>
        <w:pStyle w:val="1"/>
        <w:jc w:val="both"/>
      </w:pPr>
      <w:bookmarkStart w:id="82" w:name="_Toc324431794"/>
      <w:r>
        <w:t>VIII. Дополнительные сведения об эмитенте и о размещенных им эмиссионных ценных бумагах</w:t>
      </w:r>
      <w:bookmarkEnd w:id="82"/>
    </w:p>
    <w:p w:rsidR="00AA7EE0" w:rsidRDefault="00AA7EE0" w:rsidP="00BB4B93">
      <w:pPr>
        <w:pStyle w:val="2"/>
        <w:jc w:val="both"/>
      </w:pPr>
      <w:bookmarkStart w:id="83" w:name="_Toc324431795"/>
      <w:r>
        <w:t>8.1. Дополнительные сведения об эмитенте</w:t>
      </w:r>
      <w:bookmarkEnd w:id="83"/>
    </w:p>
    <w:p w:rsidR="00AA7EE0" w:rsidRDefault="00AA7EE0" w:rsidP="00BB4B93">
      <w:pPr>
        <w:pStyle w:val="2"/>
        <w:jc w:val="both"/>
      </w:pPr>
      <w:bookmarkStart w:id="84" w:name="_Toc324431796"/>
      <w:r>
        <w:t>8.1.1. Сведения о размере, структуре уставного (складочного) капитала (паевого фонда) эмитента</w:t>
      </w:r>
      <w:bookmarkEnd w:id="84"/>
    </w:p>
    <w:p w:rsidR="00AA7EE0" w:rsidRDefault="00AA7EE0" w:rsidP="00BB4B93">
      <w:pPr>
        <w:ind w:left="200"/>
        <w:jc w:val="both"/>
      </w:pPr>
      <w:r>
        <w:t>Размер уставного (складочного) капитала (паевого фонда) эмитента на дату окончания последнего отчетного квартала, руб.:</w:t>
      </w:r>
      <w:r>
        <w:rPr>
          <w:rStyle w:val="Subst"/>
          <w:bCs/>
          <w:iCs/>
        </w:rPr>
        <w:t xml:space="preserve"> 250 804 136.65</w:t>
      </w:r>
    </w:p>
    <w:p w:rsidR="00AA7EE0" w:rsidRDefault="00AA7EE0" w:rsidP="00BB4B93">
      <w:pPr>
        <w:pStyle w:val="SubHeading"/>
        <w:ind w:left="200"/>
        <w:jc w:val="both"/>
      </w:pPr>
      <w:r>
        <w:t>Обыкновенные акции</w:t>
      </w:r>
    </w:p>
    <w:p w:rsidR="00AA7EE0" w:rsidRDefault="00AA7EE0" w:rsidP="00BB4B93">
      <w:pPr>
        <w:ind w:left="400"/>
        <w:jc w:val="both"/>
      </w:pPr>
      <w:r>
        <w:t>Общая номинальная стоимость:</w:t>
      </w:r>
      <w:r>
        <w:rPr>
          <w:rStyle w:val="Subst"/>
          <w:bCs/>
          <w:iCs/>
        </w:rPr>
        <w:t xml:space="preserve"> 250 804 136.65</w:t>
      </w:r>
    </w:p>
    <w:p w:rsidR="00AA7EE0" w:rsidRDefault="00AA7EE0" w:rsidP="00BB4B93">
      <w:pPr>
        <w:ind w:left="400"/>
        <w:jc w:val="both"/>
      </w:pPr>
      <w:r>
        <w:t>Размер доли в УК, %:</w:t>
      </w:r>
      <w:r>
        <w:rPr>
          <w:rStyle w:val="Subst"/>
          <w:bCs/>
          <w:iCs/>
        </w:rPr>
        <w:t xml:space="preserve"> 100</w:t>
      </w:r>
    </w:p>
    <w:p w:rsidR="00AA7EE0" w:rsidRDefault="00AA7EE0" w:rsidP="00BB4B93">
      <w:pPr>
        <w:pStyle w:val="SubHeading"/>
        <w:ind w:left="200"/>
        <w:jc w:val="both"/>
      </w:pPr>
      <w:r>
        <w:t>Привилегированные</w:t>
      </w:r>
    </w:p>
    <w:p w:rsidR="00AA7EE0" w:rsidRDefault="00AA7EE0" w:rsidP="00BB4B93">
      <w:pPr>
        <w:ind w:left="400"/>
        <w:jc w:val="both"/>
      </w:pPr>
      <w:r>
        <w:t>Общая номинальная стоимость:</w:t>
      </w:r>
      <w:r>
        <w:rPr>
          <w:rStyle w:val="Subst"/>
          <w:bCs/>
          <w:iCs/>
        </w:rPr>
        <w:t xml:space="preserve"> 0</w:t>
      </w:r>
    </w:p>
    <w:p w:rsidR="00AA7EE0" w:rsidRDefault="00AA7EE0" w:rsidP="00BB4B93">
      <w:pPr>
        <w:ind w:left="400"/>
        <w:jc w:val="both"/>
      </w:pPr>
      <w:r>
        <w:t>Размер доли в УК, %:</w:t>
      </w:r>
      <w:r>
        <w:rPr>
          <w:rStyle w:val="Subst"/>
          <w:bCs/>
          <w:iCs/>
        </w:rPr>
        <w:t xml:space="preserve"> 0</w:t>
      </w:r>
    </w:p>
    <w:p w:rsidR="00AA7EE0" w:rsidRDefault="00AA7EE0" w:rsidP="00BB4B93">
      <w:pPr>
        <w:ind w:left="200"/>
        <w:jc w:val="both"/>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Размер уставного капитала, приведенный в настоящем пункте, не соответствует учредительным документам эмитента.</w:t>
      </w:r>
    </w:p>
    <w:p w:rsidR="00AA7EE0" w:rsidRDefault="00AA7EE0" w:rsidP="00BB4B93">
      <w:pPr>
        <w:pStyle w:val="2"/>
        <w:jc w:val="both"/>
      </w:pPr>
      <w:bookmarkStart w:id="85" w:name="_Toc324431797"/>
      <w:r>
        <w:t>8.1.2. Сведения об изменении размера уставного (складочного) капитала (паевого фонда) эмитента</w:t>
      </w:r>
      <w:bookmarkEnd w:id="85"/>
    </w:p>
    <w:p w:rsidR="00AA7EE0" w:rsidRDefault="00AA7EE0" w:rsidP="00BB4B93">
      <w:pPr>
        <w:ind w:left="200"/>
        <w:jc w:val="both"/>
      </w:pPr>
      <w:r>
        <w:t>В случае если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(складочного) капитала (паевого фонда) эмитента, по каждому факту произошедших изменений указывается:</w:t>
      </w:r>
    </w:p>
    <w:p w:rsidR="00332C75" w:rsidRDefault="00332C75" w:rsidP="00BB4B93">
      <w:pPr>
        <w:ind w:left="200"/>
        <w:jc w:val="both"/>
      </w:pPr>
    </w:p>
    <w:p w:rsidR="00AA7EE0" w:rsidRDefault="00AA7EE0" w:rsidP="00BB4B93">
      <w:pPr>
        <w:ind w:left="200"/>
        <w:jc w:val="both"/>
      </w:pPr>
      <w:r>
        <w:t>Размер УК до внесения изменений (руб.):</w:t>
      </w:r>
      <w:r>
        <w:rPr>
          <w:rStyle w:val="Subst"/>
          <w:bCs/>
          <w:iCs/>
        </w:rPr>
        <w:t xml:space="preserve"> 249 970 733.5</w:t>
      </w:r>
    </w:p>
    <w:p w:rsidR="00AA7EE0" w:rsidRDefault="00AA7EE0" w:rsidP="00BB4B93">
      <w:pPr>
        <w:pStyle w:val="SubHeading"/>
        <w:ind w:left="200"/>
        <w:jc w:val="both"/>
      </w:pPr>
      <w:r>
        <w:t>Структура УК до внесения изменений</w:t>
      </w:r>
    </w:p>
    <w:p w:rsidR="00AA7EE0" w:rsidRDefault="00AA7EE0" w:rsidP="00BB4B93">
      <w:pPr>
        <w:pStyle w:val="SubHeading"/>
        <w:ind w:left="400"/>
        <w:jc w:val="both"/>
      </w:pPr>
      <w:r>
        <w:lastRenderedPageBreak/>
        <w:t>Обыкновенные акции</w:t>
      </w:r>
    </w:p>
    <w:p w:rsidR="00AA7EE0" w:rsidRDefault="00AA7EE0" w:rsidP="00BB4B93">
      <w:pPr>
        <w:ind w:left="600"/>
        <w:jc w:val="both"/>
      </w:pPr>
      <w:r>
        <w:t>Общая номинальная стоимость:</w:t>
      </w:r>
      <w:r>
        <w:rPr>
          <w:rStyle w:val="Subst"/>
          <w:bCs/>
          <w:iCs/>
        </w:rPr>
        <w:t xml:space="preserve"> 249 970 733.5</w:t>
      </w:r>
    </w:p>
    <w:p w:rsidR="00AA7EE0" w:rsidRDefault="00AA7EE0" w:rsidP="00BB4B93">
      <w:pPr>
        <w:ind w:left="600"/>
        <w:jc w:val="both"/>
      </w:pPr>
      <w:r>
        <w:t>Размер доли в УК, %:</w:t>
      </w:r>
      <w:r>
        <w:rPr>
          <w:rStyle w:val="Subst"/>
          <w:bCs/>
          <w:iCs/>
        </w:rPr>
        <w:t xml:space="preserve"> 100</w:t>
      </w:r>
    </w:p>
    <w:p w:rsidR="00AA7EE0" w:rsidRDefault="00AA7EE0" w:rsidP="00BB4B93">
      <w:pPr>
        <w:pStyle w:val="SubHeading"/>
        <w:ind w:left="400"/>
        <w:jc w:val="both"/>
      </w:pPr>
      <w:r>
        <w:t>Привилегированные</w:t>
      </w:r>
    </w:p>
    <w:p w:rsidR="00AA7EE0" w:rsidRDefault="00AA7EE0" w:rsidP="00BB4B93">
      <w:pPr>
        <w:ind w:left="600"/>
        <w:jc w:val="both"/>
      </w:pPr>
      <w:r>
        <w:t>Общая номинальная стоимость:</w:t>
      </w:r>
      <w:r>
        <w:rPr>
          <w:rStyle w:val="Subst"/>
          <w:bCs/>
          <w:iCs/>
        </w:rPr>
        <w:t xml:space="preserve"> 0</w:t>
      </w:r>
    </w:p>
    <w:p w:rsidR="00AA7EE0" w:rsidRDefault="00AA7EE0" w:rsidP="00BB4B93">
      <w:pPr>
        <w:ind w:left="600"/>
        <w:jc w:val="both"/>
      </w:pPr>
      <w:r>
        <w:t>Размер доли в УК, %:</w:t>
      </w:r>
      <w:r>
        <w:rPr>
          <w:rStyle w:val="Subst"/>
          <w:bCs/>
          <w:iCs/>
        </w:rPr>
        <w:t xml:space="preserve"> 0</w:t>
      </w:r>
    </w:p>
    <w:p w:rsidR="00AA7EE0" w:rsidRDefault="00AA7EE0" w:rsidP="00BB4B93">
      <w:pPr>
        <w:pStyle w:val="ThinDelim"/>
        <w:jc w:val="both"/>
      </w:pPr>
    </w:p>
    <w:p w:rsidR="00332C75" w:rsidRDefault="00332C75" w:rsidP="00332C75">
      <w:pPr>
        <w:ind w:left="200"/>
        <w:jc w:val="both"/>
      </w:pPr>
      <w:r>
        <w:t>Наименование органа управления эмитента, принявшего решение об изменении размера уставного (складочного) капитала (паевого фонда) эмитента:</w:t>
      </w:r>
      <w:r>
        <w:rPr>
          <w:rStyle w:val="Subst"/>
          <w:bCs/>
          <w:iCs/>
        </w:rPr>
        <w:t xml:space="preserve"> годовое общее собрание акционеров Открытого акционерного  общества «РН-Влакра»</w:t>
      </w:r>
    </w:p>
    <w:p w:rsidR="00332C75" w:rsidRDefault="00332C75" w:rsidP="00332C75">
      <w:pPr>
        <w:ind w:left="200"/>
        <w:jc w:val="both"/>
      </w:pPr>
      <w:r>
        <w:t>Дата составления протокола собрания (заседания) органа управления эмитента, на котором принято решение об изменении размера уставного (складочного) капитала (паевого фонда) эмитента:</w:t>
      </w:r>
      <w:r>
        <w:rPr>
          <w:rStyle w:val="Subst"/>
          <w:bCs/>
          <w:iCs/>
        </w:rPr>
        <w:t xml:space="preserve"> 15.06.2010</w:t>
      </w:r>
    </w:p>
    <w:p w:rsidR="00332C75" w:rsidRDefault="00332C75" w:rsidP="00332C75">
      <w:pPr>
        <w:ind w:left="200"/>
        <w:jc w:val="both"/>
      </w:pPr>
      <w:r>
        <w:t>Номер протокола:</w:t>
      </w:r>
      <w:r>
        <w:rPr>
          <w:rStyle w:val="Subst"/>
          <w:bCs/>
          <w:iCs/>
        </w:rPr>
        <w:t xml:space="preserve"> 3</w:t>
      </w:r>
    </w:p>
    <w:p w:rsidR="00332C75" w:rsidRDefault="00332C75" w:rsidP="00332C75">
      <w:pPr>
        <w:ind w:left="200"/>
        <w:jc w:val="both"/>
      </w:pPr>
      <w:r>
        <w:t>Дата изменения размера УК:</w:t>
      </w:r>
      <w:r>
        <w:rPr>
          <w:rStyle w:val="Subst"/>
          <w:bCs/>
          <w:iCs/>
        </w:rPr>
        <w:t xml:space="preserve"> 29.04.2011</w:t>
      </w:r>
    </w:p>
    <w:p w:rsidR="00332C75" w:rsidRDefault="00332C75" w:rsidP="00BB4B93">
      <w:pPr>
        <w:ind w:left="200"/>
        <w:jc w:val="both"/>
      </w:pPr>
    </w:p>
    <w:p w:rsidR="00AA7EE0" w:rsidRDefault="00AA7EE0" w:rsidP="00BB4B93">
      <w:pPr>
        <w:ind w:left="200"/>
        <w:jc w:val="both"/>
      </w:pPr>
      <w:r>
        <w:t>Размер УК после внесения изменений (руб.):</w:t>
      </w:r>
      <w:r>
        <w:rPr>
          <w:rStyle w:val="Subst"/>
          <w:bCs/>
          <w:iCs/>
        </w:rPr>
        <w:t xml:space="preserve"> 250 804 136.65</w:t>
      </w:r>
    </w:p>
    <w:p w:rsidR="00AA7EE0" w:rsidRDefault="00AA7EE0" w:rsidP="00BB4B93">
      <w:pPr>
        <w:pStyle w:val="SubHeading"/>
        <w:ind w:left="200"/>
        <w:jc w:val="both"/>
      </w:pPr>
      <w:r>
        <w:t>Структура УК после внесения изменений</w:t>
      </w:r>
    </w:p>
    <w:p w:rsidR="00AA7EE0" w:rsidRDefault="00AA7EE0" w:rsidP="00BB4B93">
      <w:pPr>
        <w:pStyle w:val="SubHeading"/>
        <w:ind w:left="400"/>
        <w:jc w:val="both"/>
      </w:pPr>
      <w:r>
        <w:t>Обыкновенные акции</w:t>
      </w:r>
    </w:p>
    <w:p w:rsidR="00AA7EE0" w:rsidRDefault="00AA7EE0" w:rsidP="00BB4B93">
      <w:pPr>
        <w:ind w:left="600"/>
        <w:jc w:val="both"/>
      </w:pPr>
      <w:r>
        <w:t>Общая номинальная стоимость:</w:t>
      </w:r>
      <w:r>
        <w:rPr>
          <w:rStyle w:val="Subst"/>
          <w:bCs/>
          <w:iCs/>
        </w:rPr>
        <w:t xml:space="preserve"> 250 804 136.65</w:t>
      </w:r>
    </w:p>
    <w:p w:rsidR="00AA7EE0" w:rsidRDefault="00AA7EE0" w:rsidP="00BB4B93">
      <w:pPr>
        <w:ind w:left="600"/>
        <w:jc w:val="both"/>
      </w:pPr>
      <w:r>
        <w:t>Размер доли в УК, %:</w:t>
      </w:r>
      <w:r>
        <w:rPr>
          <w:rStyle w:val="Subst"/>
          <w:bCs/>
          <w:iCs/>
        </w:rPr>
        <w:t xml:space="preserve"> 100</w:t>
      </w:r>
    </w:p>
    <w:p w:rsidR="00AA7EE0" w:rsidRDefault="00AA7EE0" w:rsidP="00BB4B93">
      <w:pPr>
        <w:pStyle w:val="SubHeading"/>
        <w:ind w:left="400"/>
        <w:jc w:val="both"/>
      </w:pPr>
      <w:r>
        <w:t>Привилегированные</w:t>
      </w:r>
    </w:p>
    <w:p w:rsidR="00AA7EE0" w:rsidRDefault="00AA7EE0" w:rsidP="00BB4B93">
      <w:pPr>
        <w:ind w:left="600"/>
        <w:jc w:val="both"/>
      </w:pPr>
      <w:r>
        <w:t>Общая номинальная стоимость:</w:t>
      </w:r>
      <w:r>
        <w:rPr>
          <w:rStyle w:val="Subst"/>
          <w:bCs/>
          <w:iCs/>
        </w:rPr>
        <w:t xml:space="preserve"> 0</w:t>
      </w:r>
    </w:p>
    <w:p w:rsidR="00AA7EE0" w:rsidRDefault="00AA7EE0" w:rsidP="00332C75">
      <w:pPr>
        <w:ind w:left="600"/>
        <w:jc w:val="both"/>
      </w:pPr>
      <w:r>
        <w:t>Размер доли в УК, %:</w:t>
      </w:r>
      <w:r>
        <w:rPr>
          <w:rStyle w:val="Subst"/>
          <w:bCs/>
          <w:iCs/>
        </w:rPr>
        <w:t xml:space="preserve"> 0</w:t>
      </w:r>
    </w:p>
    <w:p w:rsidR="00AA7EE0" w:rsidRDefault="00AA7EE0" w:rsidP="00BB4B93">
      <w:pPr>
        <w:pStyle w:val="2"/>
        <w:jc w:val="both"/>
      </w:pPr>
      <w:bookmarkStart w:id="86" w:name="_Toc324431798"/>
      <w:r>
        <w:t>8.1.3. Сведения о порядке созыва и проведения собрания (заседания) высшего органа управления эмитента</w:t>
      </w:r>
      <w:bookmarkEnd w:id="86"/>
    </w:p>
    <w:p w:rsidR="00AA7EE0" w:rsidRDefault="00AA7EE0" w:rsidP="00BB4B93">
      <w:pPr>
        <w:ind w:left="200"/>
        <w:jc w:val="both"/>
      </w:pPr>
      <w:r>
        <w:t>Наименование высшего органа управления эмитента:</w:t>
      </w:r>
      <w:r>
        <w:rPr>
          <w:rStyle w:val="Subst"/>
          <w:bCs/>
          <w:iCs/>
        </w:rPr>
        <w:t xml:space="preserve"> Общее собрание акционеров</w:t>
      </w:r>
    </w:p>
    <w:p w:rsidR="00AA7EE0" w:rsidRDefault="00AA7EE0" w:rsidP="00BB4B93">
      <w:pPr>
        <w:ind w:left="200"/>
        <w:jc w:val="both"/>
      </w:pPr>
      <w:r>
        <w:t>Порядок уведомления акционеров (участников) о проведении собрания (заседания) высшего органа управления эмитента:</w:t>
      </w:r>
      <w:r>
        <w:br/>
      </w:r>
      <w:r>
        <w:rPr>
          <w:rStyle w:val="Subst"/>
          <w:bCs/>
          <w:iCs/>
        </w:rPr>
        <w:t>В соответствии со ст. 26 Устава Эмитента сообщение о проведении Общего собрания должно быть сделано не позднее чем за 20 дней, а сообщение о проведении Общего собрания, повестка дня которого содержит вопрос о реорганизации общества, - не позднее чем за 30 дней до даты его проведения.</w:t>
      </w:r>
      <w:r>
        <w:rPr>
          <w:rStyle w:val="Subst"/>
          <w:bCs/>
          <w:iCs/>
        </w:rPr>
        <w:br/>
        <w:t>В случае, предусмотренном пунктом 2 статьи 27 Устава, а также в случаях, если предлагаемая повестка дня Общего собрания содержит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внеочередного Общего собрания должно быть сделано не позднее чем за 70 дней до дня его проведения.</w:t>
      </w:r>
      <w:r>
        <w:rPr>
          <w:rStyle w:val="Subst"/>
          <w:bCs/>
          <w:iCs/>
        </w:rPr>
        <w:br/>
        <w:t>В указанные сроки сообщение о проведении Общего собрания должно быть направлено заказным письмом или вручено под роспись каждому лицу, указанному в списке лиц, имеющих право на участие в Общем собрании.</w:t>
      </w:r>
      <w:r>
        <w:rPr>
          <w:rStyle w:val="Subst"/>
          <w:bCs/>
          <w:iCs/>
        </w:rPr>
        <w:br/>
        <w:t>В сообщении о проведении Общего собрания должны быть указаны:</w:t>
      </w:r>
      <w:r>
        <w:rPr>
          <w:rStyle w:val="Subst"/>
          <w:bCs/>
          <w:iCs/>
        </w:rPr>
        <w:br/>
      </w:r>
      <w:r>
        <w:rPr>
          <w:rStyle w:val="Subst"/>
          <w:bCs/>
          <w:iCs/>
        </w:rPr>
        <w:tab/>
        <w:t>полное фирменное наименование общества и место нахождения общества;</w:t>
      </w:r>
      <w:r>
        <w:rPr>
          <w:rStyle w:val="Subst"/>
          <w:bCs/>
          <w:iCs/>
        </w:rPr>
        <w:br/>
      </w:r>
      <w:r>
        <w:rPr>
          <w:rStyle w:val="Subst"/>
          <w:bCs/>
          <w:iCs/>
        </w:rPr>
        <w:tab/>
        <w:t>форма проведения Общего собрания (собрание или заочное голосование);</w:t>
      </w:r>
      <w:r>
        <w:rPr>
          <w:rStyle w:val="Subst"/>
          <w:bCs/>
          <w:iCs/>
        </w:rPr>
        <w:br/>
      </w:r>
      <w:r>
        <w:rPr>
          <w:rStyle w:val="Subst"/>
          <w:bCs/>
          <w:iCs/>
        </w:rPr>
        <w:tab/>
        <w:t>дата, место, время проведения Общего собрания;</w:t>
      </w:r>
      <w:r>
        <w:rPr>
          <w:rStyle w:val="Subst"/>
          <w:bCs/>
          <w:iCs/>
        </w:rPr>
        <w:br/>
      </w:r>
      <w:r>
        <w:rPr>
          <w:rStyle w:val="Subst"/>
          <w:bCs/>
          <w:iCs/>
        </w:rPr>
        <w:tab/>
        <w:t>в случае, когда в соответствии с пунктом 5 статьи 33 настоящего Устава заполненные бюллетени могут быть направлены обществу - почтовый адрес, по которому могут направляться заполненные бюллетени;</w:t>
      </w:r>
      <w:r>
        <w:rPr>
          <w:rStyle w:val="Subst"/>
          <w:bCs/>
          <w:iCs/>
        </w:rPr>
        <w:br/>
      </w:r>
      <w:r>
        <w:rPr>
          <w:rStyle w:val="Subst"/>
          <w:bCs/>
          <w:iCs/>
        </w:rPr>
        <w:tab/>
        <w:t>в случае проведения Общего собрания в форме заочного голосования - дата окончания приема бюллетеней для голосования и почтовый адрес, по которому должны направляться заполненные бюллетени;</w:t>
      </w:r>
      <w:r>
        <w:rPr>
          <w:rStyle w:val="Subst"/>
          <w:bCs/>
          <w:iCs/>
        </w:rPr>
        <w:br/>
      </w:r>
      <w:r>
        <w:rPr>
          <w:rStyle w:val="Subst"/>
          <w:bCs/>
          <w:iCs/>
        </w:rPr>
        <w:tab/>
        <w:t>дата составления списка лиц, имеющих право на участие в Общем собрании;</w:t>
      </w:r>
      <w:r>
        <w:rPr>
          <w:rStyle w:val="Subst"/>
          <w:bCs/>
          <w:iCs/>
        </w:rPr>
        <w:br/>
      </w:r>
      <w:r>
        <w:rPr>
          <w:rStyle w:val="Subst"/>
          <w:bCs/>
          <w:iCs/>
        </w:rPr>
        <w:tab/>
        <w:t>повестка дня Общего собрания;</w:t>
      </w:r>
      <w:r>
        <w:rPr>
          <w:rStyle w:val="Subst"/>
          <w:bCs/>
          <w:iCs/>
        </w:rPr>
        <w:br/>
      </w:r>
      <w:r>
        <w:rPr>
          <w:rStyle w:val="Subst"/>
          <w:bCs/>
          <w:iCs/>
        </w:rPr>
        <w:tab/>
        <w:t>порядок ознакомления с информацией (материалами), подлежащей предоставлению при подготовке к проведению Общему собрания, и адрес, по которому с ней можно ознакомиться.</w:t>
      </w:r>
      <w:r>
        <w:rPr>
          <w:rStyle w:val="Subst"/>
          <w:bCs/>
          <w:iCs/>
        </w:rPr>
        <w:br/>
      </w:r>
      <w:r>
        <w:rPr>
          <w:rStyle w:val="Subst"/>
          <w:bCs/>
          <w:iCs/>
        </w:rPr>
        <w:lastRenderedPageBreak/>
        <w:t>В случае, если зарегистрированным в реестре акционеров общества лицом является номинальный держатель акций, сообщение о проведении Общего собрания направляется по адресу номинального держателя акций, если в списке лиц, имеющих право на участие в Общем собрании, не указан иной почтовый адрес, по которому должно направляться сообщение о проведении Общего собрания.</w:t>
      </w:r>
      <w:r>
        <w:rPr>
          <w:rStyle w:val="Subst"/>
          <w:bCs/>
          <w:iCs/>
        </w:rPr>
        <w:br/>
        <w:t>В случае, если сообщение о проведении Общего собрания направлено номинальному держателю акций, он обязан довести его до сведения своих клиентов в порядке и сроки, которые установлены правовыми актами Российской Федерации или договором с кли</w:t>
      </w:r>
      <w:r w:rsidR="00332C75">
        <w:rPr>
          <w:rStyle w:val="Subst"/>
          <w:bCs/>
          <w:iCs/>
        </w:rPr>
        <w:t>ентом</w:t>
      </w:r>
      <w:r>
        <w:rPr>
          <w:rStyle w:val="Subst"/>
          <w:bCs/>
          <w:iCs/>
        </w:rPr>
        <w:br/>
      </w:r>
    </w:p>
    <w:p w:rsidR="00AA7EE0" w:rsidRDefault="00AA7EE0" w:rsidP="00BB4B93">
      <w:pPr>
        <w:ind w:left="200"/>
        <w:jc w:val="both"/>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В соответствии со ст. 28 Устава Эмитента внеочередное Общее собрание проводится по решению Совета директоров общества на основании его собственной инициативы, требования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 (далее по тексту Устава - «по требованию»).</w:t>
      </w:r>
      <w:r>
        <w:rPr>
          <w:rStyle w:val="Subst"/>
          <w:bCs/>
          <w:iCs/>
        </w:rPr>
        <w:br/>
        <w:t>Созыв внеочередного Общего собрания по требованию осуществляется Советом директоров общества.</w:t>
      </w:r>
      <w:r>
        <w:rPr>
          <w:rStyle w:val="Subst"/>
          <w:bCs/>
          <w:iCs/>
        </w:rPr>
        <w:br/>
        <w:t>Внеочередное Общее собрание должно быть проведено в течение 40 дней с момента</w:t>
      </w:r>
      <w:r>
        <w:rPr>
          <w:rStyle w:val="Subst"/>
          <w:bCs/>
          <w:iCs/>
        </w:rPr>
        <w:br/>
        <w:t>представления требования о проведении Общего собрания.</w:t>
      </w:r>
      <w:r>
        <w:rPr>
          <w:rStyle w:val="Subst"/>
          <w:bCs/>
          <w:iCs/>
        </w:rPr>
        <w:br/>
        <w:t>Если предлагаемая повестка дня внеочередного Общего собрания содержит вопрос об избрании членов Совета директоров общества, то такое Общее собрание должно быть проведено в течение 90 дней с момента представления требования о проведении Общего собрания.</w:t>
      </w:r>
      <w:r>
        <w:rPr>
          <w:rStyle w:val="Subst"/>
          <w:bCs/>
          <w:iCs/>
        </w:rPr>
        <w:br/>
        <w:t>В случаях, когда в соответствии с Федеральным законом «Об акционерных обществах» и статьей 38 настоящего Устава Совет директоров общества обязан принять решение о проведении внеочередного Общего собрания для избрания членов Совета директоров, такое Общее собрание должно быть проведено в течение 90 дней с момента принятия решения о его проведении Советом директоров общества.</w:t>
      </w:r>
      <w:r>
        <w:rPr>
          <w:rStyle w:val="Subst"/>
          <w:bCs/>
          <w:iCs/>
        </w:rPr>
        <w:br/>
        <w:t>В требовании о проведении внеочередного Общего собрания должны быть сформулированы вопросы, подлежащие внесению в повестку дня Общего собрания.</w:t>
      </w:r>
      <w:r>
        <w:rPr>
          <w:rStyle w:val="Subst"/>
          <w:bCs/>
          <w:iCs/>
        </w:rPr>
        <w:br/>
        <w:t>В требовании о проведении внеочередного Общего собрания могут содержаться формулировки решений по каждому из этих вопросов, а также предложение о форме проведения Общего собрания.</w:t>
      </w:r>
      <w:r>
        <w:rPr>
          <w:rStyle w:val="Subst"/>
          <w:bCs/>
          <w:iCs/>
        </w:rPr>
        <w:br/>
        <w:t>В случае, если требование о созыве внеочередного Общего собрания содержит предложение о выдвижении кандидатов, на такое предложение распространяются соответствующие положения статьи 26 настоящего Устава.</w:t>
      </w:r>
      <w:r>
        <w:rPr>
          <w:rStyle w:val="Subst"/>
          <w:bCs/>
          <w:iCs/>
        </w:rPr>
        <w:br/>
        <w:t>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созываемого по требованию.</w:t>
      </w:r>
      <w:r>
        <w:rPr>
          <w:rStyle w:val="Subst"/>
          <w:bCs/>
          <w:iCs/>
        </w:rPr>
        <w:br/>
        <w:t>В случае, если требование о созыве внеочередного Общего собрания исходит от акционеров</w:t>
      </w:r>
      <w:r>
        <w:rPr>
          <w:rStyle w:val="Subst"/>
          <w:bCs/>
          <w:iCs/>
        </w:rPr>
        <w:br/>
        <w:t>(акционера), оно должно содержать имена (наименования) акционеров (акционера), требующих созыва такого Общего собрания, и указание количества, категории (типа) принадлежащих им акций.</w:t>
      </w:r>
      <w:r>
        <w:rPr>
          <w:rStyle w:val="Subst"/>
          <w:bCs/>
          <w:iCs/>
        </w:rPr>
        <w:br/>
        <w:t>Требование о созыве внеочередного Общего собрания подписывается лицами (лицом), требующими созыва внеочередного Общего собрания.</w:t>
      </w:r>
      <w:r>
        <w:rPr>
          <w:rStyle w:val="Subst"/>
          <w:bCs/>
          <w:iCs/>
        </w:rPr>
        <w:br/>
        <w:t>В течение 5-ти дней с даты предъявления требования ревизора общества, аудитора общества или акционеров (акционера), являющихся владельцами не менее чем 10 процентов голосующих акций общества, о созыве внеочередного Общего собрания Советом директоров общества должно быть принято решение о созыве внеочередного Общего собрания либо об отказе в его созыве.</w:t>
      </w:r>
      <w:r>
        <w:rPr>
          <w:rStyle w:val="Subst"/>
          <w:bCs/>
          <w:iCs/>
        </w:rPr>
        <w:br/>
        <w:t>Решение об отказе в созыве внеочередного Общего собрания по требованию ревизора, аудитора общества или акционеров (акционера), являющихся владельцами не менее чем 10 процентов голосующих акций общества, может быть принято в случае, если:</w:t>
      </w:r>
      <w:r>
        <w:rPr>
          <w:rStyle w:val="Subst"/>
          <w:bCs/>
          <w:iCs/>
        </w:rPr>
        <w:br/>
      </w:r>
      <w:r>
        <w:rPr>
          <w:rStyle w:val="Subst"/>
          <w:bCs/>
          <w:iCs/>
        </w:rPr>
        <w:tab/>
        <w:t>не соблюден установленный настоящей статьей порядок предъявления требования о созыве внеочередного Общего собрания;</w:t>
      </w:r>
      <w:r>
        <w:rPr>
          <w:rStyle w:val="Subst"/>
          <w:bCs/>
          <w:iCs/>
        </w:rPr>
        <w:br/>
      </w:r>
      <w:r>
        <w:rPr>
          <w:rStyle w:val="Subst"/>
          <w:bCs/>
          <w:iCs/>
        </w:rPr>
        <w:tab/>
        <w:t>акционеры (акционер), требующие созыва Общего внеочередного собрания, не являются владельцами предусмотренного пунктом 1 настоящей статьи количества голосующих акций общества;</w:t>
      </w:r>
      <w:r>
        <w:rPr>
          <w:rStyle w:val="Subst"/>
          <w:bCs/>
          <w:iCs/>
        </w:rPr>
        <w:br/>
      </w:r>
      <w:r>
        <w:rPr>
          <w:rStyle w:val="Subst"/>
          <w:bCs/>
          <w:iCs/>
        </w:rPr>
        <w:tab/>
        <w:t>ни один из вопросов, предложенных для внесения в повестку дня внеочередного Общего собрания,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bCs/>
          <w:iCs/>
        </w:rPr>
        <w:br/>
        <w:t>Решение Совета директоров общества о созыве внеочередного Общего собрания или</w:t>
      </w:r>
      <w:r>
        <w:rPr>
          <w:rStyle w:val="Subst"/>
          <w:bCs/>
          <w:iCs/>
        </w:rPr>
        <w:br/>
        <w:t>мотивированное решение об отказе в его созыве направляется лицам, требующим его созыва, не позднее трех дней с момента принятия такого решения.</w:t>
      </w:r>
      <w:r>
        <w:rPr>
          <w:rStyle w:val="Subst"/>
          <w:bCs/>
          <w:iCs/>
        </w:rPr>
        <w:br/>
        <w:t>Решение Совета директоров общества об отказе в созыве внеочередного Общего собрания может быть обжаловано в суд.</w:t>
      </w:r>
      <w:r>
        <w:rPr>
          <w:rStyle w:val="Subst"/>
          <w:bCs/>
          <w:iCs/>
        </w:rPr>
        <w:br/>
        <w:t xml:space="preserve">В случае, если в течение 5-ти дней с даты предъявления требования о созыве внеочередного Общего собрания Советом директоров общества не принято решение о созыве Общего собрания или принято </w:t>
      </w:r>
      <w:r>
        <w:rPr>
          <w:rStyle w:val="Subst"/>
          <w:bCs/>
          <w:iCs/>
        </w:rPr>
        <w:lastRenderedPageBreak/>
        <w:t>решение об отказе в его созыве, внеочередное Общее собрание может быть созвано органами и лицами, требующими его созыва. При этом органы и лица, созывающие внеочередное Общее собрание, обладают предусмотренными Федеральным законом «Об акционерных обществах» полномочиями, необходимыми для созыва и проведения Общего собрания. В этом случае расходы на подготовку и проведение Общего собрания могут быть возмещены по решению Общего собрания за счет средств общества.</w:t>
      </w:r>
      <w:r>
        <w:rPr>
          <w:rStyle w:val="Subst"/>
          <w:bCs/>
          <w:iCs/>
        </w:rPr>
        <w:br/>
      </w:r>
    </w:p>
    <w:p w:rsidR="00AA7EE0" w:rsidRDefault="00AA7EE0" w:rsidP="00BB4B93">
      <w:pPr>
        <w:ind w:left="200"/>
        <w:jc w:val="both"/>
      </w:pPr>
      <w:r>
        <w:t>Порядок определения даты проведения собрания (заседания) высшего органа управления эмитента:</w:t>
      </w:r>
      <w:r>
        <w:br/>
      </w:r>
      <w:r>
        <w:rPr>
          <w:rStyle w:val="Subst"/>
          <w:bCs/>
          <w:iCs/>
        </w:rPr>
        <w:t>Дата проведения годового общего собрания акционеров назначается Советом директоров и годовое Общее собрание проводится не ранее чем через два месяца и не позднее чем через шесть месяцев после окончания финансового года.</w:t>
      </w:r>
      <w:r>
        <w:rPr>
          <w:rStyle w:val="Subst"/>
          <w:bCs/>
          <w:iCs/>
        </w:rPr>
        <w:br/>
        <w:t>В течение 5-ти дней с даты предъявления требования ревизора общества, аудитора общества или акционеров (акционера), являющихся владельцами не менее чем 10 процентов голосующих акций общества, о созыве внеочередного Общего собрания Советом директоров общества должно быть принято решение о созыве внеочередного Общего собрания либо об отказе в его созыве.</w:t>
      </w:r>
      <w:r>
        <w:rPr>
          <w:rStyle w:val="Subst"/>
          <w:bCs/>
          <w:iCs/>
        </w:rPr>
        <w:br/>
      </w:r>
    </w:p>
    <w:p w:rsidR="00AA7EE0" w:rsidRDefault="00AA7EE0" w:rsidP="00BB4B93">
      <w:pPr>
        <w:ind w:left="200"/>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В соответствии со ст. 27 Устава Эмитента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и выдвинуть кандидатов в Совет директоров, число которых не может превышать количественный состав соответствующего органа, а также ревизоры общества. Такие предложения должны поступить в общество не позднее чем через 30 дней после окончания финансового года.</w:t>
      </w:r>
      <w:r>
        <w:rPr>
          <w:rStyle w:val="Subst"/>
          <w:bCs/>
          <w:iCs/>
        </w:rPr>
        <w:br/>
        <w:t>В случае, если предлагаемая повестка дня внеочередного Общего собрания содержит вопрос об избрании членов Совета директоров общества,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w:t>
      </w:r>
      <w:r>
        <w:rPr>
          <w:rStyle w:val="Subst"/>
          <w:bCs/>
          <w:iCs/>
        </w:rPr>
        <w:br/>
        <w:t>Предложение о внесении вопросов в повестку дня Общего собрания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bCs/>
          <w:iCs/>
        </w:rPr>
        <w:br/>
        <w:t>Предложение о внесении вопросов в повестку дня Общего собрания должно содержать</w:t>
      </w:r>
      <w:r>
        <w:rPr>
          <w:rStyle w:val="Subst"/>
          <w:bCs/>
          <w:iCs/>
        </w:rPr>
        <w:br/>
        <w:t>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Предложение о внесении вопросов в повестку дня Общего собрания может содержать формулировку решения по каждому предлагаемому вопросу.</w:t>
      </w:r>
      <w:r>
        <w:rPr>
          <w:rStyle w:val="Subst"/>
          <w:bCs/>
          <w:iCs/>
        </w:rPr>
        <w:br/>
        <w:t>Совет директоров общества обязан рассмотреть поступившие предложения и принять решение о включении их в повестку дня Общего собрания или об отказе во включении в указанную повестку дня не позднее пяти дней после окончания сроков, установленных пунктами 1 и 2 ст. 27 Устава Эмитента.</w:t>
      </w:r>
      <w:r>
        <w:rPr>
          <w:rStyle w:val="Subst"/>
          <w:bCs/>
          <w:iCs/>
        </w:rPr>
        <w:br/>
        <w:t>Вопрос, предложенный акционерами (акционером), подлежит включению в повестку дня Общего собрания, равно как и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bCs/>
          <w:iCs/>
        </w:rPr>
        <w:br/>
      </w:r>
      <w:r>
        <w:rPr>
          <w:rStyle w:val="Subst"/>
          <w:bCs/>
          <w:iCs/>
        </w:rPr>
        <w:tab/>
        <w:t>акционерами (акционером) не соблюдены сроки, установленные пунктами 1 и 2 ст. 27 Устава Эмитента;</w:t>
      </w:r>
      <w:r>
        <w:rPr>
          <w:rStyle w:val="Subst"/>
          <w:bCs/>
          <w:iCs/>
        </w:rPr>
        <w:br/>
      </w:r>
      <w:r>
        <w:rPr>
          <w:rStyle w:val="Subst"/>
          <w:bCs/>
          <w:iCs/>
        </w:rPr>
        <w:tab/>
        <w:t>акционеры (акционер) не являются владельцами предусмотренного пунктами 1 и 2 ст. 27 Устава Эмитента количества голосующих акций;</w:t>
      </w:r>
      <w:r>
        <w:rPr>
          <w:rStyle w:val="Subst"/>
          <w:bCs/>
          <w:iCs/>
        </w:rPr>
        <w:br/>
      </w:r>
      <w:r>
        <w:rPr>
          <w:rStyle w:val="Subst"/>
          <w:bCs/>
          <w:iCs/>
        </w:rPr>
        <w:tab/>
        <w:t>предложение не соответствует требованиям, предусмотренным пунктам 3 и 4 ст. 27 Устава Эмитента;</w:t>
      </w:r>
      <w:r>
        <w:rPr>
          <w:rStyle w:val="Subst"/>
          <w:bCs/>
          <w:iCs/>
        </w:rPr>
        <w:br/>
      </w:r>
      <w:r>
        <w:rPr>
          <w:rStyle w:val="Subst"/>
          <w:bCs/>
          <w:iCs/>
        </w:rPr>
        <w:tab/>
        <w:t>вопрос, предложенный для внесения в повестку дня Общего собрания,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bCs/>
          <w:iCs/>
        </w:rPr>
        <w:br/>
        <w:t>Мотивированное решение Совета директоров об отказе во включении предложенного вопроса в повестку дня Общего собрания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bCs/>
          <w:iCs/>
        </w:rPr>
        <w:br/>
        <w:t>Решение Совета директоров общества об отказе во включении вопроса в повестку дня Общего собрания или кандидата в список кандидатур для голосования по выборам в соответствующий орган общества, а также уклонение Совета директоров общества от принятия решения могут быть обжалованы в суд.</w:t>
      </w:r>
      <w:r>
        <w:rPr>
          <w:rStyle w:val="Subst"/>
          <w:bCs/>
          <w:iCs/>
        </w:rPr>
        <w:br/>
        <w:t>Совет директоров общества не вправе вносить изменения в формулировки вопросов,</w:t>
      </w:r>
      <w:r>
        <w:rPr>
          <w:rStyle w:val="Subst"/>
          <w:bCs/>
          <w:iCs/>
        </w:rPr>
        <w:br/>
        <w:t xml:space="preserve">предложенных для включения в повестку дня Общего собрания, и формулировки решений по таким </w:t>
      </w:r>
      <w:r>
        <w:rPr>
          <w:rStyle w:val="Subst"/>
          <w:bCs/>
          <w:iCs/>
        </w:rPr>
        <w:lastRenderedPageBreak/>
        <w:t>вопросам.</w:t>
      </w:r>
      <w:r>
        <w:rPr>
          <w:rStyle w:val="Subst"/>
          <w:bCs/>
          <w:iCs/>
        </w:rPr>
        <w:br/>
        <w:t>Помимо вопросов, предложенных для включения в повестку дня Общего собрания,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вопросы или кандидатов в список кандидатур по своему усмотрению.</w:t>
      </w:r>
      <w:r>
        <w:rPr>
          <w:rStyle w:val="Subst"/>
          <w:bCs/>
          <w:iCs/>
        </w:rPr>
        <w:br/>
        <w:t>При реорганизации общества в форме слияния, выделения или разделения, выдвижение</w:t>
      </w:r>
      <w:r>
        <w:rPr>
          <w:rStyle w:val="Subst"/>
          <w:bCs/>
          <w:iCs/>
        </w:rPr>
        <w:br/>
        <w:t>кандидатов в совет директоров (наблюдательный совет) создаваемого общества, его коллегиальный исполнительный орган, ревизионную комиссию или кандидата в ревизоры, кандидата на должность единоличного исполнительного органа создаваемого общества, осуществляется в порядке и сроки, определенные Федеральным законом «Об акционерных обществах».</w:t>
      </w:r>
      <w:r>
        <w:rPr>
          <w:rStyle w:val="Subst"/>
          <w:bCs/>
          <w:iCs/>
        </w:rPr>
        <w:br/>
      </w:r>
    </w:p>
    <w:p w:rsidR="00AA7EE0" w:rsidRDefault="00AA7EE0" w:rsidP="00BB4B93">
      <w:pPr>
        <w:ind w:left="200"/>
        <w:jc w:val="both"/>
      </w:pPr>
      <w: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В соответствии со ст. 26 Устава Эмитента к информации (материалам), подлежащей предоставлению лицам, имеющим право на участие в Общем собрании, при подготовке к проведению Общего собрания относятся:</w:t>
      </w:r>
      <w:r>
        <w:rPr>
          <w:rStyle w:val="Subst"/>
          <w:bCs/>
          <w:iCs/>
        </w:rPr>
        <w:br/>
      </w:r>
      <w:r>
        <w:rPr>
          <w:rStyle w:val="Subst"/>
          <w:bCs/>
          <w:iCs/>
        </w:rPr>
        <w:tab/>
        <w:t>годовая бухгалтерская отчетность, в том числе заключение аудитора, заключение ревизора общества по результатам проверки годовой бухгалтерской отчетности;</w:t>
      </w:r>
      <w:r>
        <w:rPr>
          <w:rStyle w:val="Subst"/>
          <w:bCs/>
          <w:iCs/>
        </w:rPr>
        <w:br/>
      </w:r>
      <w:r>
        <w:rPr>
          <w:rStyle w:val="Subst"/>
          <w:bCs/>
          <w:iCs/>
        </w:rPr>
        <w:tab/>
        <w:t>сведения о кандидатах в члены Совета директоров и ревизоре общества;</w:t>
      </w:r>
      <w:r>
        <w:rPr>
          <w:rStyle w:val="Subst"/>
          <w:bCs/>
          <w:iCs/>
        </w:rPr>
        <w:br/>
      </w:r>
      <w:r>
        <w:rPr>
          <w:rStyle w:val="Subst"/>
          <w:bCs/>
          <w:iCs/>
        </w:rPr>
        <w:tab/>
        <w:t>сведения о счетной комиссии;</w:t>
      </w:r>
      <w:r>
        <w:rPr>
          <w:rStyle w:val="Subst"/>
          <w:bCs/>
          <w:iCs/>
        </w:rPr>
        <w:br/>
      </w:r>
      <w:r>
        <w:rPr>
          <w:rStyle w:val="Subst"/>
          <w:bCs/>
          <w:iCs/>
        </w:rPr>
        <w:tab/>
        <w:t>проект изменений и дополнений, вносимых в Устав общества, или проект Устава общества в новой редакции;</w:t>
      </w:r>
      <w:r>
        <w:rPr>
          <w:rStyle w:val="Subst"/>
          <w:bCs/>
          <w:iCs/>
        </w:rPr>
        <w:br/>
      </w:r>
      <w:r>
        <w:rPr>
          <w:rStyle w:val="Subst"/>
          <w:bCs/>
          <w:iCs/>
        </w:rPr>
        <w:tab/>
        <w:t>проекты внутренних документов общества;</w:t>
      </w:r>
      <w:r>
        <w:rPr>
          <w:rStyle w:val="Subst"/>
          <w:bCs/>
          <w:iCs/>
        </w:rPr>
        <w:br/>
      </w:r>
      <w:r>
        <w:rPr>
          <w:rStyle w:val="Subst"/>
          <w:bCs/>
          <w:iCs/>
        </w:rPr>
        <w:tab/>
        <w:t>проекты решений Общего собрания, а также информация (материалы) по иным вопросам повестки дня Общего собрания.</w:t>
      </w:r>
      <w:r>
        <w:rPr>
          <w:rStyle w:val="Subst"/>
          <w:bCs/>
          <w:iCs/>
        </w:rPr>
        <w:br/>
        <w:t>Перечень дополнительной информации (материалов), обязательной для предоставления лицам, имеющим право на участие в Общем собрании, при подготовке к проведению Общего собрания может быть установлен федеральным органом исполнительной власти по рынку ценных бумаг.</w:t>
      </w:r>
      <w:r>
        <w:rPr>
          <w:rStyle w:val="Subst"/>
          <w:bCs/>
          <w:iCs/>
        </w:rPr>
        <w:br/>
        <w:t>Информация (материалы), предусмотренные настоящей статьей, в течение 20 дней, а в случае проведения Общего собрания, повестка дня которого содержит вопрос о реорганизации общества, в течение 30 дней до проведения Общего собрания должна быть доступна лицам, имеющим право на участие в Общем собрании, для ознакомления в помещении исполнительного органа общества и иных местах, адреса которых указаны в сообщении о проведении Общего собрания.</w:t>
      </w:r>
      <w:r>
        <w:rPr>
          <w:rStyle w:val="Subst"/>
          <w:bCs/>
          <w:iCs/>
        </w:rPr>
        <w:br/>
        <w:t>Указанная информация (материалы) должна быть доступна лицам, принимающим участие в Общем собрании, во время его проведения.</w:t>
      </w:r>
      <w:r>
        <w:rPr>
          <w:rStyle w:val="Subst"/>
          <w:bCs/>
          <w:iCs/>
        </w:rPr>
        <w:br/>
        <w:t>Общество обязано по требованию лица, имеющего право на участие в Общем собрании, предоставить ему копии указанных документов. Плата, взимаемая обществом за предоставление данных копий, не может превыш</w:t>
      </w:r>
      <w:r w:rsidR="00226FB4">
        <w:rPr>
          <w:rStyle w:val="Subst"/>
          <w:bCs/>
          <w:iCs/>
        </w:rPr>
        <w:t>ать затраты на их изготовление.</w:t>
      </w:r>
      <w:r>
        <w:rPr>
          <w:rStyle w:val="Subst"/>
          <w:bCs/>
          <w:iCs/>
        </w:rPr>
        <w:br/>
      </w:r>
    </w:p>
    <w:p w:rsidR="00AA7EE0" w:rsidRDefault="00AA7EE0" w:rsidP="00BB4B93">
      <w:pPr>
        <w:ind w:left="200"/>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В соответствии со ст. 33 Устава Эмитента решения, принятые Общим собранием, а также итоги голосования оглашаются на Общем собрании,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в порядке, предусмотренном для сообщения о проведении Общего собрания.</w:t>
      </w:r>
    </w:p>
    <w:p w:rsidR="00AA7EE0" w:rsidRDefault="00AA7EE0" w:rsidP="00BB4B93">
      <w:pPr>
        <w:pStyle w:val="2"/>
        <w:jc w:val="both"/>
      </w:pPr>
      <w:bookmarkStart w:id="87" w:name="_Toc324431799"/>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7"/>
    </w:p>
    <w:p w:rsidR="00AA7EE0" w:rsidRDefault="00AA7EE0" w:rsidP="00BB4B93">
      <w:pPr>
        <w:ind w:left="200"/>
        <w:jc w:val="both"/>
      </w:pPr>
      <w:r>
        <w:rPr>
          <w:rStyle w:val="Subst"/>
          <w:bCs/>
          <w:iCs/>
        </w:rPr>
        <w:t>Указанных организаций нет</w:t>
      </w:r>
      <w:r w:rsidR="00332C75">
        <w:rPr>
          <w:rStyle w:val="Subst"/>
          <w:bCs/>
          <w:iCs/>
        </w:rPr>
        <w:t>.</w:t>
      </w:r>
    </w:p>
    <w:p w:rsidR="00AA7EE0" w:rsidRDefault="00AA7EE0" w:rsidP="00BB4B93">
      <w:pPr>
        <w:pStyle w:val="2"/>
        <w:jc w:val="both"/>
      </w:pPr>
      <w:bookmarkStart w:id="88" w:name="_Toc324431800"/>
      <w:r>
        <w:t>8.1.5. Сведения о существенных сделках, совершенных эмитентом</w:t>
      </w:r>
      <w:bookmarkEnd w:id="88"/>
    </w:p>
    <w:p w:rsidR="00AA7EE0" w:rsidRDefault="00AA7EE0" w:rsidP="00BB4B93">
      <w:pPr>
        <w:pStyle w:val="SubHeading"/>
        <w:ind w:left="200"/>
        <w:jc w:val="both"/>
      </w:pPr>
      <w:r>
        <w:t>За 2011 г.</w:t>
      </w:r>
    </w:p>
    <w:p w:rsidR="00AA7EE0" w:rsidRDefault="00AA7EE0" w:rsidP="00BB4B93">
      <w:pPr>
        <w:ind w:left="400"/>
        <w:jc w:val="both"/>
      </w:pPr>
      <w:r>
        <w:rPr>
          <w:rStyle w:val="Subst"/>
          <w:bCs/>
          <w:iCs/>
        </w:rPr>
        <w:t>Указанные сделки в течение данного периода не совершались</w:t>
      </w:r>
      <w:r w:rsidR="00332C75">
        <w:rPr>
          <w:rStyle w:val="Subst"/>
          <w:bCs/>
          <w:iCs/>
        </w:rPr>
        <w:t>.</w:t>
      </w:r>
    </w:p>
    <w:p w:rsidR="00AA7EE0" w:rsidRDefault="00AA7EE0" w:rsidP="00BB4B93">
      <w:pPr>
        <w:pStyle w:val="SubHeading"/>
        <w:ind w:left="200"/>
        <w:jc w:val="both"/>
      </w:pPr>
      <w:r>
        <w:t>За отчетный квартал</w:t>
      </w:r>
    </w:p>
    <w:p w:rsidR="00AA7EE0" w:rsidRDefault="00AA7EE0" w:rsidP="00BB4B93">
      <w:pPr>
        <w:ind w:left="400"/>
        <w:jc w:val="both"/>
      </w:pPr>
      <w:r>
        <w:rPr>
          <w:rStyle w:val="Subst"/>
          <w:bCs/>
          <w:iCs/>
        </w:rPr>
        <w:t>Указанные сделки в течение данного периода не совершались</w:t>
      </w:r>
      <w:r w:rsidR="00332C75">
        <w:rPr>
          <w:rStyle w:val="Subst"/>
          <w:bCs/>
          <w:iCs/>
        </w:rPr>
        <w:t>.</w:t>
      </w:r>
    </w:p>
    <w:p w:rsidR="00AA7EE0" w:rsidRDefault="00AA7EE0" w:rsidP="00BB4B93">
      <w:pPr>
        <w:pStyle w:val="2"/>
        <w:jc w:val="both"/>
      </w:pPr>
      <w:bookmarkStart w:id="89" w:name="_Toc324431801"/>
      <w:r>
        <w:lastRenderedPageBreak/>
        <w:t>8.1.6. Сведения о кредитных рейтингах эмитента</w:t>
      </w:r>
      <w:bookmarkEnd w:id="89"/>
    </w:p>
    <w:p w:rsidR="00AA7EE0" w:rsidRDefault="00AA7EE0" w:rsidP="00BB4B93">
      <w:pPr>
        <w:ind w:left="200"/>
        <w:jc w:val="both"/>
      </w:pPr>
      <w:r>
        <w:rPr>
          <w:rStyle w:val="Subst"/>
          <w:bCs/>
          <w:iCs/>
        </w:rPr>
        <w:t>Известных эмитенту кредитных рейтингов нет</w:t>
      </w:r>
      <w:r w:rsidR="00332C75">
        <w:rPr>
          <w:rStyle w:val="Subst"/>
          <w:bCs/>
          <w:iCs/>
        </w:rPr>
        <w:t>.</w:t>
      </w:r>
    </w:p>
    <w:p w:rsidR="00AA7EE0" w:rsidRDefault="00AA7EE0" w:rsidP="00BB4B93">
      <w:pPr>
        <w:pStyle w:val="2"/>
        <w:jc w:val="both"/>
      </w:pPr>
      <w:bookmarkStart w:id="90" w:name="_Toc324431802"/>
      <w:r>
        <w:t>8.2. Сведения о каждой категории (типе) акций эмитента</w:t>
      </w:r>
      <w:bookmarkEnd w:id="90"/>
    </w:p>
    <w:p w:rsidR="00AA7EE0" w:rsidRDefault="00AA7EE0" w:rsidP="00BB4B93">
      <w:pPr>
        <w:ind w:left="200"/>
        <w:jc w:val="both"/>
      </w:pPr>
      <w:r>
        <w:t>Категория акций:</w:t>
      </w:r>
      <w:r>
        <w:rPr>
          <w:rStyle w:val="Subst"/>
          <w:bCs/>
          <w:iCs/>
        </w:rPr>
        <w:t xml:space="preserve"> обыкновенные</w:t>
      </w:r>
    </w:p>
    <w:p w:rsidR="00AA7EE0" w:rsidRDefault="00AA7EE0" w:rsidP="00BB4B93">
      <w:pPr>
        <w:ind w:left="200"/>
        <w:jc w:val="both"/>
      </w:pPr>
      <w:r>
        <w:t>Номинальная стоимость каждой акции (руб.):</w:t>
      </w:r>
      <w:r>
        <w:rPr>
          <w:rStyle w:val="Subst"/>
          <w:bCs/>
          <w:iCs/>
        </w:rPr>
        <w:t xml:space="preserve"> 4.31</w:t>
      </w:r>
    </w:p>
    <w:p w:rsidR="00AA7EE0" w:rsidRDefault="00AA7EE0" w:rsidP="00BB4B93">
      <w:pPr>
        <w:pStyle w:val="ThinDelim"/>
        <w:jc w:val="both"/>
      </w:pPr>
    </w:p>
    <w:p w:rsidR="00AA7EE0" w:rsidRDefault="00AA7EE0" w:rsidP="00BB4B93">
      <w:pPr>
        <w:ind w:left="200"/>
        <w:jc w:val="both"/>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58 191 215</w:t>
      </w:r>
    </w:p>
    <w:p w:rsidR="00AA7EE0" w:rsidRDefault="00AA7EE0" w:rsidP="00BB4B93">
      <w:pPr>
        <w:ind w:left="200"/>
        <w:jc w:val="both"/>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AA7EE0" w:rsidRDefault="00AA7EE0" w:rsidP="00BB4B93">
      <w:pPr>
        <w:ind w:left="200"/>
        <w:jc w:val="both"/>
      </w:pPr>
      <w:r>
        <w:t>Количество объявленных акций:</w:t>
      </w:r>
      <w:r>
        <w:rPr>
          <w:rStyle w:val="Subst"/>
          <w:bCs/>
          <w:iCs/>
        </w:rPr>
        <w:t xml:space="preserve"> 40 000 000</w:t>
      </w:r>
    </w:p>
    <w:p w:rsidR="00AA7EE0" w:rsidRDefault="00AA7EE0" w:rsidP="00BB4B93">
      <w:pPr>
        <w:ind w:left="200"/>
        <w:jc w:val="both"/>
      </w:pPr>
      <w:r>
        <w:t>Количество акций, поступивших в распоряжение (находящихся на балансе) эмитента:</w:t>
      </w:r>
      <w:r>
        <w:rPr>
          <w:rStyle w:val="Subst"/>
          <w:bCs/>
          <w:iCs/>
        </w:rPr>
        <w:t xml:space="preserve"> 0</w:t>
      </w:r>
    </w:p>
    <w:p w:rsidR="00AA7EE0" w:rsidRDefault="00AA7EE0" w:rsidP="00BB4B93">
      <w:pPr>
        <w:ind w:left="200"/>
        <w:jc w:val="both"/>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AA7EE0" w:rsidRDefault="00AA7EE0" w:rsidP="00BB4B93">
      <w:pPr>
        <w:pStyle w:val="ThinDelim"/>
        <w:jc w:val="both"/>
      </w:pPr>
    </w:p>
    <w:p w:rsidR="00AA7EE0" w:rsidRDefault="00AA7EE0" w:rsidP="00BB4B93">
      <w:pPr>
        <w:ind w:left="200"/>
        <w:jc w:val="both"/>
      </w:pPr>
      <w:r>
        <w:t>Выпуски акций данной категории (типа):</w:t>
      </w:r>
    </w:p>
    <w:p w:rsidR="00AA7EE0" w:rsidRDefault="00AA7EE0" w:rsidP="00BB4B93">
      <w:pPr>
        <w:pStyle w:val="ThinDelim"/>
        <w:jc w:val="both"/>
      </w:pPr>
    </w:p>
    <w:tbl>
      <w:tblPr>
        <w:tblW w:w="0" w:type="auto"/>
        <w:tblLayout w:type="fixed"/>
        <w:tblCellMar>
          <w:left w:w="72" w:type="dxa"/>
          <w:right w:w="72" w:type="dxa"/>
        </w:tblCellMar>
        <w:tblLook w:val="0000"/>
      </w:tblPr>
      <w:tblGrid>
        <w:gridCol w:w="1892"/>
        <w:gridCol w:w="7360"/>
      </w:tblGrid>
      <w:tr w:rsidR="00AA7EE0" w:rsidRPr="00BB4B93">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Государственный регистрационный номер выпуска</w:t>
            </w:r>
          </w:p>
        </w:tc>
      </w:tr>
      <w:tr w:rsidR="00AA7EE0" w:rsidRPr="00BB4B93">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02.07.2008</w:t>
            </w:r>
          </w:p>
        </w:tc>
        <w:tc>
          <w:tcPr>
            <w:tcW w:w="73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1-01-13057-А</w:t>
            </w:r>
          </w:p>
        </w:tc>
      </w:tr>
      <w:tr w:rsidR="00AA7EE0" w:rsidRPr="00BB4B93">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23.06.2010</w:t>
            </w:r>
          </w:p>
        </w:tc>
        <w:tc>
          <w:tcPr>
            <w:tcW w:w="73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1-01-13057-А-001D, код дополнительного выпуска аннулирован</w:t>
            </w:r>
          </w:p>
        </w:tc>
      </w:tr>
      <w:tr w:rsidR="00AA7EE0" w:rsidRPr="00BB4B93">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20.04.2011</w:t>
            </w:r>
          </w:p>
        </w:tc>
        <w:tc>
          <w:tcPr>
            <w:tcW w:w="7360" w:type="dxa"/>
            <w:tcBorders>
              <w:top w:val="single" w:sz="6" w:space="0" w:color="auto"/>
              <w:left w:val="single" w:sz="6" w:space="0" w:color="auto"/>
              <w:bottom w:val="sing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1-01-13057-А-002D, код дополнительного выпуска аннулирован</w:t>
            </w:r>
          </w:p>
        </w:tc>
      </w:tr>
      <w:tr w:rsidR="00AA7EE0" w:rsidRPr="00BB4B93">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AA7EE0" w:rsidRPr="00BB4B93" w:rsidRDefault="00AA7EE0" w:rsidP="00BB4B93">
            <w:pPr>
              <w:jc w:val="both"/>
              <w:rPr>
                <w:rFonts w:eastAsiaTheme="minorEastAsia"/>
              </w:rPr>
            </w:pPr>
            <w:r w:rsidRPr="00BB4B93">
              <w:rPr>
                <w:rFonts w:eastAsiaTheme="minorEastAsia"/>
              </w:rPr>
              <w:t>20.04.2011</w:t>
            </w:r>
          </w:p>
        </w:tc>
        <w:tc>
          <w:tcPr>
            <w:tcW w:w="7360" w:type="dxa"/>
            <w:tcBorders>
              <w:top w:val="single" w:sz="6" w:space="0" w:color="auto"/>
              <w:left w:val="single" w:sz="6" w:space="0" w:color="auto"/>
              <w:bottom w:val="double" w:sz="6" w:space="0" w:color="auto"/>
              <w:right w:val="double" w:sz="6" w:space="0" w:color="auto"/>
            </w:tcBorders>
          </w:tcPr>
          <w:p w:rsidR="00AA7EE0" w:rsidRPr="00BB4B93" w:rsidRDefault="00AA7EE0" w:rsidP="00BB4B93">
            <w:pPr>
              <w:jc w:val="both"/>
              <w:rPr>
                <w:rFonts w:eastAsiaTheme="minorEastAsia"/>
              </w:rPr>
            </w:pPr>
            <w:r w:rsidRPr="00BB4B93">
              <w:rPr>
                <w:rFonts w:eastAsiaTheme="minorEastAsia"/>
              </w:rPr>
              <w:t>1-01-13057-А-003D</w:t>
            </w:r>
          </w:p>
        </w:tc>
      </w:tr>
    </w:tbl>
    <w:p w:rsidR="00AA7EE0" w:rsidRDefault="00AA7EE0" w:rsidP="00BB4B93">
      <w:pPr>
        <w:jc w:val="both"/>
      </w:pPr>
    </w:p>
    <w:p w:rsidR="00AA7EE0" w:rsidRDefault="00AA7EE0" w:rsidP="00BB4B93">
      <w:pPr>
        <w:ind w:left="200"/>
        <w:jc w:val="both"/>
      </w:pPr>
      <w:r>
        <w:t>Права, предоставляемые акциями их владельцам:</w:t>
      </w:r>
      <w:r>
        <w:br/>
      </w:r>
      <w:r>
        <w:rPr>
          <w:rStyle w:val="Subst"/>
          <w:bCs/>
          <w:iCs/>
        </w:rPr>
        <w:t>п.3 ст. 8 Устава:</w:t>
      </w:r>
      <w:r>
        <w:rPr>
          <w:rStyle w:val="Subst"/>
          <w:bCs/>
          <w:iCs/>
        </w:rPr>
        <w:br/>
        <w:t xml:space="preserve"> Все обыкновенные акции общества имеют одинаковую номинальную стоимость, являются</w:t>
      </w:r>
      <w:r>
        <w:rPr>
          <w:rStyle w:val="Subst"/>
          <w:bCs/>
          <w:iCs/>
        </w:rPr>
        <w:br/>
        <w:t>именными и представляют акционерам - их владельцам одинаковый объем следующих прав:</w:t>
      </w:r>
      <w:r>
        <w:rPr>
          <w:rStyle w:val="Subst"/>
          <w:bCs/>
          <w:iCs/>
        </w:rPr>
        <w:br/>
        <w:t>- принимать участие в общем собрании акционеров лично или через представителей с правом голоса по всем вопросам его компетенции;</w:t>
      </w:r>
      <w:r>
        <w:rPr>
          <w:rStyle w:val="Subst"/>
          <w:bCs/>
          <w:iCs/>
        </w:rPr>
        <w:br/>
        <w:t>-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число которых не может превышать количественный состав соответствующего органа, а также ревизоры общества;</w:t>
      </w:r>
      <w:r>
        <w:rPr>
          <w:rStyle w:val="Subst"/>
          <w:bCs/>
          <w:iCs/>
        </w:rPr>
        <w:br/>
        <w:t>- получать дивиденды по принадлежащим ему акциям общества в случае объявления их обществом;</w:t>
      </w:r>
      <w:r>
        <w:rPr>
          <w:rStyle w:val="Subst"/>
          <w:bCs/>
          <w:iCs/>
        </w:rPr>
        <w:br/>
        <w:t>- отчуждать принадлежащие им акции без согласия других акционеров и общества;</w:t>
      </w:r>
      <w:r>
        <w:rPr>
          <w:rStyle w:val="Subst"/>
          <w:bCs/>
          <w:iCs/>
        </w:rPr>
        <w:br/>
        <w:t>- получать часть имущества, оставшегося после ликвидации общества, пропорционально доле их акций в общем количестве размещенных акций общества с соблюдением требований Федерального закона "Об акционерных обществах";</w:t>
      </w:r>
      <w:r>
        <w:rPr>
          <w:rStyle w:val="Subst"/>
          <w:bCs/>
          <w:iCs/>
        </w:rPr>
        <w:br/>
        <w:t>- передавать все или часть прав, предоставляемых акцией, своему представителю на основании доверенности;</w:t>
      </w:r>
      <w:r>
        <w:rPr>
          <w:rStyle w:val="Subst"/>
          <w:bCs/>
          <w:iCs/>
        </w:rPr>
        <w:br/>
        <w:t>- иметь доступ к документам общества в порядке и на условиях, предусмотренных Федеральным законом "Об акционерных обществах" и настоящим Уставом;</w:t>
      </w:r>
      <w:r>
        <w:rPr>
          <w:rStyle w:val="Subst"/>
          <w:bCs/>
          <w:iCs/>
        </w:rPr>
        <w:br/>
        <w:t>- акционеры (акционер), являющиеся владельцами не менее чем 10 процентов голосующих акций общества, вправе требовать созыва внеочередного общего собрания акционеров общества;</w:t>
      </w:r>
      <w:r>
        <w:rPr>
          <w:rStyle w:val="Subst"/>
          <w:bCs/>
          <w:iCs/>
        </w:rPr>
        <w:br/>
        <w:t>- требовать выкупа обществом всех или части принадлежащих им акций в порядке и случаях, установленных Федеральным законом "Об акционерных обществах" и настоящим Уставом;</w:t>
      </w:r>
      <w:r>
        <w:rPr>
          <w:rStyle w:val="Subst"/>
          <w:bCs/>
          <w:iCs/>
        </w:rPr>
        <w:br/>
        <w:t xml:space="preserve">- осуществлять   иные   права,   предусмотренные   действующим   законодательством   Российской Федерации, настоящим Уставом, внутренними документами общества и решениями общего собрания акционеров, принятыми в соответствии с его компетенций. </w:t>
      </w:r>
      <w:r>
        <w:rPr>
          <w:rStyle w:val="Subst"/>
          <w:bCs/>
          <w:iCs/>
        </w:rPr>
        <w:br/>
      </w:r>
      <w:r>
        <w:rPr>
          <w:rStyle w:val="Subst"/>
          <w:bCs/>
          <w:iCs/>
        </w:rPr>
        <w:br/>
        <w:t>п.1. ст. 16 Устава:</w:t>
      </w:r>
      <w:r>
        <w:rPr>
          <w:rStyle w:val="Subst"/>
          <w:bCs/>
          <w:iCs/>
        </w:rPr>
        <w:br/>
        <w:t xml:space="preserve">Акционеры общества имеют преимущественное право приобретения размещаемых посредством </w:t>
      </w:r>
      <w:r>
        <w:rPr>
          <w:rStyle w:val="Subst"/>
          <w:bCs/>
          <w:iCs/>
        </w:rPr>
        <w:lastRenderedPageBreak/>
        <w:t>открытой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(типа).</w:t>
      </w:r>
      <w:r>
        <w:rPr>
          <w:rStyle w:val="Subst"/>
          <w:bCs/>
          <w:iCs/>
        </w:rPr>
        <w:br/>
        <w:t xml:space="preserve">Акционеры общества, голосовавшие против или не принимавшие участие в голосовании по вопросу о размещении посредством закрытой подписки акций и эмиссионных ценных бумаг, конвертируемых в акции, имеют преимущественное право приобретения дополнительных акций и эмиссионных ценных бумаг, конвертируемых в акции, размещаемых посредством закрытой подписки, в количестве, пропорциональном количеству принадлежащих им акций этой категории (типа). </w:t>
      </w:r>
      <w:r>
        <w:rPr>
          <w:rStyle w:val="Subst"/>
          <w:bCs/>
          <w:iCs/>
        </w:rPr>
        <w:br/>
        <w:t>Уставом не предусмотрено ограничение максимального числа голосов, принадлежащих одному акционеру.</w:t>
      </w:r>
      <w:r>
        <w:rPr>
          <w:rStyle w:val="Subst"/>
          <w:bCs/>
          <w:iCs/>
        </w:rPr>
        <w:br/>
      </w:r>
    </w:p>
    <w:p w:rsidR="00AA7EE0" w:rsidRDefault="00AA7EE0" w:rsidP="00226FB4">
      <w:pPr>
        <w:ind w:left="200"/>
        <w:jc w:val="both"/>
      </w:pPr>
      <w:r>
        <w:t>Иные сведения об акциях, указываемые эмитентом по собственному усмотрению:</w:t>
      </w:r>
      <w:r>
        <w:br/>
      </w:r>
      <w:r w:rsidR="00332C75">
        <w:rPr>
          <w:rStyle w:val="Subst"/>
          <w:bCs/>
          <w:iCs/>
        </w:rPr>
        <w:t xml:space="preserve">Иных сведений об акциях </w:t>
      </w:r>
      <w:r>
        <w:rPr>
          <w:rStyle w:val="Subst"/>
          <w:bCs/>
          <w:iCs/>
        </w:rPr>
        <w:t>нет.</w:t>
      </w:r>
    </w:p>
    <w:p w:rsidR="00AA7EE0" w:rsidRDefault="00AA7EE0" w:rsidP="00BB4B93">
      <w:pPr>
        <w:pStyle w:val="2"/>
        <w:jc w:val="both"/>
      </w:pPr>
      <w:bookmarkStart w:id="91" w:name="_Toc324431803"/>
      <w:r>
        <w:t>8.3. Сведения о предыдущих выпусках эмиссионных ценных бумаг эмитента, за исключением акций эмитента</w:t>
      </w:r>
      <w:bookmarkEnd w:id="91"/>
    </w:p>
    <w:p w:rsidR="00AA7EE0" w:rsidRDefault="00AA7EE0" w:rsidP="00BB4B93">
      <w:pPr>
        <w:pStyle w:val="2"/>
        <w:jc w:val="both"/>
      </w:pPr>
      <w:bookmarkStart w:id="92" w:name="_Toc324431804"/>
      <w:r>
        <w:t>8.3.1. Сведения о выпусках, все ценные бумаги которых погашены (аннулированы)</w:t>
      </w:r>
      <w:bookmarkEnd w:id="92"/>
    </w:p>
    <w:p w:rsidR="00AA7EE0" w:rsidRDefault="00AA7EE0" w:rsidP="00BB4B93">
      <w:pPr>
        <w:ind w:left="200"/>
        <w:jc w:val="both"/>
      </w:pPr>
      <w:r>
        <w:rPr>
          <w:rStyle w:val="Subst"/>
          <w:bCs/>
          <w:iCs/>
        </w:rPr>
        <w:t>Указанных выпусков нет</w:t>
      </w:r>
      <w:r w:rsidR="00332C75">
        <w:rPr>
          <w:rStyle w:val="Subst"/>
          <w:bCs/>
          <w:iCs/>
        </w:rPr>
        <w:t>.</w:t>
      </w:r>
    </w:p>
    <w:p w:rsidR="00AA7EE0" w:rsidRDefault="00AA7EE0" w:rsidP="00BB4B93">
      <w:pPr>
        <w:pStyle w:val="2"/>
        <w:jc w:val="both"/>
      </w:pPr>
      <w:bookmarkStart w:id="93" w:name="_Toc324431805"/>
      <w:r>
        <w:t>8.3.2. Сведения о выпусках, ценные бумаги которых не являются погашенными</w:t>
      </w:r>
      <w:bookmarkEnd w:id="93"/>
    </w:p>
    <w:p w:rsidR="00AA7EE0" w:rsidRDefault="00AA7EE0" w:rsidP="00BB4B93">
      <w:pPr>
        <w:ind w:left="200"/>
        <w:jc w:val="both"/>
      </w:pPr>
      <w:r>
        <w:rPr>
          <w:rStyle w:val="Subst"/>
          <w:bCs/>
          <w:iCs/>
        </w:rPr>
        <w:t>Указанных выпусков нет</w:t>
      </w:r>
      <w:r w:rsidR="00332C75">
        <w:rPr>
          <w:rStyle w:val="Subst"/>
          <w:bCs/>
          <w:iCs/>
        </w:rPr>
        <w:t>.</w:t>
      </w:r>
    </w:p>
    <w:p w:rsidR="00AA7EE0" w:rsidRDefault="00AA7EE0" w:rsidP="00BB4B93">
      <w:pPr>
        <w:pStyle w:val="2"/>
        <w:jc w:val="both"/>
      </w:pPr>
      <w:bookmarkStart w:id="94" w:name="_Toc324431806"/>
      <w:r>
        <w:t>8.4. Сведения о лице (лицах), предоставившем (предоставивших) обеспечение по облигациям выпуска</w:t>
      </w:r>
      <w:bookmarkEnd w:id="94"/>
    </w:p>
    <w:p w:rsidR="00AA7EE0" w:rsidRDefault="00AA7EE0" w:rsidP="00BB4B93">
      <w:pPr>
        <w:ind w:left="200"/>
        <w:jc w:val="both"/>
      </w:pPr>
      <w:r>
        <w:rPr>
          <w:rStyle w:val="Subst"/>
          <w:bCs/>
          <w:iCs/>
        </w:rPr>
        <w:t>Эмитент не регистрировал проспект облигаций с обеспечением, допуск к торгам на фондовой бирже биржевых облигаций не осуществлялся</w:t>
      </w:r>
      <w:r w:rsidR="00332C75">
        <w:rPr>
          <w:rStyle w:val="Subst"/>
          <w:bCs/>
          <w:iCs/>
        </w:rPr>
        <w:t>.</w:t>
      </w:r>
    </w:p>
    <w:p w:rsidR="00AA7EE0" w:rsidRDefault="00AA7EE0" w:rsidP="00BB4B93">
      <w:pPr>
        <w:pStyle w:val="2"/>
        <w:jc w:val="both"/>
      </w:pPr>
      <w:bookmarkStart w:id="95" w:name="_Toc324431807"/>
      <w:r>
        <w:t>8.4.1. Условия обеспечения исполнения обязательств по облигациям с ипотечным покрытием</w:t>
      </w:r>
      <w:bookmarkEnd w:id="95"/>
    </w:p>
    <w:p w:rsidR="00AA7EE0" w:rsidRDefault="00AA7EE0" w:rsidP="00BB4B93">
      <w:pPr>
        <w:ind w:left="200"/>
        <w:jc w:val="both"/>
      </w:pPr>
      <w:r>
        <w:rPr>
          <w:rStyle w:val="Subst"/>
          <w:bCs/>
          <w:iCs/>
        </w:rPr>
        <w:t>Эмитент не размещал облигации с ипотечным покрытием, обязательства по которым еще не исполнены</w:t>
      </w:r>
      <w:r w:rsidR="00332C75">
        <w:rPr>
          <w:rStyle w:val="Subst"/>
          <w:bCs/>
          <w:iCs/>
        </w:rPr>
        <w:t>.</w:t>
      </w:r>
    </w:p>
    <w:p w:rsidR="00AA7EE0" w:rsidRDefault="00AA7EE0" w:rsidP="00BB4B93">
      <w:pPr>
        <w:pStyle w:val="2"/>
        <w:jc w:val="both"/>
      </w:pPr>
      <w:bookmarkStart w:id="96" w:name="_Toc324431808"/>
      <w:r>
        <w:t>8.5. Сведения об организациях, осуществляющих учет прав на эмиссионные ценные бумаги эмитента</w:t>
      </w:r>
      <w:bookmarkEnd w:id="96"/>
    </w:p>
    <w:p w:rsidR="00AA7EE0" w:rsidRDefault="00AA7EE0" w:rsidP="00BB4B93">
      <w:pPr>
        <w:ind w:left="200"/>
        <w:jc w:val="both"/>
      </w:pPr>
    </w:p>
    <w:p w:rsidR="00AA7EE0" w:rsidRDefault="00AA7EE0" w:rsidP="00BB4B93">
      <w:pPr>
        <w:ind w:left="200"/>
        <w:jc w:val="both"/>
      </w:pPr>
      <w:r>
        <w:t>Лицо, осуществляющее ведение реестра владельцев именных ценных бумаг эмитента:</w:t>
      </w:r>
      <w:r>
        <w:rPr>
          <w:rStyle w:val="Subst"/>
          <w:bCs/>
          <w:iCs/>
        </w:rPr>
        <w:t xml:space="preserve"> регистратор</w:t>
      </w:r>
    </w:p>
    <w:p w:rsidR="00AA7EE0" w:rsidRDefault="00AA7EE0" w:rsidP="00BB4B93">
      <w:pPr>
        <w:pStyle w:val="SubHeading"/>
        <w:ind w:left="200"/>
        <w:jc w:val="both"/>
      </w:pPr>
      <w:r>
        <w:t>Сведения о регистраторе</w:t>
      </w:r>
    </w:p>
    <w:p w:rsidR="00AA7EE0" w:rsidRDefault="00AA7EE0" w:rsidP="00BB4B93">
      <w:pPr>
        <w:ind w:left="400"/>
        <w:jc w:val="both"/>
      </w:pPr>
      <w:r>
        <w:t>Полное фирменное наименование:</w:t>
      </w:r>
      <w:r>
        <w:rPr>
          <w:rStyle w:val="Subst"/>
          <w:bCs/>
          <w:iCs/>
        </w:rPr>
        <w:t xml:space="preserve"> Общество с ограниченной ответственностью "Реестр-РН"</w:t>
      </w:r>
    </w:p>
    <w:p w:rsidR="00AA7EE0" w:rsidRDefault="00AA7EE0" w:rsidP="00BB4B93">
      <w:pPr>
        <w:ind w:left="400"/>
        <w:jc w:val="both"/>
      </w:pPr>
      <w:r>
        <w:t>Сокращенное фирменное наименование:</w:t>
      </w:r>
      <w:r>
        <w:rPr>
          <w:rStyle w:val="Subst"/>
          <w:bCs/>
          <w:iCs/>
        </w:rPr>
        <w:t xml:space="preserve"> ООО "Реестр-РН"</w:t>
      </w:r>
    </w:p>
    <w:p w:rsidR="00AA7EE0" w:rsidRDefault="00AA7EE0" w:rsidP="00BB4B93">
      <w:pPr>
        <w:ind w:left="400"/>
        <w:jc w:val="both"/>
      </w:pPr>
      <w:r>
        <w:t>Место нахождения:</w:t>
      </w:r>
      <w:r>
        <w:rPr>
          <w:rStyle w:val="Subst"/>
          <w:bCs/>
          <w:iCs/>
        </w:rPr>
        <w:t xml:space="preserve"> 109028, г. Москва, Подкопаевский пер., д.2/6, стр.3-4</w:t>
      </w:r>
    </w:p>
    <w:p w:rsidR="00AA7EE0" w:rsidRDefault="00AA7EE0" w:rsidP="00BB4B93">
      <w:pPr>
        <w:ind w:left="400"/>
        <w:jc w:val="both"/>
      </w:pPr>
      <w:r>
        <w:t>ИНН:</w:t>
      </w:r>
      <w:r>
        <w:rPr>
          <w:rStyle w:val="Subst"/>
          <w:bCs/>
          <w:iCs/>
        </w:rPr>
        <w:t xml:space="preserve"> 7705397301</w:t>
      </w:r>
    </w:p>
    <w:p w:rsidR="00AA7EE0" w:rsidRDefault="00AA7EE0" w:rsidP="00226FB4">
      <w:pPr>
        <w:ind w:left="400"/>
        <w:jc w:val="both"/>
      </w:pPr>
      <w:r>
        <w:t>ОГРН:</w:t>
      </w:r>
      <w:r>
        <w:rPr>
          <w:rStyle w:val="Subst"/>
          <w:bCs/>
          <w:iCs/>
        </w:rPr>
        <w:t xml:space="preserve"> 1027700172818</w:t>
      </w:r>
    </w:p>
    <w:p w:rsidR="00AA7EE0" w:rsidRDefault="00AA7EE0" w:rsidP="00BB4B93">
      <w:pPr>
        <w:pStyle w:val="SubHeading"/>
        <w:ind w:left="400"/>
        <w:jc w:val="both"/>
      </w:pPr>
      <w:r>
        <w:t>Данные о лицензии на осуществление деятельности по ведению реестра владельцев ценных бумаг</w:t>
      </w:r>
    </w:p>
    <w:p w:rsidR="00AA7EE0" w:rsidRDefault="00AA7EE0" w:rsidP="00BB4B93">
      <w:pPr>
        <w:ind w:left="600"/>
        <w:jc w:val="both"/>
      </w:pPr>
      <w:r>
        <w:t>Номер:</w:t>
      </w:r>
      <w:r>
        <w:rPr>
          <w:rStyle w:val="Subst"/>
          <w:bCs/>
          <w:iCs/>
        </w:rPr>
        <w:t xml:space="preserve"> 10-000-1-00330</w:t>
      </w:r>
    </w:p>
    <w:p w:rsidR="00AA7EE0" w:rsidRDefault="00AA7EE0" w:rsidP="00BB4B93">
      <w:pPr>
        <w:ind w:left="600"/>
        <w:jc w:val="both"/>
      </w:pPr>
      <w:r>
        <w:t>Дата выдачи:</w:t>
      </w:r>
      <w:r>
        <w:rPr>
          <w:rStyle w:val="Subst"/>
          <w:bCs/>
          <w:iCs/>
        </w:rPr>
        <w:t xml:space="preserve"> 16.12.2004</w:t>
      </w:r>
    </w:p>
    <w:p w:rsidR="00AA7EE0" w:rsidRDefault="00AA7EE0" w:rsidP="00226FB4">
      <w:pPr>
        <w:ind w:left="600"/>
        <w:jc w:val="both"/>
      </w:pPr>
      <w:r>
        <w:t>Дата окончания действия:</w:t>
      </w:r>
      <w:r w:rsidR="00226FB4">
        <w:t xml:space="preserve"> </w:t>
      </w:r>
      <w:r>
        <w:rPr>
          <w:rStyle w:val="Subst"/>
          <w:bCs/>
          <w:iCs/>
        </w:rPr>
        <w:t>Бессрочная</w:t>
      </w:r>
    </w:p>
    <w:p w:rsidR="00AA7EE0" w:rsidRDefault="00AA7EE0" w:rsidP="00BB4B93">
      <w:pPr>
        <w:ind w:left="600"/>
        <w:jc w:val="both"/>
      </w:pPr>
      <w:r>
        <w:t>Наименование органа, выдавшего лицензию:</w:t>
      </w:r>
      <w:r>
        <w:rPr>
          <w:rStyle w:val="Subst"/>
          <w:bCs/>
          <w:iCs/>
        </w:rPr>
        <w:t xml:space="preserve"> ФКЦБ (ФСФР) России</w:t>
      </w:r>
    </w:p>
    <w:p w:rsidR="00AA7EE0" w:rsidRDefault="00AA7EE0" w:rsidP="00BB4B93">
      <w:pPr>
        <w:ind w:left="400"/>
        <w:jc w:val="both"/>
      </w:pPr>
      <w:r>
        <w:t>Дата, с которой регистратор осуществляет ведение реестра  владельцев ценных бумаг эмитента:</w:t>
      </w:r>
      <w:r>
        <w:rPr>
          <w:rStyle w:val="Subst"/>
          <w:bCs/>
          <w:iCs/>
        </w:rPr>
        <w:t xml:space="preserve"> 18.09.2008</w:t>
      </w:r>
    </w:p>
    <w:p w:rsidR="00AA7EE0" w:rsidRDefault="00AA7EE0" w:rsidP="00BB4B93">
      <w:pPr>
        <w:pStyle w:val="2"/>
        <w:jc w:val="both"/>
      </w:pPr>
      <w:bookmarkStart w:id="97" w:name="_Toc324431809"/>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7"/>
    </w:p>
    <w:p w:rsidR="00AA7EE0" w:rsidRDefault="00AA7EE0" w:rsidP="00BB4B93">
      <w:pPr>
        <w:ind w:left="200"/>
        <w:jc w:val="both"/>
      </w:pPr>
      <w:r>
        <w:rPr>
          <w:rStyle w:val="Subst"/>
          <w:bCs/>
          <w:iCs/>
        </w:rPr>
        <w:t>Налоговый кодекс Российской Федерации, часть I, от 31 июля 1998 г. № 146-ФЗ с последующими изменениями и дополнениями</w:t>
      </w:r>
      <w:r>
        <w:rPr>
          <w:rStyle w:val="Subst"/>
          <w:bCs/>
          <w:iCs/>
        </w:rPr>
        <w:br/>
        <w:t>Налоговый кодекс Российской Федерации, часть II, от 5 августа 2000 г. № 117-ФЗ с последующими изменениями и дополнениями</w:t>
      </w:r>
      <w:r>
        <w:rPr>
          <w:rStyle w:val="Subst"/>
          <w:bCs/>
          <w:iCs/>
        </w:rPr>
        <w:br/>
      </w:r>
      <w:r>
        <w:rPr>
          <w:rStyle w:val="Subst"/>
          <w:bCs/>
          <w:iCs/>
        </w:rPr>
        <w:lastRenderedPageBreak/>
        <w:t>Таможенный кодекс Российской Федерации от 28 мая 2003 г. № 61-ФЗ с последующими изменениями и дополнениями</w:t>
      </w:r>
      <w:r>
        <w:rPr>
          <w:rStyle w:val="Subst"/>
          <w:bCs/>
          <w:iCs/>
        </w:rPr>
        <w:br/>
        <w:t>Федеральный закон от 10 декабря 2003 г. № 173-ФЗ «О валютном контроле и валютном регулировании» с последующими изменениями и дополнениями</w:t>
      </w:r>
      <w:r>
        <w:rPr>
          <w:rStyle w:val="Subst"/>
          <w:bCs/>
          <w:iCs/>
        </w:rPr>
        <w:br/>
        <w:t>Федеральный закон от 9 июля 1999 г. № 160-ФЗ «Об иностранных инвестициях в Российской Федерации» с последующими изменениями и дополнениями</w:t>
      </w:r>
      <w:r>
        <w:rPr>
          <w:rStyle w:val="Subst"/>
          <w:bCs/>
          <w:iCs/>
        </w:rPr>
        <w:br/>
        <w:t>Федеральный закон от 25 февраля 1999 г. № 39-ФЗ «Об инвестиционной деятельности в Российской Федерации, осуществляемой в форме капитальных иностранных вложений» с последующими изменениями и дополнениями</w:t>
      </w:r>
      <w:r>
        <w:rPr>
          <w:rStyle w:val="Subst"/>
          <w:bCs/>
          <w:iCs/>
        </w:rPr>
        <w:br/>
        <w:t>Федеральный закон от 7 августа 2001 г. № 115-ФЗ «О противодействии легализации (отмыванию) доходов, полученных преступным путем, и финансированию терроризма» с последующими изменениями и дополнениями</w:t>
      </w:r>
      <w:r>
        <w:rPr>
          <w:rStyle w:val="Subst"/>
          <w:bCs/>
          <w:iCs/>
        </w:rPr>
        <w:br/>
        <w:t>Федеральный закон от 22.04.96 г. № 39-ФЗ «О рынке ценных бумаг»  с последующими изменениями и дополнениями</w:t>
      </w:r>
      <w:r>
        <w:rPr>
          <w:rStyle w:val="Subst"/>
          <w:bCs/>
          <w:iCs/>
        </w:rPr>
        <w:br/>
        <w:t>Федеральный закон «О Центральном Банке Российской Федерации (Банке России)» № 86-ФЗ от 10.07.02 г. с последующими изменениями и дополнениями</w:t>
      </w:r>
      <w:r>
        <w:rPr>
          <w:rStyle w:val="Subst"/>
          <w:bCs/>
          <w:iCs/>
        </w:rPr>
        <w:br/>
        <w:t>Инструкция ЦБ РФ от 07.06.2004 г. N 116-И «О видах специальных счетов резидентов и нерезидентов»</w:t>
      </w:r>
      <w:r>
        <w:rPr>
          <w:rStyle w:val="Subst"/>
          <w:bCs/>
          <w:iCs/>
        </w:rPr>
        <w:br/>
        <w:t>Федеральные законы ратифицирующие Соглашения об избежании двойного налогообложения между Российской Федерацией и зарубежными странами.</w:t>
      </w:r>
    </w:p>
    <w:p w:rsidR="00AA7EE0" w:rsidRDefault="00AA7EE0" w:rsidP="00BB4B93">
      <w:pPr>
        <w:pStyle w:val="2"/>
        <w:jc w:val="both"/>
      </w:pPr>
      <w:bookmarkStart w:id="98" w:name="_Toc324431810"/>
      <w:r>
        <w:t>8.7. Описание порядка налогообложения доходов по размещенным и размещаемым эмиссионным ценным бумагам эмитента</w:t>
      </w:r>
      <w:bookmarkEnd w:id="98"/>
    </w:p>
    <w:p w:rsidR="00226FB4" w:rsidRPr="00A12726" w:rsidRDefault="00226FB4" w:rsidP="00226FB4">
      <w:pPr>
        <w:ind w:right="78" w:firstLine="540"/>
        <w:jc w:val="both"/>
        <w:rPr>
          <w:b/>
          <w:bCs/>
          <w:i/>
          <w:iCs/>
          <w:sz w:val="22"/>
          <w:szCs w:val="22"/>
        </w:rPr>
      </w:pPr>
      <w:r w:rsidRPr="00A12726">
        <w:rPr>
          <w:b/>
          <w:bCs/>
          <w:i/>
          <w:iCs/>
          <w:sz w:val="22"/>
          <w:szCs w:val="22"/>
        </w:rPr>
        <w:t>Налогообложение доходов юридических лиц по размещаемым и/или размещенным ценным бумагам в виде дивидендов: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093"/>
        <w:gridCol w:w="2955"/>
        <w:gridCol w:w="4550"/>
      </w:tblGrid>
      <w:tr w:rsidR="00226FB4" w:rsidRPr="008B26BF" w:rsidTr="00C101D7">
        <w:trPr>
          <w:cantSplit/>
        </w:trPr>
        <w:tc>
          <w:tcPr>
            <w:tcW w:w="2093" w:type="dxa"/>
            <w:vMerge w:val="restart"/>
            <w:tcBorders>
              <w:top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w:t>
            </w:r>
          </w:p>
        </w:tc>
        <w:tc>
          <w:tcPr>
            <w:tcW w:w="7505"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Категории владельцев ценных бумаг</w:t>
            </w:r>
          </w:p>
        </w:tc>
      </w:tr>
      <w:tr w:rsidR="00226FB4" w:rsidRPr="008B26BF" w:rsidTr="00C101D7">
        <w:trPr>
          <w:cantSplit/>
        </w:trPr>
        <w:tc>
          <w:tcPr>
            <w:tcW w:w="0" w:type="auto"/>
            <w:vMerge/>
            <w:tcBorders>
              <w:top w:val="single" w:sz="4" w:space="0" w:color="auto"/>
              <w:bottom w:val="single" w:sz="4" w:space="0" w:color="auto"/>
              <w:right w:val="single" w:sz="4" w:space="0" w:color="auto"/>
            </w:tcBorders>
            <w:vAlign w:val="center"/>
          </w:tcPr>
          <w:p w:rsidR="00226FB4" w:rsidRPr="008B26BF" w:rsidRDefault="00226FB4" w:rsidP="00C101D7">
            <w:pPr>
              <w:rPr>
                <w:i/>
                <w:iCs/>
                <w:sz w:val="18"/>
                <w:szCs w:val="18"/>
              </w:rPr>
            </w:pPr>
          </w:p>
        </w:tc>
        <w:tc>
          <w:tcPr>
            <w:tcW w:w="295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Юридические лица - налоговые резиденты Российской Федерации</w:t>
            </w:r>
          </w:p>
        </w:tc>
        <w:tc>
          <w:tcPr>
            <w:tcW w:w="4550" w:type="dxa"/>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Иностранные юридические лица - (нерезиденты), получающие доходы от источников, находящихся на территории Российской Федерации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1. Наименование дохода по размещаемым и/или размещенным ценным бумагам</w:t>
            </w:r>
          </w:p>
        </w:tc>
        <w:tc>
          <w:tcPr>
            <w:tcW w:w="7505"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Дивиденды</w:t>
            </w:r>
          </w:p>
        </w:tc>
      </w:tr>
      <w:tr w:rsidR="00226FB4" w:rsidRPr="008B26BF" w:rsidTr="00C101D7">
        <w:trPr>
          <w:trHeight w:val="579"/>
        </w:trPr>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2. Наименование налога на доход по ценным бумагам</w:t>
            </w:r>
          </w:p>
        </w:tc>
        <w:tc>
          <w:tcPr>
            <w:tcW w:w="7505"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Налог на прибыль</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3. Ставка налога</w:t>
            </w:r>
          </w:p>
        </w:tc>
        <w:tc>
          <w:tcPr>
            <w:tcW w:w="2955" w:type="dxa"/>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1C1C73">
              <w:rPr>
                <w:i/>
                <w:iCs/>
                <w:sz w:val="18"/>
                <w:szCs w:val="18"/>
              </w:rPr>
              <w:t xml:space="preserve">0 </w:t>
            </w:r>
            <w:r>
              <w:rPr>
                <w:i/>
                <w:iCs/>
                <w:sz w:val="18"/>
                <w:szCs w:val="18"/>
              </w:rPr>
              <w:t>%</w:t>
            </w:r>
            <w:r w:rsidRPr="001C1C73">
              <w:rPr>
                <w:i/>
                <w:iCs/>
                <w:sz w:val="18"/>
                <w:szCs w:val="18"/>
              </w:rPr>
              <w:t xml:space="preserve">  по доходам, полученным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w:t>
            </w:r>
            <w:r>
              <w:rPr>
                <w:i/>
                <w:iCs/>
                <w:sz w:val="18"/>
                <w:szCs w:val="18"/>
              </w:rPr>
              <w:t>е собственности не менее чем 50 %</w:t>
            </w:r>
            <w:r w:rsidRPr="001C1C73">
              <w:rPr>
                <w:i/>
                <w:iCs/>
                <w:sz w:val="18"/>
                <w:szCs w:val="18"/>
              </w:rPr>
              <w:t xml:space="preserve"> вкладом  в уставном капитале выплачивающей дивиденды организации или депозитарными расписками, дающими право на получение дивидендов, в сумме, соответствующей не менее 50 </w:t>
            </w:r>
            <w:r>
              <w:rPr>
                <w:i/>
                <w:iCs/>
                <w:sz w:val="18"/>
                <w:szCs w:val="18"/>
              </w:rPr>
              <w:t>%</w:t>
            </w:r>
            <w:r w:rsidRPr="001C1C73">
              <w:rPr>
                <w:i/>
                <w:iCs/>
                <w:sz w:val="18"/>
                <w:szCs w:val="18"/>
              </w:rPr>
              <w:t xml:space="preserve"> общей суммы выплачиваемых организацией дивидендов.</w:t>
            </w:r>
          </w:p>
        </w:tc>
        <w:tc>
          <w:tcPr>
            <w:tcW w:w="4550" w:type="dxa"/>
            <w:tcBorders>
              <w:top w:val="single" w:sz="4" w:space="0" w:color="auto"/>
              <w:left w:val="single" w:sz="4" w:space="0" w:color="auto"/>
              <w:bottom w:val="single" w:sz="4" w:space="0" w:color="auto"/>
            </w:tcBorders>
          </w:tcPr>
          <w:p w:rsidR="00226FB4" w:rsidRDefault="00226FB4" w:rsidP="00C101D7">
            <w:pPr>
              <w:ind w:firstLine="540"/>
              <w:jc w:val="both"/>
              <w:outlineLvl w:val="2"/>
              <w:rPr>
                <w:i/>
                <w:iCs/>
                <w:sz w:val="18"/>
                <w:szCs w:val="18"/>
              </w:rPr>
            </w:pPr>
            <w:r w:rsidRPr="008B26BF">
              <w:rPr>
                <w:i/>
                <w:iCs/>
                <w:sz w:val="18"/>
                <w:szCs w:val="18"/>
              </w:rPr>
              <w:t>15%</w:t>
            </w:r>
            <w:r>
              <w:rPr>
                <w:i/>
                <w:iCs/>
                <w:sz w:val="18"/>
                <w:szCs w:val="18"/>
              </w:rPr>
              <w:t xml:space="preserve"> по доходам, полученным в виде дивидендов от российских организаций иностранными организациями</w:t>
            </w:r>
          </w:p>
          <w:p w:rsidR="00226FB4" w:rsidRPr="008B26BF" w:rsidRDefault="00226FB4" w:rsidP="00C101D7">
            <w:pPr>
              <w:ind w:right="78"/>
              <w:rPr>
                <w:i/>
                <w:iCs/>
                <w:sz w:val="18"/>
                <w:szCs w:val="18"/>
              </w:rPr>
            </w:pP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p>
        </w:tc>
        <w:tc>
          <w:tcPr>
            <w:tcW w:w="2955" w:type="dxa"/>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t>9%</w:t>
            </w:r>
            <w:r>
              <w:rPr>
                <w:i/>
                <w:iCs/>
                <w:sz w:val="18"/>
                <w:szCs w:val="18"/>
              </w:rPr>
              <w:t xml:space="preserve"> </w:t>
            </w:r>
            <w:r w:rsidRPr="001C1C73">
              <w:rPr>
                <w:i/>
                <w:iCs/>
                <w:sz w:val="18"/>
                <w:szCs w:val="18"/>
              </w:rPr>
              <w:t xml:space="preserve">по доходам, полученным в виде дивидендов от российских и иностранных организаций российскими организациями, не указанными в </w:t>
            </w:r>
            <w:r>
              <w:rPr>
                <w:i/>
                <w:iCs/>
                <w:sz w:val="18"/>
                <w:szCs w:val="18"/>
              </w:rPr>
              <w:t xml:space="preserve">предыдущем </w:t>
            </w:r>
            <w:r w:rsidRPr="001C1C73">
              <w:rPr>
                <w:i/>
                <w:iCs/>
                <w:sz w:val="18"/>
                <w:szCs w:val="18"/>
              </w:rPr>
              <w:t xml:space="preserve">подпункте </w:t>
            </w:r>
          </w:p>
        </w:tc>
        <w:tc>
          <w:tcPr>
            <w:tcW w:w="4550" w:type="dxa"/>
            <w:tcBorders>
              <w:top w:val="single" w:sz="4" w:space="0" w:color="auto"/>
              <w:left w:val="single" w:sz="4" w:space="0" w:color="auto"/>
              <w:bottom w:val="single" w:sz="4" w:space="0" w:color="auto"/>
            </w:tcBorders>
          </w:tcPr>
          <w:p w:rsidR="00226FB4" w:rsidRPr="008B26BF" w:rsidRDefault="00226FB4" w:rsidP="00C101D7">
            <w:pPr>
              <w:ind w:right="78"/>
              <w:rPr>
                <w:i/>
                <w:iCs/>
                <w:sz w:val="18"/>
                <w:szCs w:val="18"/>
              </w:rPr>
            </w:pP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4. Порядок и сроки уплаты налога</w:t>
            </w:r>
          </w:p>
        </w:tc>
        <w:tc>
          <w:tcPr>
            <w:tcW w:w="2955" w:type="dxa"/>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t xml:space="preserve">Налоги с доходов в виде дивидендов взимаются у источника выплаты этих доходов и перечисляются в федеральный  бюджет налоговым агентом, </w:t>
            </w:r>
            <w:r w:rsidRPr="008B26BF">
              <w:rPr>
                <w:i/>
                <w:iCs/>
                <w:sz w:val="18"/>
                <w:szCs w:val="18"/>
              </w:rPr>
              <w:lastRenderedPageBreak/>
              <w:t>осуществившем выплату, в течение 10 дней со дня выплаты дохода.</w:t>
            </w:r>
          </w:p>
        </w:tc>
        <w:tc>
          <w:tcPr>
            <w:tcW w:w="4550"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lastRenderedPageBreak/>
              <w:t xml:space="preserve">Сумма налога, удержанного с доходов иностранных организаций,  перечисляется налоговым агентом в федеральный бюджет одновременно с выплатой дохода либо в валюте выплаты этого дохода, либо в валюте Российской Федерации по официальному курсу Центрального банка Российской Федерации на дату </w:t>
            </w:r>
            <w:r w:rsidRPr="008B26BF">
              <w:rPr>
                <w:i/>
                <w:iCs/>
                <w:sz w:val="18"/>
                <w:szCs w:val="18"/>
              </w:rPr>
              <w:lastRenderedPageBreak/>
              <w:t xml:space="preserve">перечисления налога. </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pStyle w:val="btBodytextAvtalBr3"/>
              <w:ind w:right="78"/>
            </w:pPr>
            <w:r w:rsidRPr="008B26BF">
              <w:lastRenderedPageBreak/>
              <w:t>5. Особенности порядка налогообложения для данной категории владельцев ценных бумаг</w:t>
            </w:r>
          </w:p>
        </w:tc>
        <w:tc>
          <w:tcPr>
            <w:tcW w:w="2955" w:type="dxa"/>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t>Общая сумма налога с суммы дивидендов определяется с разницы между суммой дивидендов, подлежащих распределению между акционерами - резидентами, и суммой дивидендов, полученных самим налоговым агентом за отчетный период.</w:t>
            </w:r>
          </w:p>
          <w:p w:rsidR="00226FB4" w:rsidRPr="008B26BF" w:rsidRDefault="00226FB4" w:rsidP="00C101D7">
            <w:pPr>
              <w:ind w:right="78"/>
              <w:jc w:val="both"/>
              <w:rPr>
                <w:i/>
                <w:iCs/>
                <w:sz w:val="18"/>
                <w:szCs w:val="18"/>
              </w:rPr>
            </w:pPr>
            <w:r w:rsidRPr="008B26BF">
              <w:rPr>
                <w:i/>
                <w:iCs/>
                <w:sz w:val="18"/>
                <w:szCs w:val="18"/>
              </w:rPr>
              <w:t>В случае, если полученная разница отрицательна, то не возникает обязанности по уплате налога и не производится возмещение из бюджета. Сумма налога, подлежащая удержанию из доходов налогоплательщика - получателя дивидендов, исчисляется исходя из общей суммы налога и доли каждого налогоплательщика в общей сумме дивидендов.</w:t>
            </w:r>
          </w:p>
        </w:tc>
        <w:tc>
          <w:tcPr>
            <w:tcW w:w="4550"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t xml:space="preserve">Устранение двойного налогообложения. Для освобождения от налогообложения или применения льготного режима налогообложения  налогоплательщик (иностранная организация)  должен представить налоговому агенту, выплачивающему доход, до даты выплаты дохода подтверждение, того, что он является резидентом государства, с которым Российская Федерация имеет международный договор (соглашение), регулирующий вопросы налогообложения. Такое подтверждение должно быть заверено компетентным органом соответствующего иностранного государства. В случае непредставления подтверждения до даты выплаты дохода налоговый агент обязан удержать налог на доходы иностранной организации. </w:t>
            </w:r>
          </w:p>
          <w:p w:rsidR="00226FB4" w:rsidRPr="008B26BF" w:rsidRDefault="00226FB4" w:rsidP="00C101D7">
            <w:pPr>
              <w:ind w:right="78"/>
              <w:jc w:val="both"/>
              <w:rPr>
                <w:i/>
                <w:iCs/>
                <w:sz w:val="18"/>
                <w:szCs w:val="18"/>
              </w:rPr>
            </w:pPr>
            <w:r w:rsidRPr="008B26BF">
              <w:rPr>
                <w:i/>
                <w:iCs/>
                <w:sz w:val="18"/>
                <w:szCs w:val="18"/>
              </w:rPr>
              <w:t xml:space="preserve">В соответствии с п. 2 статьи 312 Налогового кодекса Российской Федерации иностранный получатель дохода имеет право на возврат ранее удержанного налога по доходу, выплаченному ему ранее, в течение трех лет с момента окончания налогового периода, в котором был выплачен доход, при условии предоставления иностранным получателем дохода в налоговый орган по месту постановки на учет налогового агента соответствующих документов (перечень приведен в статье 312 Налогового кодекса Российской Федерации). </w:t>
            </w:r>
          </w:p>
          <w:p w:rsidR="00226FB4" w:rsidRPr="008B26BF" w:rsidRDefault="00226FB4" w:rsidP="00C101D7">
            <w:pPr>
              <w:ind w:right="78"/>
              <w:jc w:val="both"/>
              <w:rPr>
                <w:i/>
                <w:iCs/>
                <w:sz w:val="18"/>
                <w:szCs w:val="18"/>
              </w:rPr>
            </w:pPr>
            <w:r w:rsidRPr="008B26BF">
              <w:rPr>
                <w:i/>
                <w:iCs/>
                <w:sz w:val="18"/>
                <w:szCs w:val="18"/>
              </w:rPr>
              <w:t xml:space="preserve">Возврат ранее удержанного и уплаченного налога осуществляется в месячный срок со дня подачи заявления и упомянутых документов. </w:t>
            </w:r>
          </w:p>
          <w:p w:rsidR="00226FB4" w:rsidRPr="008B26BF" w:rsidRDefault="00226FB4" w:rsidP="00C101D7">
            <w:pPr>
              <w:ind w:right="78"/>
              <w:jc w:val="both"/>
              <w:rPr>
                <w:i/>
                <w:iCs/>
                <w:sz w:val="18"/>
                <w:szCs w:val="18"/>
              </w:rPr>
            </w:pPr>
            <w:r w:rsidRPr="008B26BF">
              <w:t> </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6.Законодательные и нормативные акты, регламентирующие порядок налогообложения указанных доходов</w:t>
            </w:r>
          </w:p>
        </w:tc>
        <w:tc>
          <w:tcPr>
            <w:tcW w:w="7505"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Глава 25 Налогового кодекса Российской Федерации "Налог на прибыль организаций"</w:t>
            </w:r>
          </w:p>
        </w:tc>
      </w:tr>
    </w:tbl>
    <w:p w:rsidR="00226FB4" w:rsidRPr="008B26BF" w:rsidRDefault="00226FB4" w:rsidP="00226FB4">
      <w:pPr>
        <w:ind w:right="78" w:firstLine="540"/>
        <w:jc w:val="both"/>
        <w:rPr>
          <w:rFonts w:ascii="Arial" w:hAnsi="Arial" w:cs="Arial"/>
          <w:i/>
          <w:iCs/>
          <w:spacing w:val="-6"/>
        </w:rPr>
      </w:pPr>
    </w:p>
    <w:p w:rsidR="00226FB4" w:rsidRPr="00A12726" w:rsidRDefault="00226FB4" w:rsidP="00226FB4">
      <w:pPr>
        <w:ind w:right="78" w:firstLine="540"/>
        <w:jc w:val="both"/>
        <w:rPr>
          <w:b/>
          <w:bCs/>
          <w:i/>
          <w:iCs/>
          <w:spacing w:val="-6"/>
          <w:sz w:val="22"/>
          <w:szCs w:val="22"/>
        </w:rPr>
      </w:pPr>
      <w:r w:rsidRPr="00A12726">
        <w:rPr>
          <w:b/>
          <w:bCs/>
          <w:i/>
          <w:iCs/>
          <w:spacing w:val="-6"/>
          <w:sz w:val="22"/>
          <w:szCs w:val="22"/>
        </w:rPr>
        <w:t>Налогообложение доходов физических лиц по размещаемым и размещенным ценным бумагам в виде дивидендов: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093"/>
        <w:gridCol w:w="3240"/>
        <w:gridCol w:w="450"/>
        <w:gridCol w:w="3820"/>
      </w:tblGrid>
      <w:tr w:rsidR="00226FB4" w:rsidRPr="008B26BF" w:rsidTr="00C101D7">
        <w:trPr>
          <w:cantSplit/>
        </w:trPr>
        <w:tc>
          <w:tcPr>
            <w:tcW w:w="2093" w:type="dxa"/>
            <w:vMerge w:val="restart"/>
            <w:tcBorders>
              <w:top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Категории владельцев ценных бумаг</w:t>
            </w:r>
          </w:p>
        </w:tc>
      </w:tr>
      <w:tr w:rsidR="00226FB4" w:rsidRPr="008B26BF" w:rsidTr="00C101D7">
        <w:trPr>
          <w:cantSplit/>
        </w:trPr>
        <w:tc>
          <w:tcPr>
            <w:tcW w:w="0" w:type="auto"/>
            <w:vMerge/>
            <w:tcBorders>
              <w:top w:val="single" w:sz="4" w:space="0" w:color="auto"/>
              <w:bottom w:val="single" w:sz="4" w:space="0" w:color="auto"/>
              <w:right w:val="single" w:sz="4" w:space="0" w:color="auto"/>
            </w:tcBorders>
            <w:vAlign w:val="center"/>
          </w:tcPr>
          <w:p w:rsidR="00226FB4" w:rsidRPr="008B26BF" w:rsidRDefault="00226FB4" w:rsidP="00C101D7">
            <w:pPr>
              <w:rPr>
                <w:i/>
                <w:iCs/>
                <w:sz w:val="18"/>
                <w:szCs w:val="18"/>
              </w:rPr>
            </w:pPr>
          </w:p>
        </w:tc>
        <w:tc>
          <w:tcPr>
            <w:tcW w:w="323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Физические лица – налоговые резиденты Российской Федерации</w:t>
            </w:r>
          </w:p>
        </w:tc>
        <w:tc>
          <w:tcPr>
            <w:tcW w:w="4270"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Физические лица, получающие доходы от источников, расположенных в Российской Федерации, не являющиеся налоговыми резидентами Российской Федерации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1. Наименование дохода по размещаемым ценным бумагам</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Дивиденды</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2. Наименование налога на доход по ценным бумагам</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Налог на доходы физических лиц</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3. Ставка налога</w:t>
            </w:r>
          </w:p>
        </w:tc>
        <w:tc>
          <w:tcPr>
            <w:tcW w:w="323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rPr>
                <w:i/>
                <w:iCs/>
                <w:sz w:val="18"/>
                <w:szCs w:val="18"/>
              </w:rPr>
            </w:pPr>
            <w:r w:rsidRPr="008B26BF">
              <w:rPr>
                <w:i/>
                <w:iCs/>
                <w:sz w:val="18"/>
                <w:szCs w:val="18"/>
              </w:rPr>
              <w:t>9%</w:t>
            </w:r>
          </w:p>
        </w:tc>
        <w:tc>
          <w:tcPr>
            <w:tcW w:w="4270"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15%</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4. Порядок и сроки уплаты налога</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t>Обязанность удержать из доходов налогоплательщика сумму налога и уплатить ее в соответствующий бюджет возлагается на российскую организацию, являющуюся источником дохода налогоплательщика в виде дивидендов (налогового агента). Начисленная сумма налога удерживается непосредственно из доходов налогоплательщика при их фактической выплате.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 xml:space="preserve">5. Особенности </w:t>
            </w:r>
            <w:r w:rsidRPr="008B26BF">
              <w:rPr>
                <w:i/>
                <w:iCs/>
                <w:sz w:val="18"/>
                <w:szCs w:val="18"/>
              </w:rPr>
              <w:lastRenderedPageBreak/>
              <w:t>порядка налогообложения для данной категории владельцев ценных бумаг</w:t>
            </w:r>
          </w:p>
        </w:tc>
        <w:tc>
          <w:tcPr>
            <w:tcW w:w="3685" w:type="dxa"/>
            <w:gridSpan w:val="2"/>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lastRenderedPageBreak/>
              <w:t xml:space="preserve">Общая сумма налога с суммы дивидендов </w:t>
            </w:r>
            <w:r w:rsidRPr="008B26BF">
              <w:rPr>
                <w:i/>
                <w:iCs/>
                <w:sz w:val="18"/>
                <w:szCs w:val="18"/>
              </w:rPr>
              <w:lastRenderedPageBreak/>
              <w:t>определяется с разницы между суммой дивидендов, подлежащих распределению между акционерами - резидентами, и суммой дивидендов, полученных самим налоговым агентом за отчетный период.</w:t>
            </w:r>
          </w:p>
          <w:p w:rsidR="00226FB4" w:rsidRPr="008B26BF" w:rsidRDefault="00226FB4" w:rsidP="00C101D7">
            <w:pPr>
              <w:ind w:right="78"/>
              <w:jc w:val="both"/>
              <w:rPr>
                <w:i/>
                <w:iCs/>
                <w:sz w:val="18"/>
                <w:szCs w:val="18"/>
              </w:rPr>
            </w:pPr>
            <w:r w:rsidRPr="008B26BF">
              <w:rPr>
                <w:i/>
                <w:iCs/>
                <w:sz w:val="18"/>
                <w:szCs w:val="18"/>
              </w:rPr>
              <w:t>В случае, если полученная разница отрицательна, то не возникает обязанности по уплате налога и не производится возмещение из бюджета. Сумма налога, подлежащая удержанию из доходов налогоплательщика - получателя дивидендов, исчисляется исходя из общей суммы налога и доли каждого налогоплательщика в общей сумме дивидендов.</w:t>
            </w:r>
          </w:p>
        </w:tc>
        <w:tc>
          <w:tcPr>
            <w:tcW w:w="3820"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lastRenderedPageBreak/>
              <w:t xml:space="preserve">Устранение двойного налогообложения. </w:t>
            </w:r>
          </w:p>
          <w:p w:rsidR="00226FB4" w:rsidRPr="008B26BF" w:rsidRDefault="00226FB4" w:rsidP="00C101D7">
            <w:pPr>
              <w:ind w:right="78"/>
              <w:jc w:val="both"/>
              <w:rPr>
                <w:i/>
                <w:iCs/>
                <w:sz w:val="18"/>
                <w:szCs w:val="18"/>
              </w:rPr>
            </w:pPr>
            <w:r w:rsidRPr="008B26BF">
              <w:rPr>
                <w:i/>
                <w:iCs/>
                <w:sz w:val="18"/>
                <w:szCs w:val="18"/>
              </w:rPr>
              <w:lastRenderedPageBreak/>
              <w:t>Для освобождения от налогообложения, получения налоговых вычетов или иных налоговых привилегий налогоплательщик должен представить в органы Министерства Российской Федерации по налогам и сборам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Такое подтверждение может быть представлено как до уплаты налога, так и в течение одного года после окончания того налогового периода, по результатам которого налогоплательщик претендует на получение освобождения от налогообложения, налоговых вычетов или привилегий.</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lastRenderedPageBreak/>
              <w:t>6. Законодательные и нормативные акты, регламентирующие порядок налогообложения указанных доходов</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rPr>
                <w:i/>
                <w:iCs/>
                <w:sz w:val="18"/>
                <w:szCs w:val="18"/>
              </w:rPr>
            </w:pPr>
            <w:r w:rsidRPr="008B26BF">
              <w:rPr>
                <w:i/>
                <w:iCs/>
                <w:sz w:val="18"/>
                <w:szCs w:val="18"/>
              </w:rPr>
              <w:t> </w:t>
            </w:r>
          </w:p>
          <w:p w:rsidR="00226FB4" w:rsidRPr="008B26BF" w:rsidRDefault="00226FB4" w:rsidP="00C101D7">
            <w:pPr>
              <w:ind w:right="78"/>
              <w:rPr>
                <w:i/>
                <w:iCs/>
                <w:sz w:val="18"/>
                <w:szCs w:val="18"/>
              </w:rPr>
            </w:pPr>
            <w:r w:rsidRPr="008B26BF">
              <w:rPr>
                <w:i/>
                <w:iCs/>
                <w:sz w:val="18"/>
                <w:szCs w:val="18"/>
              </w:rPr>
              <w:t>Налоговый кодекс Российской Федерации ч. 2 гл. 23 "Налог на доходы, физических лиц" (с изменениями и дополнениями), статья 275 Налогового кодекса Российской Федерации.</w:t>
            </w:r>
          </w:p>
        </w:tc>
      </w:tr>
      <w:tr w:rsidR="00226FB4" w:rsidRPr="008B26BF" w:rsidTr="00C101D7">
        <w:tc>
          <w:tcPr>
            <w:tcW w:w="209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324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45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382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r>
    </w:tbl>
    <w:p w:rsidR="00226FB4" w:rsidRPr="008B26BF" w:rsidRDefault="00226FB4" w:rsidP="00226FB4">
      <w:pPr>
        <w:ind w:right="78"/>
        <w:jc w:val="both"/>
        <w:rPr>
          <w:rFonts w:ascii="Arial" w:hAnsi="Arial" w:cs="Arial"/>
          <w:i/>
          <w:iCs/>
        </w:rPr>
      </w:pPr>
      <w:r w:rsidRPr="008B26BF">
        <w:rPr>
          <w:rFonts w:ascii="Arial" w:hAnsi="Arial" w:cs="Arial"/>
          <w:i/>
          <w:iCs/>
        </w:rPr>
        <w:t> </w:t>
      </w:r>
    </w:p>
    <w:p w:rsidR="00226FB4" w:rsidRPr="00A12726" w:rsidRDefault="00226FB4" w:rsidP="00226FB4">
      <w:pPr>
        <w:ind w:right="78"/>
        <w:jc w:val="both"/>
        <w:rPr>
          <w:b/>
          <w:bCs/>
          <w:i/>
          <w:iCs/>
          <w:sz w:val="22"/>
          <w:szCs w:val="22"/>
        </w:rPr>
      </w:pPr>
      <w:r w:rsidRPr="00A12726">
        <w:rPr>
          <w:b/>
          <w:bCs/>
          <w:i/>
          <w:iCs/>
          <w:sz w:val="22"/>
          <w:szCs w:val="22"/>
        </w:rPr>
        <w:t>Налогообложение доходов юридических лиц от реализации размещаемых и/или размещенных ценных бумаг:</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093"/>
        <w:gridCol w:w="3240"/>
        <w:gridCol w:w="730"/>
        <w:gridCol w:w="3540"/>
      </w:tblGrid>
      <w:tr w:rsidR="00226FB4" w:rsidRPr="008B26BF" w:rsidTr="00C101D7">
        <w:trPr>
          <w:cantSplit/>
        </w:trPr>
        <w:tc>
          <w:tcPr>
            <w:tcW w:w="2093" w:type="dxa"/>
            <w:vMerge w:val="restart"/>
            <w:tcBorders>
              <w:top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Категории владельцев ценных бумаг</w:t>
            </w:r>
          </w:p>
        </w:tc>
      </w:tr>
      <w:tr w:rsidR="00226FB4" w:rsidRPr="008B26BF" w:rsidTr="00C101D7">
        <w:trPr>
          <w:cantSplit/>
        </w:trPr>
        <w:tc>
          <w:tcPr>
            <w:tcW w:w="0" w:type="auto"/>
            <w:vMerge/>
            <w:tcBorders>
              <w:top w:val="single" w:sz="4" w:space="0" w:color="auto"/>
              <w:bottom w:val="single" w:sz="4" w:space="0" w:color="auto"/>
              <w:right w:val="single" w:sz="4" w:space="0" w:color="auto"/>
            </w:tcBorders>
            <w:vAlign w:val="center"/>
          </w:tcPr>
          <w:p w:rsidR="00226FB4" w:rsidRPr="008B26BF" w:rsidRDefault="00226FB4" w:rsidP="00C101D7">
            <w:pPr>
              <w:rPr>
                <w:i/>
                <w:iCs/>
                <w:sz w:val="18"/>
                <w:szCs w:val="18"/>
              </w:rPr>
            </w:pPr>
          </w:p>
        </w:tc>
        <w:tc>
          <w:tcPr>
            <w:tcW w:w="323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jc w:val="both"/>
              <w:rPr>
                <w:i/>
                <w:iCs/>
                <w:sz w:val="18"/>
                <w:szCs w:val="18"/>
              </w:rPr>
            </w:pPr>
            <w:r w:rsidRPr="008B26BF">
              <w:rPr>
                <w:i/>
                <w:iCs/>
                <w:sz w:val="18"/>
                <w:szCs w:val="18"/>
              </w:rPr>
              <w:t>Юридические лица - налоговые резиденты Российской Федерации</w:t>
            </w:r>
          </w:p>
        </w:tc>
        <w:tc>
          <w:tcPr>
            <w:tcW w:w="4270"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jc w:val="both"/>
              <w:rPr>
                <w:i/>
                <w:iCs/>
                <w:sz w:val="18"/>
                <w:szCs w:val="18"/>
              </w:rPr>
            </w:pPr>
            <w:r w:rsidRPr="008B26BF">
              <w:rPr>
                <w:i/>
                <w:iCs/>
                <w:sz w:val="18"/>
                <w:szCs w:val="18"/>
              </w:rPr>
              <w:t>Иностранные юридические лица - (нерезиденты), получающие доходы от источников, находящихся на территории Российской Федерации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1. Наименование дохода по размещаемым и/или размещенным ценным бумагам</w:t>
            </w:r>
          </w:p>
        </w:tc>
        <w:tc>
          <w:tcPr>
            <w:tcW w:w="3235" w:type="dxa"/>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t>Доходы от операций по реализации ценных бумаг</w:t>
            </w:r>
          </w:p>
        </w:tc>
        <w:tc>
          <w:tcPr>
            <w:tcW w:w="4270" w:type="dxa"/>
            <w:gridSpan w:val="2"/>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t>Доходы от реализации акций российских организаций, более 50% активов которых состоит из недвижимого имущества, находящегося на территории Российской Федерации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2. Наименование налога на доход по ценным бумагам</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Налог на прибыль</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3. Ставка налога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jc w:val="both"/>
              <w:rPr>
                <w:i/>
                <w:iCs/>
                <w:sz w:val="18"/>
                <w:szCs w:val="18"/>
              </w:rPr>
            </w:pPr>
            <w:r w:rsidRPr="008B26BF">
              <w:rPr>
                <w:i/>
                <w:iCs/>
                <w:sz w:val="18"/>
                <w:szCs w:val="18"/>
              </w:rPr>
              <w:t>20%, из которых в федеральный бюджет зачисляется 2%; бюджеты субъектов Российской Федерации – 18%. Законодательные органы субъектов Российской Федерации вправе снижать для отдельных категорий налогоплательщиков налоговую ставку в части сумм налога, зачисляемых в бюджеты субъектов Российской Федерации, до 13,5%</w:t>
            </w:r>
          </w:p>
        </w:tc>
        <w:tc>
          <w:tcPr>
            <w:tcW w:w="3536" w:type="dxa"/>
            <w:tcBorders>
              <w:top w:val="single" w:sz="4" w:space="0" w:color="auto"/>
              <w:left w:val="single" w:sz="4" w:space="0" w:color="auto"/>
              <w:bottom w:val="single" w:sz="4" w:space="0" w:color="auto"/>
            </w:tcBorders>
            <w:vAlign w:val="center"/>
          </w:tcPr>
          <w:p w:rsidR="00226FB4" w:rsidRPr="008B26BF" w:rsidRDefault="00226FB4" w:rsidP="00C101D7">
            <w:pPr>
              <w:ind w:right="78"/>
              <w:jc w:val="both"/>
              <w:rPr>
                <w:i/>
                <w:iCs/>
                <w:sz w:val="18"/>
                <w:szCs w:val="18"/>
              </w:rPr>
            </w:pPr>
            <w:r w:rsidRPr="008B26BF">
              <w:rPr>
                <w:i/>
                <w:iCs/>
                <w:sz w:val="18"/>
                <w:szCs w:val="18"/>
              </w:rPr>
              <w:t>20%</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4. Порядок и сроки уплаты налога</w:t>
            </w:r>
          </w:p>
        </w:tc>
        <w:tc>
          <w:tcPr>
            <w:tcW w:w="3969" w:type="dxa"/>
            <w:gridSpan w:val="2"/>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jc w:val="both"/>
              <w:rPr>
                <w:i/>
                <w:iCs/>
                <w:sz w:val="18"/>
                <w:szCs w:val="18"/>
              </w:rPr>
            </w:pPr>
            <w:r w:rsidRPr="008B26BF">
              <w:rPr>
                <w:i/>
                <w:iCs/>
                <w:sz w:val="18"/>
                <w:szCs w:val="18"/>
              </w:rPr>
              <w:t>Налог, подлежащий уплате по истечении налогового периода,  уплачивается не позднее 28 марта года, следующего за истекшим налоговым периодом. Квартальные авансовые платежи уплачиваются не позднее 28</w:t>
            </w:r>
            <w:r>
              <w:rPr>
                <w:i/>
                <w:iCs/>
                <w:sz w:val="18"/>
                <w:szCs w:val="18"/>
              </w:rPr>
              <w:t xml:space="preserve"> </w:t>
            </w:r>
            <w:r w:rsidRPr="008B26BF">
              <w:rPr>
                <w:i/>
                <w:iCs/>
                <w:sz w:val="18"/>
                <w:szCs w:val="18"/>
              </w:rPr>
              <w:t>дней со дня окончания соответствующего отчетного периода. Ежемесячные авансовые платежи уплачиваются в срок не позднее 28 числа каждого месяца этого отчетного периода.</w:t>
            </w:r>
          </w:p>
          <w:p w:rsidR="00226FB4" w:rsidRPr="008B26BF" w:rsidRDefault="00226FB4" w:rsidP="00C101D7">
            <w:pPr>
              <w:ind w:right="78"/>
              <w:jc w:val="both"/>
              <w:rPr>
                <w:i/>
                <w:iCs/>
                <w:sz w:val="18"/>
                <w:szCs w:val="18"/>
              </w:rPr>
            </w:pPr>
            <w:r w:rsidRPr="008B26BF">
              <w:rPr>
                <w:i/>
                <w:iCs/>
                <w:sz w:val="18"/>
                <w:szCs w:val="18"/>
              </w:rPr>
              <w:t>Налогоплательщики, исчисляющие ежемесячные авансовые платежи по фактически полученной прибыли, уплачивают авансовые платежи не позднее 28</w:t>
            </w:r>
            <w:r>
              <w:rPr>
                <w:i/>
                <w:iCs/>
                <w:sz w:val="18"/>
                <w:szCs w:val="18"/>
              </w:rPr>
              <w:t xml:space="preserve"> </w:t>
            </w:r>
            <w:r w:rsidRPr="008B26BF">
              <w:rPr>
                <w:i/>
                <w:iCs/>
                <w:sz w:val="18"/>
                <w:szCs w:val="18"/>
              </w:rPr>
              <w:t xml:space="preserve">числа месяца, следующего за отчетным периодом. По итогам отчетного (налогового) периода суммы ежемесячных авансовых платежей, </w:t>
            </w:r>
            <w:r w:rsidRPr="008B26BF">
              <w:rPr>
                <w:i/>
                <w:iCs/>
                <w:sz w:val="18"/>
                <w:szCs w:val="18"/>
              </w:rPr>
              <w:lastRenderedPageBreak/>
              <w:t>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налогового периода.</w:t>
            </w:r>
          </w:p>
        </w:tc>
        <w:tc>
          <w:tcPr>
            <w:tcW w:w="3536"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lastRenderedPageBreak/>
              <w:t>Налог исчисляется и удерживается российской организацией, выплачивающей доход иностранной организации, при каждой выплате дохода и перечисляется налоговым агентом в федеральный бюджет одновременно с выплатой дохода в валюте выплаты этого дохода, либо в валюте Российской Федерации по курсу Центрального банка Российской Федерации на дату перечисления налога.</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lastRenderedPageBreak/>
              <w:t>5.Особенности порядка налогообложения для данной категории владельцев ценных бумаг</w:t>
            </w:r>
          </w:p>
        </w:tc>
        <w:tc>
          <w:tcPr>
            <w:tcW w:w="3969" w:type="dxa"/>
            <w:gridSpan w:val="2"/>
            <w:tcBorders>
              <w:top w:val="single" w:sz="4" w:space="0" w:color="auto"/>
              <w:left w:val="single" w:sz="4" w:space="0" w:color="auto"/>
              <w:bottom w:val="single" w:sz="4" w:space="0" w:color="auto"/>
              <w:right w:val="single" w:sz="4" w:space="0" w:color="auto"/>
            </w:tcBorders>
          </w:tcPr>
          <w:p w:rsidR="00226FB4" w:rsidRPr="008B26BF" w:rsidRDefault="00226FB4" w:rsidP="00C101D7">
            <w:pPr>
              <w:pStyle w:val="btBodytextAvtalBr3"/>
              <w:ind w:right="78"/>
            </w:pPr>
            <w:r w:rsidRPr="008B26BF">
              <w:t> </w:t>
            </w:r>
          </w:p>
        </w:tc>
        <w:tc>
          <w:tcPr>
            <w:tcW w:w="3536"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t>При представлении иностранной организацией налоговому агенту до даты выплаты дохода подтверждения того, что эта иностранная организация имеет постоянное местонахождение в том государстве, с которым Российская Федерация имеет международный договор, регулирующий вопросы налогообложения, в отношении дохода, по которому международным договором предусмотрен льготный режим налогообложения в Российской Федерации, производится освобождение от удержания налогов у источника выплаты или удержание налога по пониженным ставкам</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6. Законодательные и нормативные акты, регламентирующие порядок налогообложения указанных доходов</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rPr>
                <w:i/>
                <w:iCs/>
                <w:sz w:val="18"/>
                <w:szCs w:val="18"/>
              </w:rPr>
            </w:pPr>
            <w:r w:rsidRPr="008B26BF">
              <w:rPr>
                <w:i/>
                <w:iCs/>
                <w:sz w:val="18"/>
                <w:szCs w:val="18"/>
              </w:rPr>
              <w:t> </w:t>
            </w:r>
          </w:p>
          <w:p w:rsidR="00226FB4" w:rsidRPr="008B26BF" w:rsidRDefault="00226FB4" w:rsidP="00C101D7">
            <w:pPr>
              <w:ind w:right="78"/>
              <w:rPr>
                <w:i/>
                <w:iCs/>
                <w:sz w:val="18"/>
                <w:szCs w:val="18"/>
              </w:rPr>
            </w:pPr>
            <w:r w:rsidRPr="008B26BF">
              <w:rPr>
                <w:i/>
                <w:iCs/>
                <w:sz w:val="18"/>
                <w:szCs w:val="18"/>
              </w:rPr>
              <w:t>Глава 25 Налогового кодекса Российской Федерации "Налог на прибыль организаций"</w:t>
            </w:r>
          </w:p>
        </w:tc>
      </w:tr>
      <w:tr w:rsidR="00226FB4" w:rsidRPr="008B26BF" w:rsidTr="00C101D7">
        <w:tc>
          <w:tcPr>
            <w:tcW w:w="209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324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73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354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r>
    </w:tbl>
    <w:p w:rsidR="00226FB4" w:rsidRPr="008B26BF" w:rsidRDefault="00226FB4" w:rsidP="00226FB4">
      <w:pPr>
        <w:ind w:right="78"/>
        <w:rPr>
          <w:i/>
          <w:iCs/>
        </w:rPr>
      </w:pPr>
      <w:r w:rsidRPr="008B26BF">
        <w:rPr>
          <w:i/>
          <w:iCs/>
        </w:rPr>
        <w:t> </w:t>
      </w:r>
    </w:p>
    <w:p w:rsidR="00226FB4" w:rsidRPr="00A12726" w:rsidRDefault="00226FB4" w:rsidP="00226FB4">
      <w:pPr>
        <w:ind w:right="78" w:firstLine="540"/>
        <w:jc w:val="both"/>
        <w:rPr>
          <w:b/>
          <w:bCs/>
          <w:i/>
          <w:iCs/>
          <w:sz w:val="22"/>
          <w:szCs w:val="22"/>
        </w:rPr>
      </w:pPr>
      <w:r w:rsidRPr="00A12726">
        <w:rPr>
          <w:b/>
          <w:bCs/>
          <w:i/>
          <w:iCs/>
          <w:sz w:val="22"/>
          <w:szCs w:val="22"/>
        </w:rPr>
        <w:t>Налогообложение доходов физических лиц от реализации размещаемых и/или размещенных ценных бумаг:</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089"/>
        <w:gridCol w:w="3219"/>
        <w:gridCol w:w="222"/>
        <w:gridCol w:w="4216"/>
      </w:tblGrid>
      <w:tr w:rsidR="00226FB4" w:rsidRPr="008B26BF" w:rsidTr="00C101D7">
        <w:trPr>
          <w:cantSplit/>
        </w:trPr>
        <w:tc>
          <w:tcPr>
            <w:tcW w:w="2093" w:type="dxa"/>
            <w:vMerge w:val="restart"/>
            <w:tcBorders>
              <w:top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Категории владельцев ценных бумаг</w:t>
            </w:r>
          </w:p>
        </w:tc>
      </w:tr>
      <w:tr w:rsidR="00226FB4" w:rsidRPr="008B26BF" w:rsidTr="00C101D7">
        <w:trPr>
          <w:cantSplit/>
        </w:trPr>
        <w:tc>
          <w:tcPr>
            <w:tcW w:w="0" w:type="auto"/>
            <w:vMerge/>
            <w:tcBorders>
              <w:top w:val="single" w:sz="4" w:space="0" w:color="auto"/>
              <w:bottom w:val="single" w:sz="4" w:space="0" w:color="auto"/>
              <w:right w:val="single" w:sz="4" w:space="0" w:color="auto"/>
            </w:tcBorders>
            <w:vAlign w:val="center"/>
          </w:tcPr>
          <w:p w:rsidR="00226FB4" w:rsidRPr="008B26BF" w:rsidRDefault="00226FB4" w:rsidP="00C101D7">
            <w:pPr>
              <w:rPr>
                <w:i/>
                <w:iCs/>
                <w:sz w:val="18"/>
                <w:szCs w:val="18"/>
              </w:rPr>
            </w:pPr>
          </w:p>
        </w:tc>
        <w:tc>
          <w:tcPr>
            <w:tcW w:w="323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Физические лица – налоговые резиденты Российской Федерации</w:t>
            </w:r>
          </w:p>
        </w:tc>
        <w:tc>
          <w:tcPr>
            <w:tcW w:w="4270"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jc w:val="center"/>
              <w:rPr>
                <w:i/>
                <w:iCs/>
                <w:sz w:val="18"/>
                <w:szCs w:val="18"/>
              </w:rPr>
            </w:pPr>
            <w:r w:rsidRPr="008B26BF">
              <w:rPr>
                <w:i/>
                <w:iCs/>
                <w:sz w:val="18"/>
                <w:szCs w:val="18"/>
              </w:rPr>
              <w:t>Физические лица, получающие доходы от источников, расположенных в Российской Федерации, не являющиеся налоговыми резидентами Российской Федерации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1. Наименование дохода по размещаемым и/или размещенным ценным бумагам</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rPr>
                <w:i/>
                <w:iCs/>
                <w:sz w:val="18"/>
                <w:szCs w:val="18"/>
              </w:rPr>
            </w:pPr>
            <w:r w:rsidRPr="008B26BF">
              <w:rPr>
                <w:i/>
                <w:iCs/>
                <w:sz w:val="18"/>
                <w:szCs w:val="18"/>
              </w:rPr>
              <w:t>К доходам от источников в Российской Федерации относятся доходы от реализации в Российской Федерации акций или иных ценных бумаг, а также долей участия в уставном капитале организаций.</w:t>
            </w:r>
          </w:p>
          <w:p w:rsidR="00226FB4" w:rsidRPr="008B26BF" w:rsidRDefault="00226FB4" w:rsidP="00C101D7">
            <w:pPr>
              <w:ind w:right="78"/>
              <w:jc w:val="both"/>
              <w:rPr>
                <w:i/>
                <w:iCs/>
                <w:sz w:val="18"/>
                <w:szCs w:val="18"/>
              </w:rPr>
            </w:pPr>
            <w:r w:rsidRPr="008B26BF">
              <w:rPr>
                <w:i/>
                <w:iCs/>
                <w:sz w:val="18"/>
                <w:szCs w:val="18"/>
              </w:rPr>
              <w:t>Доход (убыток) от реализации ценных бумаг, определяемый как разница между суммами доходов, полученными от реализации ценных бумаг, и документально подтвержденными расходами на приобретение, реализацию и хранение ценных бумаг, фактически произведенными налогоплательщиком, либо имущественными вычетами, принимаемыми в уменьшение доходов от сделки купли - продажи.</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2. Наименование налога на доход по ценным бумагам</w:t>
            </w:r>
          </w:p>
        </w:tc>
        <w:tc>
          <w:tcPr>
            <w:tcW w:w="7505" w:type="dxa"/>
            <w:gridSpan w:val="3"/>
            <w:tcBorders>
              <w:top w:val="single" w:sz="4" w:space="0" w:color="auto"/>
              <w:left w:val="single" w:sz="4" w:space="0" w:color="auto"/>
              <w:bottom w:val="single" w:sz="4" w:space="0" w:color="auto"/>
            </w:tcBorders>
            <w:vAlign w:val="center"/>
          </w:tcPr>
          <w:p w:rsidR="00226FB4" w:rsidRPr="008B26BF" w:rsidRDefault="00226FB4" w:rsidP="00C101D7">
            <w:pPr>
              <w:ind w:right="78"/>
              <w:rPr>
                <w:b/>
                <w:bCs/>
                <w:i/>
                <w:iCs/>
                <w:sz w:val="18"/>
                <w:szCs w:val="18"/>
              </w:rPr>
            </w:pPr>
            <w:r w:rsidRPr="008B26BF">
              <w:rPr>
                <w:b/>
                <w:bCs/>
                <w:i/>
                <w:iCs/>
                <w:sz w:val="18"/>
                <w:szCs w:val="18"/>
              </w:rPr>
              <w:t>Налог на доходы физических лиц</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3. Ставка налога</w:t>
            </w:r>
          </w:p>
        </w:tc>
        <w:tc>
          <w:tcPr>
            <w:tcW w:w="3235" w:type="dxa"/>
            <w:tcBorders>
              <w:top w:val="single" w:sz="4" w:space="0" w:color="auto"/>
              <w:left w:val="single" w:sz="4" w:space="0" w:color="auto"/>
              <w:bottom w:val="single" w:sz="4" w:space="0" w:color="auto"/>
              <w:right w:val="single" w:sz="4" w:space="0" w:color="auto"/>
            </w:tcBorders>
            <w:vAlign w:val="center"/>
          </w:tcPr>
          <w:p w:rsidR="00226FB4" w:rsidRPr="008B26BF" w:rsidRDefault="00226FB4" w:rsidP="00C101D7">
            <w:pPr>
              <w:ind w:right="78"/>
              <w:rPr>
                <w:i/>
                <w:iCs/>
                <w:sz w:val="18"/>
                <w:szCs w:val="18"/>
              </w:rPr>
            </w:pPr>
            <w:r w:rsidRPr="008B26BF">
              <w:rPr>
                <w:i/>
                <w:iCs/>
                <w:sz w:val="18"/>
                <w:szCs w:val="18"/>
              </w:rPr>
              <w:t>13%</w:t>
            </w:r>
          </w:p>
        </w:tc>
        <w:tc>
          <w:tcPr>
            <w:tcW w:w="4270" w:type="dxa"/>
            <w:gridSpan w:val="2"/>
            <w:tcBorders>
              <w:top w:val="single" w:sz="4" w:space="0" w:color="auto"/>
              <w:left w:val="single" w:sz="4" w:space="0" w:color="auto"/>
              <w:bottom w:val="single" w:sz="4" w:space="0" w:color="auto"/>
            </w:tcBorders>
            <w:vAlign w:val="center"/>
          </w:tcPr>
          <w:p w:rsidR="00226FB4" w:rsidRPr="008B26BF" w:rsidRDefault="00226FB4" w:rsidP="00C101D7">
            <w:pPr>
              <w:ind w:right="78"/>
              <w:rPr>
                <w:i/>
                <w:iCs/>
                <w:sz w:val="18"/>
                <w:szCs w:val="18"/>
              </w:rPr>
            </w:pPr>
            <w:r w:rsidRPr="008B26BF">
              <w:rPr>
                <w:i/>
                <w:iCs/>
                <w:sz w:val="18"/>
                <w:szCs w:val="18"/>
              </w:rPr>
              <w:t>30%</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4. Порядок и сроки уплаты налога</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t>Расчет и уплата суммы налога осуществляются налоговым агентом по окончании налогового периода (календарного года) или при осуществлении им выплаты денежных средств налогоплательщика до истечения очередного налогового периода. При выплате денежных средств до истечения очередного налогового периода налог уплачивается с доли дохода, соответствующей фактической сумме выплачиваемых денежных средств</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t>5. Особенности порядка налогообложения для данной категории владельцев ценных бумаг</w:t>
            </w:r>
          </w:p>
        </w:tc>
        <w:tc>
          <w:tcPr>
            <w:tcW w:w="3260" w:type="dxa"/>
            <w:gridSpan w:val="2"/>
            <w:tcBorders>
              <w:top w:val="single" w:sz="4" w:space="0" w:color="auto"/>
              <w:left w:val="single" w:sz="4" w:space="0" w:color="auto"/>
              <w:bottom w:val="single" w:sz="4" w:space="0" w:color="auto"/>
              <w:right w:val="single" w:sz="4" w:space="0" w:color="auto"/>
            </w:tcBorders>
          </w:tcPr>
          <w:p w:rsidR="00226FB4" w:rsidRPr="008B26BF" w:rsidRDefault="00226FB4" w:rsidP="00C101D7">
            <w:pPr>
              <w:ind w:right="78" w:firstLine="540"/>
              <w:jc w:val="both"/>
              <w:rPr>
                <w:i/>
                <w:iCs/>
                <w:sz w:val="18"/>
                <w:szCs w:val="18"/>
              </w:rPr>
            </w:pPr>
            <w:r w:rsidRPr="008B26BF">
              <w:rPr>
                <w:i/>
                <w:iCs/>
                <w:sz w:val="18"/>
                <w:szCs w:val="18"/>
              </w:rPr>
              <w:t>Доход (убыток) по опер</w:t>
            </w:r>
            <w:r w:rsidRPr="008B26BF">
              <w:rPr>
                <w:i/>
                <w:iCs/>
                <w:sz w:val="18"/>
                <w:szCs w:val="18"/>
              </w:rPr>
              <w:softHyphen/>
              <w:t>а</w:t>
            </w:r>
            <w:r w:rsidRPr="008B26BF">
              <w:rPr>
                <w:i/>
                <w:iCs/>
                <w:sz w:val="18"/>
                <w:szCs w:val="18"/>
              </w:rPr>
              <w:softHyphen/>
              <w:t>ци</w:t>
            </w:r>
            <w:r w:rsidRPr="008B26BF">
              <w:rPr>
                <w:i/>
                <w:iCs/>
                <w:sz w:val="18"/>
                <w:szCs w:val="18"/>
              </w:rPr>
              <w:softHyphen/>
              <w:t>ям купли-продажи ценных бумаг опреде</w:t>
            </w:r>
            <w:r w:rsidRPr="008B26BF">
              <w:rPr>
                <w:i/>
                <w:iCs/>
                <w:sz w:val="18"/>
                <w:szCs w:val="18"/>
              </w:rPr>
              <w:softHyphen/>
              <w:t>ляется как разница между суммами доходов, полу</w:t>
            </w:r>
            <w:r w:rsidRPr="008B26BF">
              <w:rPr>
                <w:i/>
                <w:iCs/>
                <w:sz w:val="18"/>
                <w:szCs w:val="18"/>
              </w:rPr>
              <w:softHyphen/>
              <w:t>чен</w:t>
            </w:r>
            <w:r w:rsidRPr="008B26BF">
              <w:rPr>
                <w:i/>
                <w:iCs/>
                <w:sz w:val="18"/>
                <w:szCs w:val="18"/>
              </w:rPr>
              <w:softHyphen/>
              <w:t>ными от реализации ценных бумаг, и документально под</w:t>
            </w:r>
            <w:r w:rsidRPr="008B26BF">
              <w:rPr>
                <w:i/>
                <w:iCs/>
                <w:sz w:val="18"/>
                <w:szCs w:val="18"/>
              </w:rPr>
              <w:softHyphen/>
              <w:t>твер</w:t>
            </w:r>
            <w:r w:rsidRPr="008B26BF">
              <w:rPr>
                <w:i/>
                <w:iCs/>
                <w:sz w:val="18"/>
                <w:szCs w:val="18"/>
              </w:rPr>
              <w:softHyphen/>
              <w:t>жден</w:t>
            </w:r>
            <w:r w:rsidRPr="008B26BF">
              <w:rPr>
                <w:i/>
                <w:iCs/>
                <w:sz w:val="18"/>
                <w:szCs w:val="18"/>
              </w:rPr>
              <w:softHyphen/>
              <w:t>ны</w:t>
            </w:r>
            <w:r w:rsidRPr="008B26BF">
              <w:rPr>
                <w:i/>
                <w:iCs/>
                <w:sz w:val="18"/>
                <w:szCs w:val="18"/>
              </w:rPr>
              <w:softHyphen/>
              <w:t>ми расходами на при</w:t>
            </w:r>
            <w:r w:rsidRPr="008B26BF">
              <w:rPr>
                <w:i/>
                <w:iCs/>
                <w:sz w:val="18"/>
                <w:szCs w:val="18"/>
              </w:rPr>
              <w:softHyphen/>
              <w:t>обретение, реализацию и хра</w:t>
            </w:r>
            <w:r w:rsidRPr="008B26BF">
              <w:rPr>
                <w:i/>
                <w:iCs/>
                <w:sz w:val="18"/>
                <w:szCs w:val="18"/>
              </w:rPr>
              <w:softHyphen/>
              <w:t>нение ценных бумаг, фактически произведен</w:t>
            </w:r>
            <w:r w:rsidRPr="008B26BF">
              <w:rPr>
                <w:i/>
                <w:iCs/>
                <w:sz w:val="18"/>
                <w:szCs w:val="18"/>
              </w:rPr>
              <w:softHyphen/>
              <w:t>ными налогоплательщиком (вклю</w:t>
            </w:r>
            <w:r w:rsidRPr="008B26BF">
              <w:rPr>
                <w:i/>
                <w:iCs/>
                <w:sz w:val="18"/>
                <w:szCs w:val="18"/>
              </w:rPr>
              <w:softHyphen/>
              <w:t>чая расходы, возмещаемые про</w:t>
            </w:r>
            <w:r w:rsidRPr="008B26BF">
              <w:rPr>
                <w:i/>
                <w:iCs/>
                <w:sz w:val="18"/>
                <w:szCs w:val="18"/>
              </w:rPr>
              <w:softHyphen/>
              <w:t>фесси</w:t>
            </w:r>
            <w:r w:rsidRPr="008B26BF">
              <w:rPr>
                <w:i/>
                <w:iCs/>
                <w:sz w:val="18"/>
                <w:szCs w:val="18"/>
              </w:rPr>
              <w:softHyphen/>
              <w:t>ональному участнику рынка ценных бумаг).</w:t>
            </w:r>
          </w:p>
          <w:p w:rsidR="00226FB4" w:rsidRPr="008B26BF" w:rsidRDefault="00226FB4" w:rsidP="00C101D7">
            <w:pPr>
              <w:ind w:right="78" w:firstLine="540"/>
              <w:jc w:val="both"/>
              <w:rPr>
                <w:i/>
                <w:iCs/>
                <w:sz w:val="18"/>
                <w:szCs w:val="18"/>
              </w:rPr>
            </w:pPr>
            <w:r w:rsidRPr="008B26BF">
              <w:rPr>
                <w:i/>
                <w:iCs/>
                <w:sz w:val="18"/>
                <w:szCs w:val="18"/>
              </w:rPr>
              <w:lastRenderedPageBreak/>
              <w:t>Если налогоплательщиком были приобретены в собственность (в том числе получены на безвозмездной основе или с частичной оплатой) ценные бумаги, при налогообложении доходов по операциям купли-продажи ценных бумаг в качестве докумен</w:t>
            </w:r>
            <w:r w:rsidRPr="008B26BF">
              <w:rPr>
                <w:i/>
                <w:iCs/>
                <w:sz w:val="18"/>
                <w:szCs w:val="18"/>
              </w:rPr>
              <w:softHyphen/>
              <w:t>тально подтвержденных расходов на приобретение (получение) этих ценных бумаг учитываются также суммы, с которых был исчислен и уплачен налог при приобретении (получении) данных ценных бумаг.</w:t>
            </w:r>
          </w:p>
          <w:p w:rsidR="00226FB4" w:rsidRPr="008B26BF" w:rsidRDefault="00226FB4" w:rsidP="00C101D7">
            <w:pPr>
              <w:ind w:right="78"/>
              <w:jc w:val="both"/>
              <w:rPr>
                <w:i/>
                <w:iCs/>
                <w:sz w:val="18"/>
                <w:szCs w:val="18"/>
              </w:rPr>
            </w:pPr>
            <w:r w:rsidRPr="008B26BF">
              <w:rPr>
                <w:i/>
                <w:iCs/>
                <w:sz w:val="18"/>
                <w:szCs w:val="18"/>
              </w:rPr>
              <w:t>Если расходы налогопла</w:t>
            </w:r>
            <w:r w:rsidRPr="008B26BF">
              <w:rPr>
                <w:i/>
                <w:iCs/>
                <w:sz w:val="18"/>
                <w:szCs w:val="18"/>
              </w:rPr>
              <w:softHyphen/>
              <w:t>тель</w:t>
            </w:r>
            <w:r w:rsidRPr="008B26BF">
              <w:rPr>
                <w:i/>
                <w:iCs/>
                <w:sz w:val="18"/>
                <w:szCs w:val="18"/>
              </w:rPr>
              <w:softHyphen/>
              <w:t>щика на приобрете</w:t>
            </w:r>
            <w:r w:rsidRPr="008B26BF">
              <w:rPr>
                <w:i/>
                <w:iCs/>
                <w:sz w:val="18"/>
                <w:szCs w:val="18"/>
              </w:rPr>
              <w:softHyphen/>
              <w:t>ние, реализацию и хранение цен</w:t>
            </w:r>
            <w:r w:rsidRPr="008B26BF">
              <w:rPr>
                <w:i/>
                <w:iCs/>
                <w:sz w:val="18"/>
                <w:szCs w:val="18"/>
              </w:rPr>
              <w:softHyphen/>
              <w:t>ных бумаг не могут быть отнесены непосредственно к расходам на приобретение, реализацию и хра</w:t>
            </w:r>
            <w:r w:rsidRPr="008B26BF">
              <w:rPr>
                <w:i/>
                <w:iCs/>
                <w:sz w:val="18"/>
                <w:szCs w:val="18"/>
              </w:rPr>
              <w:softHyphen/>
              <w:t>нение конкретных ценных бумаг, указанные расходы распределяют</w:t>
            </w:r>
            <w:r w:rsidRPr="008B26BF">
              <w:rPr>
                <w:i/>
                <w:iCs/>
                <w:sz w:val="18"/>
                <w:szCs w:val="18"/>
              </w:rPr>
              <w:softHyphen/>
              <w:t>ся пропорционально стоимостной оценке ценных бумаг, на долю которых относятся указанные расходы. Стоимостная оценка ценных бумаг определяется на дату осуществления этих расходов.</w:t>
            </w:r>
            <w:r w:rsidRPr="008B26BF">
              <w:t> </w:t>
            </w:r>
          </w:p>
        </w:tc>
        <w:tc>
          <w:tcPr>
            <w:tcW w:w="4245" w:type="dxa"/>
            <w:tcBorders>
              <w:top w:val="single" w:sz="4" w:space="0" w:color="auto"/>
              <w:left w:val="single" w:sz="4" w:space="0" w:color="auto"/>
              <w:bottom w:val="single" w:sz="4" w:space="0" w:color="auto"/>
            </w:tcBorders>
          </w:tcPr>
          <w:p w:rsidR="00226FB4" w:rsidRPr="008B26BF" w:rsidRDefault="00226FB4" w:rsidP="00C101D7">
            <w:pPr>
              <w:ind w:right="78"/>
              <w:jc w:val="both"/>
              <w:rPr>
                <w:i/>
                <w:iCs/>
                <w:sz w:val="18"/>
                <w:szCs w:val="18"/>
              </w:rPr>
            </w:pPr>
            <w:r w:rsidRPr="008B26BF">
              <w:rPr>
                <w:i/>
                <w:iCs/>
                <w:sz w:val="18"/>
                <w:szCs w:val="18"/>
              </w:rPr>
              <w:lastRenderedPageBreak/>
              <w:t xml:space="preserve">Устранение двойного налогообложения. </w:t>
            </w:r>
          </w:p>
          <w:p w:rsidR="00226FB4" w:rsidRPr="008B26BF" w:rsidRDefault="00226FB4" w:rsidP="00C101D7">
            <w:pPr>
              <w:ind w:right="78"/>
              <w:jc w:val="both"/>
              <w:rPr>
                <w:i/>
                <w:iCs/>
                <w:sz w:val="18"/>
                <w:szCs w:val="18"/>
              </w:rPr>
            </w:pPr>
            <w:r w:rsidRPr="008B26BF">
              <w:rPr>
                <w:i/>
                <w:iCs/>
                <w:sz w:val="18"/>
                <w:szCs w:val="18"/>
              </w:rPr>
              <w:t xml:space="preserve">Для освобождения от налогообложения, получения налоговых вычетов или иных налоговых привилегий налогоплательщик должен представить в органы Министерства Российской Федерации по налогам и сборам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Такое </w:t>
            </w:r>
            <w:r w:rsidRPr="008B26BF">
              <w:rPr>
                <w:i/>
                <w:iCs/>
                <w:sz w:val="18"/>
                <w:szCs w:val="18"/>
              </w:rPr>
              <w:lastRenderedPageBreak/>
              <w:t xml:space="preserve">подтверждение может быть представлено как до уплаты налога, так и в течение одного года после окончания того налогового периода, по результатам которого налогоплательщик претендует на получение освобождения от налогообложения, налоговых вычетов или привилегий. </w:t>
            </w:r>
          </w:p>
        </w:tc>
      </w:tr>
      <w:tr w:rsidR="00226FB4" w:rsidRPr="008B26BF" w:rsidTr="00C101D7">
        <w:tc>
          <w:tcPr>
            <w:tcW w:w="2093" w:type="dxa"/>
            <w:tcBorders>
              <w:top w:val="single" w:sz="4" w:space="0" w:color="auto"/>
              <w:bottom w:val="single" w:sz="4" w:space="0" w:color="auto"/>
              <w:right w:val="single" w:sz="4" w:space="0" w:color="auto"/>
            </w:tcBorders>
          </w:tcPr>
          <w:p w:rsidR="00226FB4" w:rsidRPr="008B26BF" w:rsidRDefault="00226FB4" w:rsidP="00C101D7">
            <w:pPr>
              <w:ind w:right="78"/>
              <w:rPr>
                <w:i/>
                <w:iCs/>
                <w:sz w:val="18"/>
                <w:szCs w:val="18"/>
              </w:rPr>
            </w:pPr>
            <w:r w:rsidRPr="008B26BF">
              <w:rPr>
                <w:i/>
                <w:iCs/>
                <w:sz w:val="18"/>
                <w:szCs w:val="18"/>
              </w:rPr>
              <w:lastRenderedPageBreak/>
              <w:t>6. Законодательные и нормативные акты, регламентирующие порядок налогообложения указанных доходов</w:t>
            </w:r>
          </w:p>
        </w:tc>
        <w:tc>
          <w:tcPr>
            <w:tcW w:w="7505" w:type="dxa"/>
            <w:gridSpan w:val="3"/>
            <w:tcBorders>
              <w:top w:val="single" w:sz="4" w:space="0" w:color="auto"/>
              <w:left w:val="single" w:sz="4" w:space="0" w:color="auto"/>
              <w:bottom w:val="single" w:sz="4" w:space="0" w:color="auto"/>
            </w:tcBorders>
          </w:tcPr>
          <w:p w:rsidR="00226FB4" w:rsidRPr="008B26BF" w:rsidRDefault="00226FB4" w:rsidP="00C101D7">
            <w:pPr>
              <w:ind w:right="78"/>
              <w:rPr>
                <w:i/>
                <w:iCs/>
                <w:sz w:val="18"/>
                <w:szCs w:val="18"/>
              </w:rPr>
            </w:pPr>
            <w:r w:rsidRPr="008B26BF">
              <w:rPr>
                <w:i/>
                <w:iCs/>
                <w:sz w:val="18"/>
                <w:szCs w:val="18"/>
              </w:rPr>
              <w:t> </w:t>
            </w:r>
          </w:p>
          <w:p w:rsidR="00226FB4" w:rsidRPr="008B26BF" w:rsidRDefault="00226FB4" w:rsidP="00C101D7">
            <w:pPr>
              <w:ind w:right="78"/>
              <w:rPr>
                <w:i/>
                <w:iCs/>
                <w:sz w:val="18"/>
                <w:szCs w:val="18"/>
              </w:rPr>
            </w:pPr>
            <w:r w:rsidRPr="008B26BF">
              <w:rPr>
                <w:i/>
                <w:iCs/>
                <w:sz w:val="18"/>
                <w:szCs w:val="18"/>
              </w:rPr>
              <w:t>Глава 23 Налогового кодекса Российской Федерации "Налог на доходы физических лиц" (с изменениями и дополнениями)</w:t>
            </w:r>
          </w:p>
        </w:tc>
      </w:tr>
      <w:tr w:rsidR="00226FB4" w:rsidRPr="008B26BF" w:rsidTr="00C101D7">
        <w:tc>
          <w:tcPr>
            <w:tcW w:w="209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324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144"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c>
          <w:tcPr>
            <w:tcW w:w="4250" w:type="dxa"/>
            <w:tcBorders>
              <w:top w:val="nil"/>
              <w:left w:val="nil"/>
              <w:bottom w:val="nil"/>
              <w:right w:val="nil"/>
            </w:tcBorders>
            <w:vAlign w:val="center"/>
          </w:tcPr>
          <w:p w:rsidR="00226FB4" w:rsidRPr="008B26BF" w:rsidRDefault="00226FB4" w:rsidP="00C101D7">
            <w:pPr>
              <w:rPr>
                <w:rFonts w:ascii="Arial Unicode MS" w:eastAsia="Arial Unicode MS" w:hAnsi="Arial Unicode MS"/>
                <w:sz w:val="2"/>
                <w:szCs w:val="2"/>
              </w:rPr>
            </w:pPr>
          </w:p>
        </w:tc>
      </w:tr>
    </w:tbl>
    <w:p w:rsidR="00226FB4" w:rsidRPr="008B26BF" w:rsidRDefault="00226FB4" w:rsidP="00226FB4">
      <w:pPr>
        <w:pStyle w:val="ac"/>
        <w:ind w:right="78"/>
        <w:rPr>
          <w:b/>
          <w:bCs/>
          <w:i/>
          <w:iCs/>
          <w:sz w:val="22"/>
          <w:szCs w:val="22"/>
        </w:rPr>
      </w:pPr>
      <w:r w:rsidRPr="008B26BF">
        <w:rPr>
          <w:b/>
          <w:bCs/>
          <w:i/>
          <w:iCs/>
          <w:sz w:val="22"/>
          <w:szCs w:val="22"/>
        </w:rPr>
        <w:t>В случае изменения законодательства Российской Федерации о налогах и сборах, будут применяться положения действующего законодательства.</w:t>
      </w:r>
    </w:p>
    <w:p w:rsidR="00AA7EE0" w:rsidRDefault="00AA7EE0" w:rsidP="00BB4B93">
      <w:pPr>
        <w:pStyle w:val="2"/>
        <w:jc w:val="both"/>
      </w:pPr>
      <w:bookmarkStart w:id="99" w:name="_Toc324431811"/>
      <w:r>
        <w:t>8.8. Сведения об объявленных (начисленных) и о выплаченных дивидендах по акциям эмитента, а также о доходах по облигациям эмитента</w:t>
      </w:r>
      <w:bookmarkEnd w:id="99"/>
    </w:p>
    <w:p w:rsidR="00AA7EE0" w:rsidRDefault="00AA7EE0" w:rsidP="00BB4B93">
      <w:pPr>
        <w:pStyle w:val="2"/>
        <w:jc w:val="both"/>
      </w:pPr>
      <w:bookmarkStart w:id="100" w:name="_Toc324431812"/>
      <w:r>
        <w:t>8.8.1. Сведения об объявленных и выплаченных дивидендах по акциям эмитента</w:t>
      </w:r>
      <w:bookmarkEnd w:id="100"/>
    </w:p>
    <w:p w:rsidR="00AA7EE0" w:rsidRDefault="00AA7EE0" w:rsidP="00BB4B93">
      <w:pPr>
        <w:ind w:left="200"/>
        <w:jc w:val="both"/>
      </w:pPr>
      <w:r>
        <w:rPr>
          <w:rStyle w:val="Subst"/>
          <w:bCs/>
          <w:iCs/>
        </w:rPr>
        <w:t>В течение указанного периода решений о выплате дивидендов эмитентом не принималось</w:t>
      </w:r>
      <w:r w:rsidR="00332C75">
        <w:rPr>
          <w:rStyle w:val="Subst"/>
          <w:bCs/>
          <w:iCs/>
        </w:rPr>
        <w:t>.</w:t>
      </w:r>
    </w:p>
    <w:p w:rsidR="00AA7EE0" w:rsidRDefault="00AA7EE0" w:rsidP="00BB4B93">
      <w:pPr>
        <w:pStyle w:val="2"/>
        <w:jc w:val="both"/>
      </w:pPr>
      <w:bookmarkStart w:id="101" w:name="_Toc324431813"/>
      <w:r>
        <w:t>8.8.2. Выпуски облигаций, по которым за 5 последних завершенных финансовых лет, предшествующих дате окончания последнего отчетного квартала, а если эмитент осуществляет свою деятельность менее 5 лет - за каждый завершенный финансовый год, предшествующий дате окончания последнего отчетного квартала, выплачивался доход</w:t>
      </w:r>
      <w:bookmarkEnd w:id="101"/>
    </w:p>
    <w:p w:rsidR="00AA7EE0" w:rsidRDefault="00AA7EE0" w:rsidP="00BB4B93">
      <w:pPr>
        <w:ind w:left="200"/>
        <w:jc w:val="both"/>
      </w:pPr>
      <w:r>
        <w:rPr>
          <w:rStyle w:val="Subst"/>
          <w:bCs/>
          <w:iCs/>
        </w:rPr>
        <w:t>Эмитент не осуществлял эмиссию облигаций</w:t>
      </w:r>
      <w:r w:rsidR="00332C75">
        <w:rPr>
          <w:rStyle w:val="Subst"/>
          <w:bCs/>
          <w:iCs/>
        </w:rPr>
        <w:t>.</w:t>
      </w:r>
    </w:p>
    <w:p w:rsidR="00AA7EE0" w:rsidRDefault="00AA7EE0" w:rsidP="00BB4B93">
      <w:pPr>
        <w:pStyle w:val="2"/>
        <w:jc w:val="both"/>
      </w:pPr>
      <w:bookmarkStart w:id="102" w:name="_Toc324431814"/>
      <w:r>
        <w:t>8.9. Иные сведения</w:t>
      </w:r>
      <w:bookmarkEnd w:id="102"/>
    </w:p>
    <w:p w:rsidR="00AA7EE0" w:rsidRDefault="00AA7EE0" w:rsidP="00BB4B93">
      <w:pPr>
        <w:ind w:left="200"/>
        <w:jc w:val="both"/>
      </w:pPr>
      <w:r>
        <w:rPr>
          <w:rStyle w:val="Subst"/>
          <w:bCs/>
          <w:iCs/>
        </w:rPr>
        <w:t>Иных сведений об эмитенте и его ценных бумагах, предусмотренных Федеральным законом “О рынке ценных бумаг” или иными федеральными законами, нет.</w:t>
      </w:r>
    </w:p>
    <w:p w:rsidR="00AA7EE0" w:rsidRDefault="00AA7EE0" w:rsidP="00BB4B93">
      <w:pPr>
        <w:pStyle w:val="2"/>
        <w:jc w:val="both"/>
      </w:pPr>
      <w:bookmarkStart w:id="103" w:name="_Toc324431815"/>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3"/>
    </w:p>
    <w:p w:rsidR="00BB4B93" w:rsidRDefault="00AA7EE0">
      <w:pPr>
        <w:ind w:left="200"/>
        <w:jc w:val="both"/>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r w:rsidR="00332C75">
        <w:rPr>
          <w:rStyle w:val="Subst"/>
          <w:bCs/>
          <w:iCs/>
        </w:rPr>
        <w:t>.</w:t>
      </w:r>
    </w:p>
    <w:sectPr w:rsidR="00BB4B93" w:rsidSect="00BB4B93">
      <w:footerReference w:type="default" r:id="rId20"/>
      <w:pgSz w:w="11907" w:h="16840"/>
      <w:pgMar w:top="851"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F31" w:rsidRDefault="00B47F31">
      <w:pPr>
        <w:spacing w:before="0" w:after="0"/>
      </w:pPr>
      <w:r>
        <w:separator/>
      </w:r>
    </w:p>
  </w:endnote>
  <w:endnote w:type="continuationSeparator" w:id="1">
    <w:p w:rsidR="00B47F31" w:rsidRDefault="00B47F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Unicode MS">
    <w:altName w:val="Tahoma"/>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1" w:rsidRDefault="00DA3FA1">
    <w:pPr>
      <w:pStyle w:val="a8"/>
      <w:jc w:val="right"/>
    </w:pPr>
    <w:fldSimple w:instr=" PAGE   \* MERGEFORMAT ">
      <w:r>
        <w:rPr>
          <w:noProof/>
        </w:rPr>
        <w:t>64</w:t>
      </w:r>
    </w:fldSimple>
  </w:p>
  <w:p w:rsidR="00DA3FA1" w:rsidRDefault="00DA3FA1">
    <w:pPr>
      <w:widowControl/>
      <w:tabs>
        <w:tab w:val="center" w:pos="5397"/>
        <w:tab w:val="right" w:pos="10075"/>
      </w:tabs>
      <w:spacing w:before="0" w:after="0"/>
      <w:ind w:left="720" w:right="360"/>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1" w:rsidRDefault="00DA3FA1">
    <w:pPr>
      <w:spacing w:before="0" w:after="0"/>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70</w:t>
    </w:r>
    <w:r>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1" w:rsidRDefault="00DA3FA1">
    <w:pPr>
      <w:pStyle w:val="a8"/>
      <w:jc w:val="right"/>
    </w:pPr>
    <w:fldSimple w:instr=" PAGE   \* MERGEFORMAT ">
      <w:r w:rsidR="00DE3A5B">
        <w:rPr>
          <w:noProof/>
        </w:rPr>
        <w:t>93</w:t>
      </w:r>
    </w:fldSimple>
  </w:p>
  <w:p w:rsidR="00DA3FA1" w:rsidRDefault="00DA3FA1">
    <w:pPr>
      <w:spacing w:before="0" w:after="0"/>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F31" w:rsidRDefault="00B47F31">
      <w:pPr>
        <w:spacing w:before="0" w:after="0"/>
      </w:pPr>
      <w:r>
        <w:separator/>
      </w:r>
    </w:p>
  </w:footnote>
  <w:footnote w:type="continuationSeparator" w:id="1">
    <w:p w:rsidR="00B47F31" w:rsidRDefault="00B47F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E0243"/>
    <w:multiLevelType w:val="multilevel"/>
    <w:tmpl w:val="A8C06F48"/>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1">
    <w:nsid w:val="1A130230"/>
    <w:multiLevelType w:val="multilevel"/>
    <w:tmpl w:val="249E36B8"/>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2">
    <w:nsid w:val="1B0428DB"/>
    <w:multiLevelType w:val="multilevel"/>
    <w:tmpl w:val="E2C4F598"/>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3">
    <w:nsid w:val="1BFE0417"/>
    <w:multiLevelType w:val="multilevel"/>
    <w:tmpl w:val="33AA6D94"/>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4">
    <w:nsid w:val="2BAE6895"/>
    <w:multiLevelType w:val="multilevel"/>
    <w:tmpl w:val="86D41DE6"/>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5">
    <w:nsid w:val="2DC46166"/>
    <w:multiLevelType w:val="multilevel"/>
    <w:tmpl w:val="3F60A5E8"/>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6">
    <w:nsid w:val="2DF95721"/>
    <w:multiLevelType w:val="multilevel"/>
    <w:tmpl w:val="438CD754"/>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7">
    <w:nsid w:val="33F62078"/>
    <w:multiLevelType w:val="multilevel"/>
    <w:tmpl w:val="0C2EAF66"/>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8">
    <w:nsid w:val="368A0C1A"/>
    <w:multiLevelType w:val="multilevel"/>
    <w:tmpl w:val="EC5C17A0"/>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9">
    <w:nsid w:val="37B308B9"/>
    <w:multiLevelType w:val="multilevel"/>
    <w:tmpl w:val="C902F72E"/>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0">
    <w:nsid w:val="38363FA7"/>
    <w:multiLevelType w:val="multilevel"/>
    <w:tmpl w:val="0419001F"/>
    <w:lvl w:ilvl="0">
      <w:start w:val="1"/>
      <w:numFmt w:val="decimal"/>
      <w:lvlText w:val="%1."/>
      <w:lvlJc w:val="left"/>
      <w:rPr>
        <w:rFonts w:cs="Times New Roman"/>
        <w:sz w:val="24"/>
        <w:szCs w:val="24"/>
      </w:rPr>
    </w:lvl>
    <w:lvl w:ilvl="1">
      <w:start w:val="1"/>
      <w:numFmt w:val="decimal"/>
      <w:lvlText w:val="%1.%2."/>
      <w:lvlJc w:val="left"/>
      <w:rPr>
        <w:rFonts w:cs="Times New Roman"/>
        <w:sz w:val="24"/>
        <w:szCs w:val="24"/>
      </w:rPr>
    </w:lvl>
    <w:lvl w:ilvl="2">
      <w:start w:val="1"/>
      <w:numFmt w:val="decimal"/>
      <w:lvlText w:val="%1.%2.%3."/>
      <w:lvlJc w:val="left"/>
      <w:rPr>
        <w:rFonts w:cs="Times New Roman"/>
        <w:sz w:val="24"/>
        <w:szCs w:val="24"/>
      </w:rPr>
    </w:lvl>
    <w:lvl w:ilvl="3">
      <w:start w:val="1"/>
      <w:numFmt w:val="decimal"/>
      <w:lvlText w:val="%1.%2.%3.%4."/>
      <w:lvlJc w:val="left"/>
      <w:rPr>
        <w:rFonts w:cs="Times New Roman"/>
        <w:sz w:val="24"/>
        <w:szCs w:val="24"/>
      </w:rPr>
    </w:lvl>
    <w:lvl w:ilvl="4">
      <w:start w:val="1"/>
      <w:numFmt w:val="decimal"/>
      <w:lvlText w:val="%1.%2.%3.%4.%5."/>
      <w:lvlJc w:val="left"/>
      <w:rPr>
        <w:rFonts w:cs="Times New Roman"/>
        <w:sz w:val="24"/>
        <w:szCs w:val="24"/>
      </w:rPr>
    </w:lvl>
    <w:lvl w:ilvl="5">
      <w:start w:val="1"/>
      <w:numFmt w:val="decimal"/>
      <w:lvlText w:val="%1.%2.%3.%4.%5.%6."/>
      <w:lvlJc w:val="left"/>
      <w:rPr>
        <w:rFonts w:cs="Times New Roman"/>
        <w:sz w:val="24"/>
        <w:szCs w:val="24"/>
      </w:rPr>
    </w:lvl>
    <w:lvl w:ilvl="6">
      <w:start w:val="1"/>
      <w:numFmt w:val="decimal"/>
      <w:lvlText w:val="%1.%2.%3.%4.%5.%6.%7."/>
      <w:lvlJc w:val="left"/>
      <w:rPr>
        <w:rFonts w:cs="Times New Roman"/>
        <w:sz w:val="24"/>
        <w:szCs w:val="24"/>
      </w:rPr>
    </w:lvl>
    <w:lvl w:ilvl="7">
      <w:start w:val="1"/>
      <w:numFmt w:val="decimal"/>
      <w:lvlText w:val="%1.%2.%3.%4.%5.%6.%7.%8."/>
      <w:lvlJc w:val="left"/>
      <w:rPr>
        <w:rFonts w:cs="Times New Roman"/>
        <w:sz w:val="24"/>
        <w:szCs w:val="24"/>
      </w:rPr>
    </w:lvl>
    <w:lvl w:ilvl="8">
      <w:start w:val="1"/>
      <w:numFmt w:val="decimal"/>
      <w:lvlText w:val="%1.%2.%3.%4.%5.%6.%7.%8.%9."/>
      <w:lvlJc w:val="left"/>
      <w:rPr>
        <w:rFonts w:cs="Times New Roman"/>
        <w:sz w:val="24"/>
        <w:szCs w:val="24"/>
      </w:rPr>
    </w:lvl>
  </w:abstractNum>
  <w:abstractNum w:abstractNumId="11">
    <w:nsid w:val="3C9A23C3"/>
    <w:multiLevelType w:val="multilevel"/>
    <w:tmpl w:val="EA6029E4"/>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2">
    <w:nsid w:val="4C116446"/>
    <w:multiLevelType w:val="multilevel"/>
    <w:tmpl w:val="EC5C17A0"/>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13">
    <w:nsid w:val="665807DF"/>
    <w:multiLevelType w:val="multilevel"/>
    <w:tmpl w:val="46467E7E"/>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4">
    <w:nsid w:val="6BF42BB2"/>
    <w:multiLevelType w:val="multilevel"/>
    <w:tmpl w:val="20F84FF2"/>
    <w:lvl w:ilvl="0">
      <w:start w:val="1"/>
      <w:numFmt w:val="bullet"/>
      <w:lvlText w:val="§"/>
      <w:lvlJc w:val="left"/>
      <w:rPr>
        <w:rFonts w:ascii="Times New Roman" w:hAnsi="Times New Roman"/>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5">
    <w:nsid w:val="70D4475E"/>
    <w:multiLevelType w:val="multilevel"/>
    <w:tmpl w:val="60B683F4"/>
    <w:lvl w:ilvl="0">
      <w:start w:val="1"/>
      <w:numFmt w:val="decimal"/>
      <w:lvlText w:val="%1."/>
      <w:lvlJc w:val="left"/>
      <w:rPr>
        <w:rFonts w:cs="Times New Roman"/>
        <w:sz w:val="24"/>
        <w:szCs w:val="24"/>
      </w:rPr>
    </w:lvl>
    <w:lvl w:ilvl="1">
      <w:start w:val="2"/>
      <w:numFmt w:val="bullet"/>
      <w:lvlText w:val="-"/>
      <w:lvlJc w:val="left"/>
      <w:rPr>
        <w:sz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16">
    <w:nsid w:val="726019EE"/>
    <w:multiLevelType w:val="multilevel"/>
    <w:tmpl w:val="FF7E3566"/>
    <w:lvl w:ilvl="0">
      <w:start w:val="1"/>
      <w:numFmt w:val="decimal"/>
      <w:lvlText w:val="%1."/>
      <w:lvlJc w:val="left"/>
      <w:rPr>
        <w:rFonts w:cs="Times New Roman"/>
        <w:sz w:val="24"/>
        <w:szCs w:val="24"/>
      </w:rPr>
    </w:lvl>
    <w:lvl w:ilvl="1">
      <w:start w:val="1"/>
      <w:numFmt w:val="lowerLetter"/>
      <w:lvlText w:val="%2."/>
      <w:lvlJc w:val="left"/>
      <w:rPr>
        <w:rFonts w:cs="Times New Roman"/>
        <w:sz w:val="24"/>
        <w:szCs w:val="24"/>
      </w:rPr>
    </w:lvl>
    <w:lvl w:ilvl="2">
      <w:start w:val="1"/>
      <w:numFmt w:val="lowerRoman"/>
      <w:lvlText w:val="%3."/>
      <w:lvlJc w:val="left"/>
      <w:rPr>
        <w:rFonts w:cs="Times New Roman"/>
        <w:sz w:val="24"/>
        <w:szCs w:val="24"/>
      </w:rPr>
    </w:lvl>
    <w:lvl w:ilvl="3">
      <w:start w:val="1"/>
      <w:numFmt w:val="decimal"/>
      <w:lvlText w:val="%4."/>
      <w:lvlJc w:val="left"/>
      <w:rPr>
        <w:rFonts w:cs="Times New Roman"/>
        <w:sz w:val="24"/>
        <w:szCs w:val="24"/>
      </w:rPr>
    </w:lvl>
    <w:lvl w:ilvl="4">
      <w:start w:val="1"/>
      <w:numFmt w:val="lowerLetter"/>
      <w:lvlText w:val="%5."/>
      <w:lvlJc w:val="left"/>
      <w:rPr>
        <w:rFonts w:cs="Times New Roman"/>
        <w:sz w:val="24"/>
        <w:szCs w:val="24"/>
      </w:rPr>
    </w:lvl>
    <w:lvl w:ilvl="5">
      <w:start w:val="1"/>
      <w:numFmt w:val="lowerRoman"/>
      <w:lvlText w:val="%6."/>
      <w:lvlJc w:val="left"/>
      <w:rPr>
        <w:rFonts w:cs="Times New Roman"/>
        <w:sz w:val="24"/>
        <w:szCs w:val="24"/>
      </w:rPr>
    </w:lvl>
    <w:lvl w:ilvl="6">
      <w:start w:val="1"/>
      <w:numFmt w:val="decimal"/>
      <w:lvlText w:val="%7."/>
      <w:lvlJc w:val="left"/>
      <w:rPr>
        <w:rFonts w:cs="Times New Roman"/>
        <w:sz w:val="24"/>
        <w:szCs w:val="24"/>
      </w:rPr>
    </w:lvl>
    <w:lvl w:ilvl="7">
      <w:start w:val="1"/>
      <w:numFmt w:val="lowerLetter"/>
      <w:lvlText w:val="%8."/>
      <w:lvlJc w:val="left"/>
      <w:rPr>
        <w:rFonts w:cs="Times New Roman"/>
        <w:sz w:val="24"/>
        <w:szCs w:val="24"/>
      </w:rPr>
    </w:lvl>
    <w:lvl w:ilvl="8">
      <w:start w:val="1"/>
      <w:numFmt w:val="lowerRoman"/>
      <w:lvlText w:val="%9."/>
      <w:lvlJc w:val="left"/>
      <w:rPr>
        <w:rFonts w:cs="Times New Roman"/>
        <w:sz w:val="24"/>
        <w:szCs w:val="24"/>
      </w:rPr>
    </w:lvl>
  </w:abstractNum>
  <w:abstractNum w:abstractNumId="17">
    <w:nsid w:val="7EEC08C8"/>
    <w:multiLevelType w:val="hybridMultilevel"/>
    <w:tmpl w:val="121AF33A"/>
    <w:lvl w:ilvl="0" w:tplc="84401620">
      <w:start w:val="1"/>
      <w:numFmt w:val="decimal"/>
      <w:lvlText w:val="%1."/>
      <w:lvlJc w:val="left"/>
      <w:pPr>
        <w:tabs>
          <w:tab w:val="num" w:pos="720"/>
        </w:tabs>
        <w:ind w:left="720" w:hanging="360"/>
      </w:pPr>
      <w:rPr>
        <w:rFonts w:cs="Times New Roman"/>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0"/>
  </w:num>
  <w:num w:numId="3">
    <w:abstractNumId w:val="1"/>
  </w:num>
  <w:num w:numId="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2964"/>
    <w:rsid w:val="00001EF9"/>
    <w:rsid w:val="00037586"/>
    <w:rsid w:val="00114960"/>
    <w:rsid w:val="00144859"/>
    <w:rsid w:val="001C1C73"/>
    <w:rsid w:val="001E58BE"/>
    <w:rsid w:val="00226FB4"/>
    <w:rsid w:val="00266725"/>
    <w:rsid w:val="00332C75"/>
    <w:rsid w:val="0036027E"/>
    <w:rsid w:val="003A0F7A"/>
    <w:rsid w:val="00707EC9"/>
    <w:rsid w:val="00790531"/>
    <w:rsid w:val="00791796"/>
    <w:rsid w:val="007C1301"/>
    <w:rsid w:val="007E753E"/>
    <w:rsid w:val="00834E38"/>
    <w:rsid w:val="00855939"/>
    <w:rsid w:val="008B26BF"/>
    <w:rsid w:val="008C0BBF"/>
    <w:rsid w:val="008C421C"/>
    <w:rsid w:val="009073A0"/>
    <w:rsid w:val="0095179A"/>
    <w:rsid w:val="009723C8"/>
    <w:rsid w:val="009A707A"/>
    <w:rsid w:val="00A12726"/>
    <w:rsid w:val="00A22964"/>
    <w:rsid w:val="00A512E0"/>
    <w:rsid w:val="00A52A75"/>
    <w:rsid w:val="00A84BD0"/>
    <w:rsid w:val="00AA7EE0"/>
    <w:rsid w:val="00B47F31"/>
    <w:rsid w:val="00B83F34"/>
    <w:rsid w:val="00BB4B93"/>
    <w:rsid w:val="00C101D7"/>
    <w:rsid w:val="00CC2599"/>
    <w:rsid w:val="00CE1090"/>
    <w:rsid w:val="00DA3FA1"/>
    <w:rsid w:val="00DC469A"/>
    <w:rsid w:val="00DE3A5B"/>
    <w:rsid w:val="00EB71B3"/>
    <w:rsid w:val="00F42C9D"/>
    <w:rsid w:val="00F71CBD"/>
    <w:rsid w:val="00F935C5"/>
    <w:rsid w:val="00F95A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pPr>
    <w:rPr>
      <w:rFonts w:ascii="Times New Roman" w:hAnsi="Times New Roman" w:cs="Times New Roman"/>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pPr>
    <w:rPr>
      <w:rFonts w:ascii="Times New Roman" w:hAnsi="Times New Roman" w:cs="Times New Roman"/>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Cambria" w:hAnsi="Cambria" w:cs="Times New Roman"/>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rFonts w:ascii="Times New Roman" w:hAnsi="Times New Roman" w:cs="Times New Roman"/>
      <w:b/>
      <w:bCs/>
      <w:sz w:val="24"/>
      <w:szCs w:val="24"/>
    </w:rPr>
  </w:style>
  <w:style w:type="paragraph" w:customStyle="1" w:styleId="SubHeading1">
    <w:name w:val="Sub Heading1"/>
    <w:uiPriority w:val="99"/>
    <w:pPr>
      <w:widowControl w:val="0"/>
      <w:autoSpaceDE w:val="0"/>
      <w:autoSpaceDN w:val="0"/>
      <w:adjustRightInd w:val="0"/>
      <w:spacing w:before="80" w:after="20"/>
    </w:pPr>
    <w:rPr>
      <w:rFonts w:ascii="Times New Roman" w:hAnsi="Times New Roman" w:cs="Times New Roman"/>
    </w:rPr>
  </w:style>
  <w:style w:type="paragraph" w:customStyle="1" w:styleId="SpacedNormal">
    <w:name w:val="Spaced Normal"/>
    <w:uiPriority w:val="99"/>
    <w:pPr>
      <w:widowControl w:val="0"/>
      <w:autoSpaceDE w:val="0"/>
      <w:autoSpaceDN w:val="0"/>
      <w:adjustRightInd w:val="0"/>
      <w:spacing w:before="120" w:after="40"/>
    </w:pPr>
    <w:rPr>
      <w:rFonts w:ascii="Times New Roman" w:hAnsi="Times New Roman" w:cs="Times New Roman"/>
    </w:rPr>
  </w:style>
  <w:style w:type="paragraph" w:customStyle="1" w:styleId="ThinDelim">
    <w:name w:val="Thin Delim"/>
    <w:uiPriority w:val="99"/>
    <w:pPr>
      <w:widowControl w:val="0"/>
      <w:autoSpaceDE w:val="0"/>
      <w:autoSpaceDN w:val="0"/>
      <w:adjustRightInd w:val="0"/>
    </w:pPr>
    <w:rPr>
      <w:rFonts w:ascii="Times New Roman" w:hAnsi="Times New Roman" w:cs="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AA7EE0"/>
  </w:style>
  <w:style w:type="paragraph" w:styleId="21">
    <w:name w:val="toc 2"/>
    <w:basedOn w:val="a"/>
    <w:next w:val="a"/>
    <w:autoRedefine/>
    <w:uiPriority w:val="39"/>
    <w:unhideWhenUsed/>
    <w:rsid w:val="00AA7EE0"/>
    <w:pPr>
      <w:ind w:left="200"/>
    </w:pPr>
  </w:style>
  <w:style w:type="character" w:styleId="a5">
    <w:name w:val="Hyperlink"/>
    <w:basedOn w:val="a0"/>
    <w:uiPriority w:val="99"/>
    <w:rsid w:val="00BB4B93"/>
    <w:rPr>
      <w:rFonts w:cs="Times New Roman"/>
      <w:color w:val="0000FF"/>
      <w:u w:val="single"/>
    </w:rPr>
  </w:style>
  <w:style w:type="paragraph" w:styleId="a6">
    <w:name w:val="header"/>
    <w:basedOn w:val="a"/>
    <w:link w:val="a7"/>
    <w:uiPriority w:val="99"/>
    <w:semiHidden/>
    <w:unhideWhenUsed/>
    <w:rsid w:val="00BB4B93"/>
    <w:pPr>
      <w:tabs>
        <w:tab w:val="center" w:pos="4677"/>
        <w:tab w:val="right" w:pos="9355"/>
      </w:tabs>
    </w:pPr>
  </w:style>
  <w:style w:type="character" w:customStyle="1" w:styleId="a7">
    <w:name w:val="Верхний колонтитул Знак"/>
    <w:basedOn w:val="a0"/>
    <w:link w:val="a6"/>
    <w:uiPriority w:val="99"/>
    <w:semiHidden/>
    <w:locked/>
    <w:rsid w:val="00BB4B93"/>
    <w:rPr>
      <w:rFonts w:ascii="Times New Roman" w:hAnsi="Times New Roman" w:cs="Times New Roman"/>
      <w:sz w:val="20"/>
      <w:szCs w:val="20"/>
    </w:rPr>
  </w:style>
  <w:style w:type="paragraph" w:styleId="a8">
    <w:name w:val="footer"/>
    <w:basedOn w:val="a"/>
    <w:link w:val="a9"/>
    <w:uiPriority w:val="99"/>
    <w:unhideWhenUsed/>
    <w:rsid w:val="00BB4B93"/>
    <w:pPr>
      <w:tabs>
        <w:tab w:val="center" w:pos="4677"/>
        <w:tab w:val="right" w:pos="9355"/>
      </w:tabs>
    </w:pPr>
  </w:style>
  <w:style w:type="character" w:customStyle="1" w:styleId="a9">
    <w:name w:val="Нижний колонтитул Знак"/>
    <w:basedOn w:val="a0"/>
    <w:link w:val="a8"/>
    <w:uiPriority w:val="99"/>
    <w:locked/>
    <w:rsid w:val="00BB4B93"/>
    <w:rPr>
      <w:rFonts w:ascii="Times New Roman" w:hAnsi="Times New Roman" w:cs="Times New Roman"/>
      <w:sz w:val="20"/>
      <w:szCs w:val="20"/>
    </w:rPr>
  </w:style>
  <w:style w:type="paragraph" w:styleId="aa">
    <w:name w:val="Balloon Text"/>
    <w:basedOn w:val="a"/>
    <w:link w:val="ab"/>
    <w:uiPriority w:val="99"/>
    <w:semiHidden/>
    <w:unhideWhenUsed/>
    <w:rsid w:val="00EB71B3"/>
    <w:pPr>
      <w:spacing w:before="0" w:after="0"/>
    </w:pPr>
    <w:rPr>
      <w:rFonts w:ascii="Tahoma" w:hAnsi="Tahoma" w:cs="Tahoma"/>
      <w:sz w:val="16"/>
      <w:szCs w:val="16"/>
    </w:rPr>
  </w:style>
  <w:style w:type="character" w:customStyle="1" w:styleId="ab">
    <w:name w:val="Текст выноски Знак"/>
    <w:basedOn w:val="a0"/>
    <w:link w:val="aa"/>
    <w:uiPriority w:val="99"/>
    <w:semiHidden/>
    <w:locked/>
    <w:rsid w:val="00EB71B3"/>
    <w:rPr>
      <w:rFonts w:ascii="Tahoma" w:hAnsi="Tahoma" w:cs="Tahoma"/>
      <w:sz w:val="16"/>
      <w:szCs w:val="16"/>
    </w:rPr>
  </w:style>
  <w:style w:type="paragraph" w:customStyle="1" w:styleId="ac">
    <w:name w:val="З"/>
    <w:basedOn w:val="a"/>
    <w:rsid w:val="00226FB4"/>
    <w:pPr>
      <w:adjustRightInd/>
      <w:spacing w:before="0" w:after="60"/>
      <w:ind w:firstLine="425"/>
      <w:jc w:val="both"/>
    </w:pPr>
  </w:style>
  <w:style w:type="paragraph" w:customStyle="1" w:styleId="btBodytextAvtalBr3">
    <w:name w:val="Основной текст.bt.Bodytext.AvtalBr3"/>
    <w:basedOn w:val="a"/>
    <w:rsid w:val="00226FB4"/>
    <w:pPr>
      <w:widowControl/>
      <w:adjustRightInd/>
      <w:spacing w:before="0" w:after="0"/>
    </w:pPr>
    <w:rPr>
      <w:i/>
      <w:i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sclosure.1prime.ru/portal/default.aspx?emid=7725636702" TargetMode="External"/><Relationship Id="rId13" Type="http://schemas.openxmlformats.org/officeDocument/2006/relationships/image" Target="media/image4.emf"/><Relationship Id="rId18" Type="http://schemas.openxmlformats.org/officeDocument/2006/relationships/hyperlink" Target="mailto:info@rnvlakra.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consultantplus://offline/ref=3BBC4CA2F4984235CDC752C6D5AC118F34577F9A13B6938386149113C093DCD19A6860CC9D01701De8h6I"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rnvlakra.ru" TargetMode="External"/><Relationship Id="rId4" Type="http://schemas.openxmlformats.org/officeDocument/2006/relationships/settings" Target="settings.xml"/><Relationship Id="rId9" Type="http://schemas.openxmlformats.org/officeDocument/2006/relationships/hyperlink" Target="http://disclosure.1prime.ru/portal/default.aspx?emid=7725636702"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CBC80-328C-4791-8F95-D3F2E0F6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34200</Words>
  <Characters>194943</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1</vt:lpstr>
    </vt:vector>
  </TitlesOfParts>
  <Company>company</Company>
  <LinksUpToDate>false</LinksUpToDate>
  <CharactersWithSpaces>228686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Oksana</dc:creator>
  <cp:lastModifiedBy>Ermolaeva</cp:lastModifiedBy>
  <cp:revision>2</cp:revision>
  <dcterms:created xsi:type="dcterms:W3CDTF">2012-05-11T11:02:00Z</dcterms:created>
  <dcterms:modified xsi:type="dcterms:W3CDTF">2012-05-11T11:02:00Z</dcterms:modified>
</cp:coreProperties>
</file>